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b/>
          <w:bCs/>
          <w:color w:val="auto"/>
          <w:sz w:val="36"/>
          <w:szCs w:val="36"/>
          <w:highlight w:val="none"/>
        </w:rPr>
      </w:pPr>
      <w:r>
        <w:rPr>
          <w:rFonts w:hint="eastAsia"/>
          <w:b/>
          <w:bCs/>
          <w:color w:val="auto"/>
          <w:sz w:val="36"/>
          <w:szCs w:val="36"/>
          <w:highlight w:val="none"/>
        </w:rPr>
        <w:t xml:space="preserve"> </w:t>
      </w: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jc w:val="center"/>
        <w:rPr>
          <w:b/>
          <w:bCs/>
          <w:color w:val="auto"/>
          <w:sz w:val="72"/>
          <w:szCs w:val="72"/>
          <w:highlight w:val="none"/>
        </w:rPr>
      </w:pPr>
      <w:r>
        <w:rPr>
          <w:b/>
          <w:bCs/>
          <w:color w:val="auto"/>
          <w:sz w:val="72"/>
          <w:szCs w:val="72"/>
          <w:highlight w:val="none"/>
        </w:rPr>
        <w:t>建设项目环境影响报告表</w:t>
      </w:r>
    </w:p>
    <w:p>
      <w:pPr>
        <w:jc w:val="center"/>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rPr>
          <w:b/>
          <w:bCs/>
          <w:color w:val="auto"/>
          <w:sz w:val="36"/>
          <w:szCs w:val="36"/>
          <w:highlight w:val="none"/>
        </w:rPr>
      </w:pPr>
    </w:p>
    <w:p>
      <w:pPr>
        <w:pStyle w:val="19"/>
        <w:jc w:val="center"/>
        <w:rPr>
          <w:b/>
          <w:bCs/>
          <w:color w:val="auto"/>
          <w:szCs w:val="28"/>
          <w:highlight w:val="none"/>
          <w:u w:val="single"/>
        </w:rPr>
      </w:pPr>
      <w:r>
        <w:rPr>
          <w:b/>
          <w:bCs/>
          <w:color w:val="auto"/>
          <w:szCs w:val="28"/>
          <w:highlight w:val="none"/>
        </w:rPr>
        <w:t>项目名称：</w:t>
      </w:r>
      <w:r>
        <w:rPr>
          <w:rFonts w:hint="eastAsia"/>
          <w:b/>
          <w:bCs/>
          <w:color w:val="auto"/>
          <w:szCs w:val="28"/>
          <w:highlight w:val="none"/>
          <w:u w:val="single"/>
          <w:lang w:eastAsia="zh-CN"/>
        </w:rPr>
        <w:t>开平市水口镇海旺五金制品厂年产五金卫浴配件30吨项目</w:t>
      </w:r>
    </w:p>
    <w:p>
      <w:pPr>
        <w:pStyle w:val="19"/>
        <w:jc w:val="center"/>
        <w:rPr>
          <w:b/>
          <w:bCs/>
          <w:color w:val="auto"/>
          <w:szCs w:val="28"/>
          <w:highlight w:val="none"/>
          <w:u w:val="single"/>
        </w:rPr>
      </w:pPr>
      <w:r>
        <w:rPr>
          <w:b/>
          <w:bCs/>
          <w:color w:val="auto"/>
          <w:szCs w:val="28"/>
          <w:highlight w:val="none"/>
        </w:rPr>
        <w:t>建设单位（盖章）：</w:t>
      </w:r>
      <w:r>
        <w:rPr>
          <w:rFonts w:hint="eastAsia"/>
          <w:b/>
          <w:bCs/>
          <w:color w:val="auto"/>
          <w:szCs w:val="28"/>
          <w:highlight w:val="none"/>
          <w:u w:val="single"/>
          <w:lang w:eastAsia="zh-CN"/>
        </w:rPr>
        <w:t>开平市水口镇海旺五金制品厂</w:t>
      </w:r>
    </w:p>
    <w:p>
      <w:pPr>
        <w:pStyle w:val="19"/>
        <w:jc w:val="center"/>
        <w:rPr>
          <w:b/>
          <w:bCs/>
          <w:color w:val="auto"/>
          <w:szCs w:val="28"/>
          <w:highlight w:val="none"/>
        </w:rPr>
      </w:pPr>
    </w:p>
    <w:p>
      <w:pPr>
        <w:pStyle w:val="19"/>
        <w:jc w:val="center"/>
        <w:rPr>
          <w:b/>
          <w:bCs/>
          <w:color w:val="auto"/>
          <w:szCs w:val="28"/>
          <w:highlight w:val="none"/>
        </w:rPr>
      </w:pPr>
    </w:p>
    <w:p>
      <w:pPr>
        <w:pStyle w:val="19"/>
        <w:jc w:val="center"/>
        <w:rPr>
          <w:b/>
          <w:bCs/>
          <w:color w:val="auto"/>
          <w:szCs w:val="28"/>
          <w:highlight w:val="none"/>
        </w:rPr>
      </w:pPr>
    </w:p>
    <w:p>
      <w:pPr>
        <w:pStyle w:val="19"/>
        <w:jc w:val="center"/>
        <w:rPr>
          <w:b/>
          <w:bCs/>
          <w:color w:val="auto"/>
          <w:szCs w:val="28"/>
          <w:highlight w:val="none"/>
        </w:rPr>
      </w:pPr>
    </w:p>
    <w:p>
      <w:pPr>
        <w:pStyle w:val="19"/>
        <w:jc w:val="center"/>
        <w:rPr>
          <w:b/>
          <w:bCs/>
          <w:color w:val="auto"/>
          <w:szCs w:val="28"/>
          <w:highlight w:val="none"/>
        </w:rPr>
      </w:pPr>
    </w:p>
    <w:p>
      <w:pPr>
        <w:pStyle w:val="19"/>
        <w:jc w:val="center"/>
        <w:rPr>
          <w:b/>
          <w:bCs/>
          <w:color w:val="auto"/>
          <w:szCs w:val="28"/>
          <w:highlight w:val="none"/>
        </w:rPr>
      </w:pPr>
      <w:r>
        <w:rPr>
          <w:b/>
          <w:bCs/>
          <w:color w:val="auto"/>
          <w:szCs w:val="28"/>
          <w:highlight w:val="none"/>
        </w:rPr>
        <w:t>编制日期：201</w:t>
      </w:r>
      <w:r>
        <w:rPr>
          <w:rFonts w:hint="eastAsia"/>
          <w:b/>
          <w:bCs/>
          <w:color w:val="auto"/>
          <w:szCs w:val="28"/>
          <w:highlight w:val="none"/>
        </w:rPr>
        <w:t>9</w:t>
      </w:r>
      <w:r>
        <w:rPr>
          <w:b/>
          <w:bCs/>
          <w:color w:val="auto"/>
          <w:szCs w:val="28"/>
          <w:highlight w:val="none"/>
        </w:rPr>
        <w:t>年</w:t>
      </w:r>
      <w:r>
        <w:rPr>
          <w:rFonts w:hint="eastAsia"/>
          <w:b/>
          <w:bCs/>
          <w:color w:val="auto"/>
          <w:szCs w:val="28"/>
          <w:highlight w:val="none"/>
          <w:lang w:val="en-US" w:eastAsia="zh-CN"/>
        </w:rPr>
        <w:t>8</w:t>
      </w:r>
      <w:r>
        <w:rPr>
          <w:b/>
          <w:bCs/>
          <w:color w:val="auto"/>
          <w:szCs w:val="28"/>
          <w:highlight w:val="none"/>
        </w:rPr>
        <w:t>月</w:t>
      </w:r>
    </w:p>
    <w:p>
      <w:pPr>
        <w:pStyle w:val="19"/>
        <w:jc w:val="center"/>
        <w:rPr>
          <w:b/>
          <w:bCs/>
          <w:color w:val="auto"/>
          <w:szCs w:val="28"/>
          <w:highlight w:val="none"/>
        </w:rPr>
        <w:sectPr>
          <w:head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b/>
          <w:bCs/>
          <w:color w:val="auto"/>
          <w:szCs w:val="28"/>
          <w:highlight w:val="none"/>
        </w:rPr>
        <w:t>国家生态环境部制</w:t>
      </w:r>
    </w:p>
    <w:p>
      <w:pPr>
        <w:pStyle w:val="19"/>
        <w:jc w:val="center"/>
        <w:rPr>
          <w:b/>
          <w:bCs/>
          <w:color w:val="auto"/>
          <w:szCs w:val="28"/>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color w:val="auto"/>
          <w:highlight w:val="none"/>
        </w:rPr>
        <w:drawing>
          <wp:inline distT="0" distB="0" distL="114300" distR="114300">
            <wp:extent cx="5757545" cy="8128635"/>
            <wp:effectExtent l="0" t="0" r="1460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7545" cy="8128635"/>
                    </a:xfrm>
                    <a:prstGeom prst="rect">
                      <a:avLst/>
                    </a:prstGeom>
                    <a:noFill/>
                    <a:ln>
                      <a:noFill/>
                    </a:ln>
                  </pic:spPr>
                </pic:pic>
              </a:graphicData>
            </a:graphic>
          </wp:inline>
        </w:drawing>
      </w:r>
    </w:p>
    <w:p>
      <w:pPr>
        <w:pStyle w:val="19"/>
        <w:jc w:val="center"/>
        <w:rPr>
          <w:color w:val="auto"/>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color w:val="auto"/>
          <w:highlight w:val="none"/>
        </w:rPr>
        <w:drawing>
          <wp:inline distT="0" distB="0" distL="114300" distR="114300">
            <wp:extent cx="5757545" cy="8128635"/>
            <wp:effectExtent l="0" t="0" r="1460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757545" cy="8128635"/>
                    </a:xfrm>
                    <a:prstGeom prst="rect">
                      <a:avLst/>
                    </a:prstGeom>
                    <a:noFill/>
                    <a:ln>
                      <a:noFill/>
                    </a:ln>
                  </pic:spPr>
                </pic:pic>
              </a:graphicData>
            </a:graphic>
          </wp:inline>
        </w:drawing>
      </w:r>
      <w:r>
        <w:rPr>
          <w:color w:val="auto"/>
          <w:highlight w:val="none"/>
        </w:rPr>
        <w:drawing>
          <wp:inline distT="0" distB="0" distL="114300" distR="114300">
            <wp:extent cx="5757545" cy="8128635"/>
            <wp:effectExtent l="0" t="0" r="14605"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6"/>
                    <a:stretch>
                      <a:fillRect/>
                    </a:stretch>
                  </pic:blipFill>
                  <pic:spPr>
                    <a:xfrm>
                      <a:off x="0" y="0"/>
                      <a:ext cx="5757545" cy="8128635"/>
                    </a:xfrm>
                    <a:prstGeom prst="rect">
                      <a:avLst/>
                    </a:prstGeom>
                    <a:noFill/>
                    <a:ln>
                      <a:noFill/>
                    </a:ln>
                  </pic:spPr>
                </pic:pic>
              </a:graphicData>
            </a:graphic>
          </wp:inline>
        </w:drawing>
      </w:r>
      <w:r>
        <w:rPr>
          <w:color w:val="auto"/>
          <w:highlight w:val="none"/>
        </w:rPr>
        <w:drawing>
          <wp:inline distT="0" distB="0" distL="114300" distR="114300">
            <wp:extent cx="5755005" cy="6975475"/>
            <wp:effectExtent l="0" t="0" r="17145" b="15875"/>
            <wp:docPr id="19" name="图片 19" descr="张丽惠社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张丽惠社保"/>
                    <pic:cNvPicPr>
                      <a:picLocks noChangeAspect="1"/>
                    </pic:cNvPicPr>
                  </pic:nvPicPr>
                  <pic:blipFill>
                    <a:blip r:embed="rId17"/>
                    <a:stretch>
                      <a:fillRect/>
                    </a:stretch>
                  </pic:blipFill>
                  <pic:spPr>
                    <a:xfrm>
                      <a:off x="0" y="0"/>
                      <a:ext cx="5755005" cy="6975475"/>
                    </a:xfrm>
                    <a:prstGeom prst="rect">
                      <a:avLst/>
                    </a:prstGeom>
                  </pic:spPr>
                </pic:pic>
              </a:graphicData>
            </a:graphic>
          </wp:inline>
        </w:drawing>
      </w:r>
      <w:r>
        <w:rPr>
          <w:color w:val="auto"/>
          <w:highlight w:val="none"/>
        </w:rPr>
        <w:drawing>
          <wp:inline distT="0" distB="0" distL="114300" distR="114300">
            <wp:extent cx="5757545" cy="8128635"/>
            <wp:effectExtent l="0" t="0" r="14605" b="571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8"/>
                    <a:stretch>
                      <a:fillRect/>
                    </a:stretch>
                  </pic:blipFill>
                  <pic:spPr>
                    <a:xfrm>
                      <a:off x="0" y="0"/>
                      <a:ext cx="5757545" cy="8128635"/>
                    </a:xfrm>
                    <a:prstGeom prst="rect">
                      <a:avLst/>
                    </a:prstGeom>
                    <a:noFill/>
                    <a:ln>
                      <a:noFill/>
                    </a:ln>
                  </pic:spPr>
                </pic:pic>
              </a:graphicData>
            </a:graphic>
          </wp:inline>
        </w:drawing>
      </w:r>
      <w:r>
        <w:rPr>
          <w:color w:val="auto"/>
          <w:highlight w:val="none"/>
        </w:rPr>
        <w:drawing>
          <wp:inline distT="0" distB="0" distL="114300" distR="114300">
            <wp:extent cx="5757545" cy="8128635"/>
            <wp:effectExtent l="0" t="0" r="14605" b="571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9"/>
                    <a:stretch>
                      <a:fillRect/>
                    </a:stretch>
                  </pic:blipFill>
                  <pic:spPr>
                    <a:xfrm>
                      <a:off x="0" y="0"/>
                      <a:ext cx="5757545" cy="8128635"/>
                    </a:xfrm>
                    <a:prstGeom prst="rect">
                      <a:avLst/>
                    </a:prstGeom>
                    <a:noFill/>
                    <a:ln>
                      <a:noFill/>
                    </a:ln>
                  </pic:spPr>
                </pic:pic>
              </a:graphicData>
            </a:graphic>
          </wp:inline>
        </w:drawing>
      </w:r>
    </w:p>
    <w:p>
      <w:pPr>
        <w:pStyle w:val="19"/>
        <w:rPr>
          <w:b/>
          <w:bCs/>
          <w:color w:val="auto"/>
          <w:sz w:val="36"/>
          <w:szCs w:val="36"/>
          <w:highlight w:val="none"/>
        </w:rPr>
      </w:pPr>
    </w:p>
    <w:p>
      <w:pPr>
        <w:jc w:val="center"/>
        <w:rPr>
          <w:b/>
          <w:bCs/>
          <w:color w:val="auto"/>
          <w:sz w:val="36"/>
          <w:szCs w:val="36"/>
          <w:highlight w:val="none"/>
        </w:rPr>
      </w:pPr>
      <w:r>
        <w:rPr>
          <w:b/>
          <w:bCs/>
          <w:color w:val="auto"/>
          <w:sz w:val="36"/>
          <w:szCs w:val="36"/>
          <w:highlight w:val="none"/>
        </w:rPr>
        <w:t>《建设项目环境影响报告表》编制说明</w:t>
      </w:r>
    </w:p>
    <w:p>
      <w:pPr>
        <w:spacing w:line="360" w:lineRule="auto"/>
        <w:jc w:val="center"/>
        <w:rPr>
          <w:b/>
          <w:color w:val="auto"/>
          <w:sz w:val="28"/>
          <w:szCs w:val="28"/>
          <w:highlight w:val="none"/>
        </w:rPr>
      </w:pPr>
    </w:p>
    <w:p>
      <w:pPr>
        <w:pStyle w:val="10"/>
        <w:ind w:firstLine="600"/>
        <w:jc w:val="left"/>
        <w:rPr>
          <w:color w:val="auto"/>
          <w:sz w:val="28"/>
          <w:szCs w:val="28"/>
          <w:highlight w:val="none"/>
        </w:rPr>
      </w:pPr>
      <w:r>
        <w:rPr>
          <w:color w:val="auto"/>
          <w:sz w:val="28"/>
          <w:szCs w:val="28"/>
          <w:highlight w:val="none"/>
        </w:rPr>
        <w:t>《建设项目环境影响报告表》由具有从事环境影响评价工作资质的单位编制。</w:t>
      </w:r>
    </w:p>
    <w:p>
      <w:pPr>
        <w:pStyle w:val="10"/>
        <w:ind w:firstLine="600"/>
        <w:jc w:val="left"/>
        <w:rPr>
          <w:color w:val="auto"/>
          <w:sz w:val="28"/>
          <w:szCs w:val="28"/>
          <w:highlight w:val="none"/>
        </w:rPr>
      </w:pPr>
      <w:r>
        <w:rPr>
          <w:color w:val="auto"/>
          <w:sz w:val="28"/>
          <w:szCs w:val="28"/>
          <w:highlight w:val="none"/>
        </w:rPr>
        <w:t xml:space="preserve">1．项目名称——指项目立项批复时的名称，应不超过30个字（两个英文字段作一个汉字）。 </w:t>
      </w:r>
    </w:p>
    <w:p>
      <w:pPr>
        <w:pStyle w:val="10"/>
        <w:ind w:firstLine="600"/>
        <w:jc w:val="left"/>
        <w:rPr>
          <w:color w:val="auto"/>
          <w:sz w:val="28"/>
          <w:szCs w:val="28"/>
          <w:highlight w:val="none"/>
        </w:rPr>
      </w:pPr>
      <w:r>
        <w:rPr>
          <w:color w:val="auto"/>
          <w:sz w:val="28"/>
          <w:szCs w:val="28"/>
          <w:highlight w:val="none"/>
        </w:rPr>
        <w:t>2．建设地点——指项目所在地详细地址，公路、铁路应填写起止地点。</w:t>
      </w:r>
    </w:p>
    <w:p>
      <w:pPr>
        <w:pStyle w:val="10"/>
        <w:ind w:firstLine="600"/>
        <w:jc w:val="left"/>
        <w:rPr>
          <w:color w:val="auto"/>
          <w:sz w:val="28"/>
          <w:szCs w:val="28"/>
          <w:highlight w:val="none"/>
        </w:rPr>
      </w:pPr>
      <w:r>
        <w:rPr>
          <w:color w:val="auto"/>
          <w:sz w:val="28"/>
          <w:szCs w:val="28"/>
          <w:highlight w:val="none"/>
        </w:rPr>
        <w:t>3．行业类别——按国标填写。</w:t>
      </w:r>
    </w:p>
    <w:p>
      <w:pPr>
        <w:pStyle w:val="10"/>
        <w:ind w:firstLine="600"/>
        <w:jc w:val="left"/>
        <w:rPr>
          <w:color w:val="auto"/>
          <w:sz w:val="28"/>
          <w:szCs w:val="28"/>
          <w:highlight w:val="none"/>
        </w:rPr>
      </w:pPr>
      <w:r>
        <w:rPr>
          <w:color w:val="auto"/>
          <w:sz w:val="28"/>
          <w:szCs w:val="28"/>
          <w:highlight w:val="none"/>
        </w:rPr>
        <w:t>4．总投资——指项目投资总额。</w:t>
      </w:r>
    </w:p>
    <w:p>
      <w:pPr>
        <w:pStyle w:val="10"/>
        <w:ind w:firstLine="600"/>
        <w:jc w:val="left"/>
        <w:rPr>
          <w:color w:val="auto"/>
          <w:sz w:val="28"/>
          <w:szCs w:val="28"/>
          <w:highlight w:val="none"/>
        </w:rPr>
      </w:pPr>
      <w:r>
        <w:rPr>
          <w:color w:val="auto"/>
          <w:sz w:val="28"/>
          <w:szCs w:val="28"/>
          <w:highlight w:val="none"/>
        </w:rPr>
        <w:t>5．主要环境保护目标——指项目区周围一定范围内集中居民住宅区、学校、医院、保护文物、风景名胜区、水源地和生态敏感点等，应尽可能给出保护目标、性质、规模和距厂界距离等。</w:t>
      </w:r>
    </w:p>
    <w:p>
      <w:pPr>
        <w:pStyle w:val="10"/>
        <w:ind w:firstLine="600"/>
        <w:jc w:val="left"/>
        <w:rPr>
          <w:color w:val="auto"/>
          <w:sz w:val="28"/>
          <w:szCs w:val="28"/>
          <w:highlight w:val="none"/>
        </w:rPr>
      </w:pPr>
      <w:r>
        <w:rPr>
          <w:color w:val="auto"/>
          <w:sz w:val="28"/>
          <w:szCs w:val="28"/>
          <w:highlight w:val="none"/>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10"/>
        <w:ind w:firstLine="600"/>
        <w:jc w:val="left"/>
        <w:rPr>
          <w:color w:val="auto"/>
          <w:sz w:val="28"/>
          <w:szCs w:val="28"/>
          <w:highlight w:val="none"/>
        </w:rPr>
      </w:pPr>
      <w:r>
        <w:rPr>
          <w:color w:val="auto"/>
          <w:sz w:val="28"/>
          <w:szCs w:val="28"/>
          <w:highlight w:val="none"/>
        </w:rPr>
        <w:t>7．预审意见——由行业主管部门填写答复意见，无主管部门项目，可不填。</w:t>
      </w:r>
    </w:p>
    <w:p>
      <w:pPr>
        <w:pStyle w:val="10"/>
        <w:ind w:firstLine="600"/>
        <w:jc w:val="left"/>
        <w:rPr>
          <w:color w:val="auto"/>
          <w:sz w:val="28"/>
          <w:szCs w:val="28"/>
          <w:highlight w:val="none"/>
        </w:rPr>
      </w:pPr>
      <w:r>
        <w:rPr>
          <w:color w:val="auto"/>
          <w:sz w:val="28"/>
          <w:szCs w:val="28"/>
          <w:highlight w:val="none"/>
        </w:rPr>
        <w:t>8．审批意见——由负责审批该项目的环境保护行政主管部门批复。</w:t>
      </w:r>
    </w:p>
    <w:p>
      <w:pPr>
        <w:pStyle w:val="10"/>
        <w:ind w:firstLine="0"/>
        <w:jc w:val="left"/>
        <w:rPr>
          <w:color w:val="auto"/>
          <w:sz w:val="28"/>
          <w:szCs w:val="28"/>
          <w:highlight w:val="none"/>
        </w:rPr>
      </w:pPr>
    </w:p>
    <w:p>
      <w:pPr>
        <w:pStyle w:val="10"/>
        <w:ind w:firstLine="0"/>
        <w:jc w:val="left"/>
        <w:rPr>
          <w:color w:val="auto"/>
          <w:sz w:val="28"/>
          <w:szCs w:val="28"/>
          <w:highlight w:val="none"/>
        </w:rPr>
      </w:pPr>
    </w:p>
    <w:p>
      <w:pPr>
        <w:pStyle w:val="60"/>
        <w:tabs>
          <w:tab w:val="right" w:leader="dot" w:pos="9070"/>
        </w:tabs>
        <w:spacing w:line="360" w:lineRule="auto"/>
        <w:jc w:val="center"/>
        <w:rPr>
          <w:color w:val="auto"/>
          <w:sz w:val="24"/>
          <w:szCs w:val="24"/>
          <w:highlight w:val="none"/>
        </w:rPr>
      </w:pPr>
    </w:p>
    <w:p>
      <w:pPr>
        <w:pStyle w:val="60"/>
        <w:tabs>
          <w:tab w:val="right" w:leader="dot" w:pos="9070"/>
        </w:tabs>
        <w:spacing w:line="360" w:lineRule="auto"/>
        <w:jc w:val="center"/>
        <w:rPr>
          <w:color w:val="auto"/>
          <w:sz w:val="24"/>
          <w:szCs w:val="24"/>
          <w:highlight w:val="none"/>
        </w:rPr>
      </w:pPr>
    </w:p>
    <w:p>
      <w:pPr>
        <w:pStyle w:val="60"/>
        <w:tabs>
          <w:tab w:val="right" w:leader="dot" w:pos="9070"/>
        </w:tabs>
        <w:spacing w:line="360" w:lineRule="auto"/>
        <w:jc w:val="center"/>
        <w:rPr>
          <w:color w:val="auto"/>
          <w:sz w:val="24"/>
          <w:szCs w:val="24"/>
          <w:highlight w:val="none"/>
        </w:rPr>
      </w:pPr>
    </w:p>
    <w:p>
      <w:pPr>
        <w:pStyle w:val="60"/>
        <w:tabs>
          <w:tab w:val="right" w:leader="dot" w:pos="9070"/>
        </w:tabs>
        <w:spacing w:line="360" w:lineRule="auto"/>
        <w:jc w:val="center"/>
        <w:rPr>
          <w:b/>
          <w:bCs/>
          <w:color w:val="auto"/>
          <w:sz w:val="28"/>
          <w:szCs w:val="28"/>
          <w:highlight w:val="none"/>
        </w:rPr>
      </w:pPr>
      <w:r>
        <w:rPr>
          <w:b/>
          <w:bCs/>
          <w:color w:val="auto"/>
          <w:sz w:val="28"/>
          <w:szCs w:val="28"/>
          <w:highlight w:val="none"/>
        </w:rPr>
        <w:t>目录</w:t>
      </w:r>
    </w:p>
    <w:p>
      <w:pPr>
        <w:pStyle w:val="29"/>
        <w:tabs>
          <w:tab w:val="right" w:leader="dot" w:pos="9070"/>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"1-1" \u </w:instrText>
      </w:r>
      <w:r>
        <w:rPr>
          <w:color w:val="auto"/>
          <w:sz w:val="24"/>
          <w:szCs w:val="24"/>
          <w:highlight w:val="none"/>
        </w:rPr>
        <w:fldChar w:fldCharType="separate"/>
      </w:r>
      <w:r>
        <w:rPr>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_Toc27366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二、建设项目所在地自然环境简况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_Toc21937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三、环境质量现状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_Toc19866 </w:instrText>
      </w:r>
      <w:r>
        <w:rPr>
          <w:color w:val="auto"/>
          <w:sz w:val="24"/>
          <w:szCs w:val="24"/>
          <w:highlight w:val="none"/>
        </w:rPr>
        <w:fldChar w:fldCharType="separate"/>
      </w:r>
      <w:r>
        <w:rPr>
          <w:color w:val="auto"/>
          <w:sz w:val="24"/>
          <w:szCs w:val="24"/>
          <w:highlight w:val="none"/>
        </w:rPr>
        <w:t>9</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四、评价适用标准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_Toc7150 </w:instrText>
      </w:r>
      <w:r>
        <w:rPr>
          <w:color w:val="auto"/>
          <w:sz w:val="24"/>
          <w:szCs w:val="24"/>
          <w:highlight w:val="none"/>
        </w:rPr>
        <w:fldChar w:fldCharType="separate"/>
      </w:r>
      <w:r>
        <w:rPr>
          <w:color w:val="auto"/>
          <w:sz w:val="24"/>
          <w:szCs w:val="24"/>
          <w:highlight w:val="none"/>
        </w:rPr>
        <w:t>13</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五、建设项目工程分析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_Toc12791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六、项目主要污染物产生及预计排放情况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_Toc17219 </w:instrText>
      </w:r>
      <w:r>
        <w:rPr>
          <w:color w:val="auto"/>
          <w:sz w:val="24"/>
          <w:szCs w:val="24"/>
          <w:highlight w:val="none"/>
        </w:rPr>
        <w:fldChar w:fldCharType="separate"/>
      </w:r>
      <w:r>
        <w:rPr>
          <w:color w:val="auto"/>
          <w:sz w:val="24"/>
          <w:szCs w:val="24"/>
          <w:highlight w:val="none"/>
        </w:rPr>
        <w:t>23</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七、环境影响分析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_Toc20951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八、建设项目拟采取的防治措施及预期治理效果</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_Toc26781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p>
    <w:p>
      <w:pPr>
        <w:pStyle w:val="29"/>
        <w:tabs>
          <w:tab w:val="right" w:leader="dot" w:pos="9070"/>
        </w:tabs>
        <w:spacing w:line="360" w:lineRule="auto"/>
        <w:rPr>
          <w:color w:val="auto"/>
          <w:sz w:val="24"/>
          <w:szCs w:val="24"/>
          <w:highlight w:val="none"/>
        </w:rPr>
      </w:pPr>
      <w:r>
        <w:rPr>
          <w:color w:val="auto"/>
          <w:sz w:val="24"/>
          <w:szCs w:val="24"/>
          <w:highlight w:val="none"/>
        </w:rPr>
        <w:t>九、结论与建议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_Toc32499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p>
    <w:p>
      <w:pPr>
        <w:pStyle w:val="60"/>
        <w:tabs>
          <w:tab w:val="right" w:leader="dot" w:pos="9070"/>
        </w:tabs>
        <w:spacing w:line="360" w:lineRule="auto"/>
        <w:rPr>
          <w:color w:val="auto"/>
          <w:sz w:val="28"/>
          <w:szCs w:val="28"/>
          <w:highlight w:val="none"/>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color w:val="auto"/>
          <w:szCs w:val="24"/>
          <w:highlight w:val="none"/>
        </w:rPr>
        <w:fldChar w:fldCharType="end"/>
      </w:r>
    </w:p>
    <w:p>
      <w:pPr>
        <w:pStyle w:val="16"/>
        <w:spacing w:before="0" w:after="0" w:line="240" w:lineRule="auto"/>
        <w:rPr>
          <w:color w:val="auto"/>
          <w:highlight w:val="none"/>
        </w:rPr>
      </w:pPr>
      <w:bookmarkStart w:id="0" w:name="_Toc451440901"/>
      <w:bookmarkStart w:id="1" w:name="_Toc419969241"/>
      <w:bookmarkStart w:id="2" w:name="_Toc423079054"/>
      <w:bookmarkStart w:id="3" w:name="_Toc27366"/>
      <w:bookmarkStart w:id="4" w:name="_Toc429307983"/>
      <w:bookmarkStart w:id="5" w:name="_Toc28622"/>
      <w:bookmarkStart w:id="6" w:name="_Toc421087968"/>
      <w:bookmarkStart w:id="7" w:name="_Toc421053058"/>
      <w:bookmarkStart w:id="8" w:name="_Toc12643"/>
      <w:bookmarkStart w:id="9" w:name="_Toc420709128"/>
      <w:r>
        <w:rPr>
          <w:color w:val="auto"/>
          <w:sz w:val="28"/>
          <w:szCs w:val="28"/>
          <w:highlight w:val="none"/>
        </w:rPr>
        <w:t>一、建设项目基本情况</w:t>
      </w:r>
      <w:bookmarkEnd w:id="0"/>
      <w:bookmarkEnd w:id="1"/>
      <w:bookmarkEnd w:id="2"/>
      <w:bookmarkEnd w:id="3"/>
      <w:bookmarkEnd w:id="4"/>
      <w:bookmarkEnd w:id="5"/>
      <w:bookmarkEnd w:id="6"/>
      <w:bookmarkEnd w:id="7"/>
      <w:bookmarkEnd w:id="8"/>
      <w:bookmarkEnd w:id="9"/>
    </w:p>
    <w:tbl>
      <w:tblPr>
        <w:tblStyle w:val="34"/>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1787"/>
        <w:gridCol w:w="1283"/>
        <w:gridCol w:w="527"/>
        <w:gridCol w:w="1331"/>
        <w:gridCol w:w="1647"/>
        <w:gridCol w:w="1558"/>
        <w:gridCol w:w="1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tcBorders>
              <w:top w:val="single" w:color="auto" w:sz="12" w:space="0"/>
            </w:tcBorders>
            <w:vAlign w:val="center"/>
          </w:tcPr>
          <w:p>
            <w:pPr>
              <w:spacing w:line="240" w:lineRule="atLeast"/>
              <w:jc w:val="center"/>
              <w:rPr>
                <w:color w:val="auto"/>
                <w:sz w:val="24"/>
                <w:highlight w:val="none"/>
              </w:rPr>
            </w:pPr>
            <w:r>
              <w:rPr>
                <w:color w:val="auto"/>
                <w:sz w:val="24"/>
                <w:highlight w:val="none"/>
              </w:rPr>
              <w:t>项目名称</w:t>
            </w:r>
          </w:p>
        </w:tc>
        <w:tc>
          <w:tcPr>
            <w:tcW w:w="7455" w:type="dxa"/>
            <w:gridSpan w:val="6"/>
            <w:tcBorders>
              <w:top w:val="single" w:color="auto" w:sz="12" w:space="0"/>
            </w:tcBorders>
            <w:vAlign w:val="center"/>
          </w:tcPr>
          <w:p>
            <w:pPr>
              <w:spacing w:line="240" w:lineRule="atLeast"/>
              <w:jc w:val="center"/>
              <w:rPr>
                <w:rFonts w:hint="eastAsia"/>
                <w:color w:val="auto"/>
                <w:sz w:val="24"/>
                <w:szCs w:val="22"/>
                <w:highlight w:val="none"/>
              </w:rPr>
            </w:pPr>
            <w:r>
              <w:rPr>
                <w:rFonts w:hint="eastAsia"/>
                <w:color w:val="auto"/>
                <w:sz w:val="24"/>
                <w:szCs w:val="22"/>
                <w:highlight w:val="none"/>
                <w:lang w:eastAsia="zh-CN"/>
              </w:rPr>
              <w:t>开平市水口镇海旺五金制品厂年产五金卫浴配件30吨项目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建设单位</w:t>
            </w:r>
          </w:p>
        </w:tc>
        <w:tc>
          <w:tcPr>
            <w:tcW w:w="7455" w:type="dxa"/>
            <w:gridSpan w:val="6"/>
            <w:vAlign w:val="center"/>
          </w:tcPr>
          <w:p>
            <w:pPr>
              <w:spacing w:line="240" w:lineRule="atLeast"/>
              <w:jc w:val="center"/>
              <w:rPr>
                <w:rFonts w:hint="eastAsia"/>
                <w:color w:val="auto"/>
                <w:sz w:val="24"/>
                <w:szCs w:val="22"/>
                <w:highlight w:val="none"/>
              </w:rPr>
            </w:pPr>
            <w:r>
              <w:rPr>
                <w:rFonts w:hint="eastAsia"/>
                <w:color w:val="auto"/>
                <w:sz w:val="24"/>
                <w:szCs w:val="22"/>
                <w:highlight w:val="none"/>
                <w:lang w:eastAsia="zh-CN"/>
              </w:rPr>
              <w:t>开平市水口镇海旺五金制品厂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法人代表</w:t>
            </w:r>
          </w:p>
        </w:tc>
        <w:tc>
          <w:tcPr>
            <w:tcW w:w="3141" w:type="dxa"/>
            <w:gridSpan w:val="3"/>
            <w:vAlign w:val="center"/>
          </w:tcPr>
          <w:p>
            <w:pPr>
              <w:spacing w:line="240" w:lineRule="atLeast"/>
              <w:jc w:val="center"/>
              <w:rPr>
                <w:color w:val="auto"/>
                <w:sz w:val="24"/>
                <w:highlight w:val="none"/>
              </w:rPr>
            </w:pPr>
          </w:p>
        </w:tc>
        <w:tc>
          <w:tcPr>
            <w:tcW w:w="1647" w:type="dxa"/>
            <w:vAlign w:val="center"/>
          </w:tcPr>
          <w:p>
            <w:pPr>
              <w:spacing w:line="240" w:lineRule="atLeast"/>
              <w:jc w:val="center"/>
              <w:rPr>
                <w:color w:val="auto"/>
                <w:sz w:val="24"/>
                <w:highlight w:val="none"/>
              </w:rPr>
            </w:pPr>
            <w:r>
              <w:rPr>
                <w:color w:val="auto"/>
                <w:sz w:val="24"/>
                <w:highlight w:val="none"/>
              </w:rPr>
              <w:t>联系人</w:t>
            </w:r>
          </w:p>
        </w:tc>
        <w:tc>
          <w:tcPr>
            <w:tcW w:w="2667" w:type="dxa"/>
            <w:gridSpan w:val="2"/>
            <w:vAlign w:val="center"/>
          </w:tcPr>
          <w:p>
            <w:pPr>
              <w:spacing w:line="240" w:lineRule="atLeast"/>
              <w:jc w:val="center"/>
              <w:rPr>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通讯地址</w:t>
            </w:r>
          </w:p>
        </w:tc>
        <w:tc>
          <w:tcPr>
            <w:tcW w:w="7455" w:type="dxa"/>
            <w:gridSpan w:val="6"/>
            <w:vAlign w:val="center"/>
          </w:tcPr>
          <w:p>
            <w:pPr>
              <w:spacing w:line="240" w:lineRule="atLeast"/>
              <w:jc w:val="center"/>
              <w:rPr>
                <w:rFonts w:hint="default" w:ascii="Times New Roman" w:hAnsi="Times New Roman" w:cs="Times New Roman"/>
                <w:b w:val="0"/>
                <w:bCs w:val="0"/>
                <w:color w:val="auto"/>
                <w:sz w:val="24"/>
                <w:highlight w:val="none"/>
                <w:lang w:val="en-US"/>
              </w:rPr>
            </w:pPr>
            <w:r>
              <w:rPr>
                <w:rFonts w:hint="default" w:ascii="Times New Roman" w:hAnsi="Times New Roman" w:cs="Times New Roman"/>
                <w:b w:val="0"/>
                <w:bCs w:val="0"/>
                <w:color w:val="auto"/>
                <w:sz w:val="24"/>
                <w:szCs w:val="22"/>
                <w:highlight w:val="none"/>
                <w:lang w:eastAsia="zh-CN"/>
              </w:rPr>
              <w:t>开平市水口镇第二工业园合龙路A15-1号之一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联系电话</w:t>
            </w:r>
          </w:p>
        </w:tc>
        <w:tc>
          <w:tcPr>
            <w:tcW w:w="1810" w:type="dxa"/>
            <w:gridSpan w:val="2"/>
            <w:vAlign w:val="center"/>
          </w:tcPr>
          <w:p>
            <w:pPr>
              <w:spacing w:line="240" w:lineRule="atLeast"/>
              <w:jc w:val="center"/>
              <w:rPr>
                <w:rFonts w:hint="default" w:ascii="Times New Roman" w:hAnsi="Times New Roman" w:cs="Times New Roman"/>
                <w:b w:val="0"/>
                <w:bCs w:val="0"/>
                <w:color w:val="auto"/>
                <w:sz w:val="24"/>
                <w:highlight w:val="none"/>
                <w:lang w:val="en-US"/>
              </w:rPr>
            </w:pPr>
          </w:p>
        </w:tc>
        <w:tc>
          <w:tcPr>
            <w:tcW w:w="1331" w:type="dxa"/>
            <w:vAlign w:val="center"/>
          </w:tcPr>
          <w:p>
            <w:pPr>
              <w:spacing w:line="240" w:lineRule="atLeast"/>
              <w:jc w:val="center"/>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传真</w:t>
            </w:r>
          </w:p>
        </w:tc>
        <w:tc>
          <w:tcPr>
            <w:tcW w:w="1647" w:type="dxa"/>
            <w:vAlign w:val="center"/>
          </w:tcPr>
          <w:p>
            <w:pPr>
              <w:spacing w:line="240" w:lineRule="atLeast"/>
              <w:jc w:val="center"/>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w:t>
            </w:r>
          </w:p>
        </w:tc>
        <w:tc>
          <w:tcPr>
            <w:tcW w:w="1558" w:type="dxa"/>
            <w:vAlign w:val="center"/>
          </w:tcPr>
          <w:p>
            <w:pPr>
              <w:spacing w:line="240" w:lineRule="atLeast"/>
              <w:jc w:val="center"/>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邮政编码</w:t>
            </w:r>
          </w:p>
        </w:tc>
        <w:tc>
          <w:tcPr>
            <w:tcW w:w="1109" w:type="dxa"/>
            <w:vAlign w:val="center"/>
          </w:tcPr>
          <w:p>
            <w:pPr>
              <w:spacing w:line="240" w:lineRule="atLeast"/>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529321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建设地点</w:t>
            </w:r>
          </w:p>
        </w:tc>
        <w:tc>
          <w:tcPr>
            <w:tcW w:w="7455" w:type="dxa"/>
            <w:gridSpan w:val="6"/>
            <w:vAlign w:val="center"/>
          </w:tcPr>
          <w:p>
            <w:pPr>
              <w:pStyle w:val="52"/>
              <w:autoSpaceDE/>
              <w:autoSpaceDN/>
              <w:adjustRightInd/>
              <w:spacing w:line="240" w:lineRule="atLeast"/>
              <w:textAlignment w:val="auto"/>
              <w:rPr>
                <w:rFonts w:hint="default" w:ascii="Times New Roman" w:hAnsi="Times New Roman" w:cs="Times New Roman"/>
                <w:b w:val="0"/>
                <w:bCs w:val="0"/>
                <w:color w:val="auto"/>
                <w:kern w:val="2"/>
                <w:highlight w:val="none"/>
              </w:rPr>
            </w:pPr>
            <w:r>
              <w:rPr>
                <w:rFonts w:hint="default" w:ascii="Times New Roman" w:hAnsi="Times New Roman" w:cs="Times New Roman"/>
                <w:b w:val="0"/>
                <w:bCs w:val="0"/>
                <w:color w:val="auto"/>
                <w:sz w:val="24"/>
                <w:szCs w:val="22"/>
                <w:highlight w:val="none"/>
                <w:lang w:eastAsia="zh-CN"/>
              </w:rPr>
              <w:t>开平市水口镇第二工业园合龙路A15-1号之一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90" w:hRule="atLeast"/>
          <w:jc w:val="center"/>
        </w:trPr>
        <w:tc>
          <w:tcPr>
            <w:tcW w:w="1787" w:type="dxa"/>
            <w:vAlign w:val="center"/>
          </w:tcPr>
          <w:p>
            <w:pPr>
              <w:spacing w:line="240" w:lineRule="atLeast"/>
              <w:jc w:val="center"/>
              <w:rPr>
                <w:color w:val="auto"/>
                <w:sz w:val="24"/>
                <w:highlight w:val="none"/>
              </w:rPr>
            </w:pPr>
            <w:r>
              <w:rPr>
                <w:color w:val="auto"/>
                <w:sz w:val="24"/>
                <w:highlight w:val="none"/>
              </w:rPr>
              <w:t>立项审批部门</w:t>
            </w:r>
          </w:p>
        </w:tc>
        <w:tc>
          <w:tcPr>
            <w:tcW w:w="3141" w:type="dxa"/>
            <w:gridSpan w:val="3"/>
            <w:vAlign w:val="center"/>
          </w:tcPr>
          <w:p>
            <w:pPr>
              <w:spacing w:line="240" w:lineRule="atLeast"/>
              <w:jc w:val="center"/>
              <w:rPr>
                <w:color w:val="auto"/>
                <w:sz w:val="24"/>
                <w:highlight w:val="none"/>
              </w:rPr>
            </w:pPr>
            <w:r>
              <w:rPr>
                <w:color w:val="auto"/>
                <w:sz w:val="24"/>
                <w:highlight w:val="none"/>
              </w:rPr>
              <w:t>——</w:t>
            </w:r>
          </w:p>
        </w:tc>
        <w:tc>
          <w:tcPr>
            <w:tcW w:w="1647" w:type="dxa"/>
            <w:vAlign w:val="center"/>
          </w:tcPr>
          <w:p>
            <w:pPr>
              <w:spacing w:line="240" w:lineRule="atLeast"/>
              <w:jc w:val="center"/>
              <w:rPr>
                <w:color w:val="auto"/>
                <w:sz w:val="24"/>
                <w:highlight w:val="none"/>
              </w:rPr>
            </w:pPr>
            <w:r>
              <w:rPr>
                <w:color w:val="auto"/>
                <w:sz w:val="24"/>
                <w:highlight w:val="none"/>
              </w:rPr>
              <w:t>批准文号</w:t>
            </w:r>
          </w:p>
        </w:tc>
        <w:tc>
          <w:tcPr>
            <w:tcW w:w="2667" w:type="dxa"/>
            <w:gridSpan w:val="2"/>
            <w:vAlign w:val="center"/>
          </w:tcPr>
          <w:p>
            <w:pPr>
              <w:spacing w:line="240" w:lineRule="atLeast"/>
              <w:jc w:val="center"/>
              <w:rPr>
                <w:color w:val="auto"/>
                <w:sz w:val="24"/>
                <w:highlight w:val="none"/>
              </w:rPr>
            </w:pPr>
            <w:r>
              <w:rPr>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360" w:lineRule="exact"/>
              <w:jc w:val="center"/>
              <w:rPr>
                <w:color w:val="auto"/>
                <w:sz w:val="24"/>
                <w:highlight w:val="none"/>
              </w:rPr>
            </w:pPr>
            <w:r>
              <w:rPr>
                <w:color w:val="auto"/>
                <w:sz w:val="24"/>
                <w:highlight w:val="none"/>
              </w:rPr>
              <w:t>建设性质</w:t>
            </w:r>
          </w:p>
        </w:tc>
        <w:tc>
          <w:tcPr>
            <w:tcW w:w="3141" w:type="dxa"/>
            <w:gridSpan w:val="3"/>
            <w:vAlign w:val="center"/>
          </w:tcPr>
          <w:p>
            <w:pPr>
              <w:spacing w:line="360" w:lineRule="exact"/>
              <w:jc w:val="center"/>
              <w:rPr>
                <w:color w:val="auto"/>
                <w:kern w:val="0"/>
                <w:sz w:val="24"/>
                <w:highlight w:val="none"/>
              </w:rPr>
            </w:pPr>
            <w:r>
              <w:rPr>
                <w:color w:val="auto"/>
                <w:sz w:val="44"/>
                <w:szCs w:val="44"/>
                <w:highlight w:val="none"/>
              </w:rPr>
              <w:t>■</w:t>
            </w:r>
            <w:r>
              <w:rPr>
                <w:color w:val="auto"/>
                <w:sz w:val="24"/>
                <w:szCs w:val="24"/>
                <w:highlight w:val="none"/>
              </w:rPr>
              <w:t>新建</w:t>
            </w:r>
            <w:r>
              <w:rPr>
                <w:color w:val="auto"/>
                <w:sz w:val="44"/>
                <w:szCs w:val="44"/>
                <w:highlight w:val="none"/>
              </w:rPr>
              <w:t>□</w:t>
            </w:r>
            <w:r>
              <w:rPr>
                <w:color w:val="auto"/>
                <w:sz w:val="24"/>
                <w:szCs w:val="24"/>
                <w:highlight w:val="none"/>
              </w:rPr>
              <w:t>改扩建</w:t>
            </w:r>
            <w:r>
              <w:rPr>
                <w:color w:val="auto"/>
                <w:sz w:val="44"/>
                <w:szCs w:val="44"/>
                <w:highlight w:val="none"/>
              </w:rPr>
              <w:t>□</w:t>
            </w:r>
            <w:r>
              <w:rPr>
                <w:color w:val="auto"/>
                <w:sz w:val="24"/>
                <w:szCs w:val="24"/>
                <w:highlight w:val="none"/>
              </w:rPr>
              <w:t>技改</w:t>
            </w:r>
          </w:p>
        </w:tc>
        <w:tc>
          <w:tcPr>
            <w:tcW w:w="1647" w:type="dxa"/>
            <w:vAlign w:val="center"/>
          </w:tcPr>
          <w:p>
            <w:pPr>
              <w:spacing w:line="240" w:lineRule="atLeast"/>
              <w:jc w:val="center"/>
              <w:rPr>
                <w:color w:val="auto"/>
                <w:sz w:val="24"/>
                <w:highlight w:val="none"/>
              </w:rPr>
            </w:pPr>
            <w:r>
              <w:rPr>
                <w:color w:val="auto"/>
                <w:sz w:val="24"/>
                <w:highlight w:val="none"/>
              </w:rPr>
              <w:t>行业类别</w:t>
            </w:r>
          </w:p>
          <w:p>
            <w:pPr>
              <w:spacing w:line="240" w:lineRule="atLeast"/>
              <w:jc w:val="center"/>
              <w:rPr>
                <w:color w:val="auto"/>
                <w:sz w:val="24"/>
                <w:highlight w:val="none"/>
              </w:rPr>
            </w:pPr>
            <w:r>
              <w:rPr>
                <w:color w:val="auto"/>
                <w:sz w:val="24"/>
                <w:highlight w:val="none"/>
              </w:rPr>
              <w:t>及代码</w:t>
            </w:r>
          </w:p>
        </w:tc>
        <w:tc>
          <w:tcPr>
            <w:tcW w:w="2667" w:type="dxa"/>
            <w:gridSpan w:val="2"/>
            <w:vAlign w:val="center"/>
          </w:tcPr>
          <w:p>
            <w:pPr>
              <w:widowControl/>
              <w:spacing w:line="315" w:lineRule="atLeast"/>
              <w:jc w:val="center"/>
              <w:rPr>
                <w:rFonts w:hint="default" w:eastAsia="宋体"/>
                <w:color w:val="auto"/>
                <w:sz w:val="24"/>
                <w:highlight w:val="none"/>
                <w:lang w:val="en-US" w:eastAsia="zh-CN"/>
              </w:rPr>
            </w:pPr>
            <w:r>
              <w:rPr>
                <w:color w:val="auto"/>
                <w:sz w:val="24"/>
                <w:highlight w:val="none"/>
              </w:rPr>
              <w:t>C3383金属制卫生器具制造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占地面积</w:t>
            </w:r>
          </w:p>
          <w:p>
            <w:pPr>
              <w:spacing w:line="240" w:lineRule="atLeast"/>
              <w:jc w:val="center"/>
              <w:rPr>
                <w:color w:val="auto"/>
                <w:sz w:val="24"/>
                <w:highlight w:val="none"/>
              </w:rPr>
            </w:pPr>
            <w:r>
              <w:rPr>
                <w:color w:val="auto"/>
                <w:sz w:val="24"/>
                <w:highlight w:val="none"/>
              </w:rPr>
              <w:t>（平方米）</w:t>
            </w:r>
          </w:p>
        </w:tc>
        <w:tc>
          <w:tcPr>
            <w:tcW w:w="3141" w:type="dxa"/>
            <w:gridSpan w:val="3"/>
            <w:vAlign w:val="center"/>
          </w:tcPr>
          <w:p>
            <w:pPr>
              <w:spacing w:line="240" w:lineRule="atLeast"/>
              <w:jc w:val="center"/>
              <w:rPr>
                <w:rFonts w:hint="default" w:eastAsia="宋体"/>
                <w:color w:val="auto"/>
                <w:sz w:val="24"/>
                <w:highlight w:val="none"/>
                <w:lang w:val="en-US" w:eastAsia="zh-CN"/>
              </w:rPr>
            </w:pPr>
            <w:r>
              <w:rPr>
                <w:rFonts w:hint="eastAsia"/>
                <w:color w:val="auto"/>
                <w:sz w:val="24"/>
                <w:highlight w:val="none"/>
                <w:lang w:val="en-US" w:eastAsia="zh-CN"/>
              </w:rPr>
              <w:t>1000</w:t>
            </w:r>
          </w:p>
        </w:tc>
        <w:tc>
          <w:tcPr>
            <w:tcW w:w="1647" w:type="dxa"/>
            <w:vAlign w:val="center"/>
          </w:tcPr>
          <w:p>
            <w:pPr>
              <w:spacing w:line="240" w:lineRule="atLeast"/>
              <w:jc w:val="center"/>
              <w:rPr>
                <w:rFonts w:hint="eastAsia" w:eastAsia="宋体"/>
                <w:color w:val="auto"/>
                <w:sz w:val="24"/>
                <w:highlight w:val="none"/>
                <w:lang w:eastAsia="zh-CN"/>
              </w:rPr>
            </w:pPr>
            <w:r>
              <w:rPr>
                <w:rFonts w:hint="eastAsia"/>
                <w:color w:val="auto"/>
                <w:sz w:val="24"/>
                <w:highlight w:val="none"/>
                <w:lang w:eastAsia="zh-CN"/>
              </w:rPr>
              <w:t>建筑面积</w:t>
            </w:r>
          </w:p>
          <w:p>
            <w:pPr>
              <w:spacing w:line="240" w:lineRule="atLeast"/>
              <w:jc w:val="center"/>
              <w:rPr>
                <w:color w:val="auto"/>
                <w:sz w:val="24"/>
                <w:highlight w:val="none"/>
              </w:rPr>
            </w:pPr>
            <w:r>
              <w:rPr>
                <w:color w:val="auto"/>
                <w:sz w:val="24"/>
                <w:highlight w:val="none"/>
              </w:rPr>
              <w:t>（平方米）</w:t>
            </w:r>
          </w:p>
        </w:tc>
        <w:tc>
          <w:tcPr>
            <w:tcW w:w="2667" w:type="dxa"/>
            <w:gridSpan w:val="2"/>
            <w:vAlign w:val="center"/>
          </w:tcPr>
          <w:p>
            <w:pPr>
              <w:spacing w:line="240" w:lineRule="atLeast"/>
              <w:jc w:val="center"/>
              <w:rPr>
                <w:rFonts w:hint="default" w:eastAsia="宋体"/>
                <w:color w:val="auto"/>
                <w:sz w:val="24"/>
                <w:highlight w:val="none"/>
                <w:lang w:val="en-US" w:eastAsia="zh-CN"/>
              </w:rPr>
            </w:pPr>
            <w:r>
              <w:rPr>
                <w:rFonts w:hint="eastAsia"/>
                <w:color w:val="auto"/>
                <w:sz w:val="24"/>
                <w:highlight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总投资</w:t>
            </w:r>
          </w:p>
          <w:p>
            <w:pPr>
              <w:spacing w:line="240" w:lineRule="atLeast"/>
              <w:jc w:val="center"/>
              <w:rPr>
                <w:color w:val="auto"/>
                <w:sz w:val="24"/>
                <w:highlight w:val="none"/>
              </w:rPr>
            </w:pPr>
            <w:r>
              <w:rPr>
                <w:color w:val="auto"/>
                <w:sz w:val="24"/>
                <w:highlight w:val="none"/>
              </w:rPr>
              <w:t>（万元）</w:t>
            </w:r>
          </w:p>
        </w:tc>
        <w:tc>
          <w:tcPr>
            <w:tcW w:w="1283" w:type="dxa"/>
            <w:vAlign w:val="center"/>
          </w:tcPr>
          <w:p>
            <w:pPr>
              <w:spacing w:line="240" w:lineRule="atLeast"/>
              <w:jc w:val="center"/>
              <w:rPr>
                <w:rFonts w:hint="default" w:eastAsia="宋体"/>
                <w:color w:val="auto"/>
                <w:sz w:val="24"/>
                <w:highlight w:val="none"/>
                <w:lang w:val="en-US" w:eastAsia="zh-CN"/>
              </w:rPr>
            </w:pPr>
            <w:r>
              <w:rPr>
                <w:rFonts w:hint="eastAsia"/>
                <w:color w:val="auto"/>
                <w:sz w:val="24"/>
                <w:highlight w:val="none"/>
                <w:lang w:val="en-US" w:eastAsia="zh-CN"/>
              </w:rPr>
              <w:t>50</w:t>
            </w:r>
          </w:p>
        </w:tc>
        <w:tc>
          <w:tcPr>
            <w:tcW w:w="1858" w:type="dxa"/>
            <w:gridSpan w:val="2"/>
            <w:vAlign w:val="center"/>
          </w:tcPr>
          <w:p>
            <w:pPr>
              <w:spacing w:line="240" w:lineRule="atLeast"/>
              <w:jc w:val="center"/>
              <w:rPr>
                <w:color w:val="auto"/>
                <w:spacing w:val="-16"/>
                <w:sz w:val="24"/>
                <w:highlight w:val="none"/>
              </w:rPr>
            </w:pPr>
            <w:r>
              <w:rPr>
                <w:color w:val="auto"/>
                <w:spacing w:val="-16"/>
                <w:sz w:val="24"/>
                <w:highlight w:val="none"/>
              </w:rPr>
              <w:t>其中：环保投资</w:t>
            </w:r>
          </w:p>
          <w:p>
            <w:pPr>
              <w:spacing w:line="240" w:lineRule="atLeast"/>
              <w:jc w:val="center"/>
              <w:rPr>
                <w:color w:val="auto"/>
                <w:spacing w:val="-16"/>
                <w:sz w:val="24"/>
                <w:highlight w:val="none"/>
              </w:rPr>
            </w:pPr>
            <w:r>
              <w:rPr>
                <w:color w:val="auto"/>
                <w:spacing w:val="-16"/>
                <w:sz w:val="24"/>
                <w:highlight w:val="none"/>
              </w:rPr>
              <w:t>（万元）</w:t>
            </w:r>
          </w:p>
        </w:tc>
        <w:tc>
          <w:tcPr>
            <w:tcW w:w="1647" w:type="dxa"/>
            <w:vAlign w:val="center"/>
          </w:tcPr>
          <w:p>
            <w:pPr>
              <w:spacing w:line="240" w:lineRule="atLeast"/>
              <w:jc w:val="center"/>
              <w:rPr>
                <w:rFonts w:hint="default" w:eastAsia="宋体"/>
                <w:color w:val="auto"/>
                <w:sz w:val="24"/>
                <w:highlight w:val="none"/>
                <w:lang w:val="en-US" w:eastAsia="zh-CN"/>
              </w:rPr>
            </w:pPr>
            <w:r>
              <w:rPr>
                <w:rFonts w:hint="eastAsia"/>
                <w:color w:val="auto"/>
                <w:sz w:val="24"/>
                <w:highlight w:val="none"/>
                <w:lang w:val="en-US" w:eastAsia="zh-CN"/>
              </w:rPr>
              <w:t>11</w:t>
            </w:r>
          </w:p>
        </w:tc>
        <w:tc>
          <w:tcPr>
            <w:tcW w:w="1558" w:type="dxa"/>
            <w:vAlign w:val="center"/>
          </w:tcPr>
          <w:p>
            <w:pPr>
              <w:spacing w:line="240" w:lineRule="atLeast"/>
              <w:jc w:val="center"/>
              <w:rPr>
                <w:color w:val="auto"/>
                <w:spacing w:val="-12"/>
                <w:sz w:val="24"/>
                <w:highlight w:val="none"/>
              </w:rPr>
            </w:pPr>
            <w:r>
              <w:rPr>
                <w:color w:val="auto"/>
                <w:sz w:val="24"/>
                <w:szCs w:val="24"/>
                <w:highlight w:val="none"/>
              </w:rPr>
              <w:t>环保投资占总投资比例</w:t>
            </w:r>
          </w:p>
        </w:tc>
        <w:tc>
          <w:tcPr>
            <w:tcW w:w="1109" w:type="dxa"/>
            <w:vAlign w:val="center"/>
          </w:tcPr>
          <w:p>
            <w:pPr>
              <w:spacing w:line="240" w:lineRule="atLeast"/>
              <w:jc w:val="center"/>
              <w:rPr>
                <w:color w:val="auto"/>
                <w:sz w:val="24"/>
                <w:highlight w:val="none"/>
              </w:rPr>
            </w:pPr>
            <w:r>
              <w:rPr>
                <w:rFonts w:hint="eastAsia"/>
                <w:color w:val="auto"/>
                <w:sz w:val="24"/>
                <w:highlight w:val="none"/>
                <w:lang w:val="en-US" w:eastAsia="zh-CN"/>
              </w:rPr>
              <w:t>22</w:t>
            </w:r>
            <w:r>
              <w:rPr>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567" w:hRule="atLeast"/>
          <w:jc w:val="center"/>
        </w:trPr>
        <w:tc>
          <w:tcPr>
            <w:tcW w:w="1787" w:type="dxa"/>
            <w:vAlign w:val="center"/>
          </w:tcPr>
          <w:p>
            <w:pPr>
              <w:spacing w:line="240" w:lineRule="atLeast"/>
              <w:jc w:val="center"/>
              <w:rPr>
                <w:color w:val="auto"/>
                <w:sz w:val="24"/>
                <w:highlight w:val="none"/>
              </w:rPr>
            </w:pPr>
            <w:r>
              <w:rPr>
                <w:color w:val="auto"/>
                <w:sz w:val="24"/>
                <w:highlight w:val="none"/>
              </w:rPr>
              <w:t>评价经费</w:t>
            </w:r>
          </w:p>
          <w:p>
            <w:pPr>
              <w:spacing w:line="240" w:lineRule="atLeast"/>
              <w:jc w:val="center"/>
              <w:rPr>
                <w:color w:val="auto"/>
                <w:sz w:val="24"/>
                <w:highlight w:val="none"/>
              </w:rPr>
            </w:pPr>
            <w:r>
              <w:rPr>
                <w:color w:val="auto"/>
                <w:sz w:val="24"/>
                <w:highlight w:val="none"/>
              </w:rPr>
              <w:t>（万元）</w:t>
            </w:r>
          </w:p>
        </w:tc>
        <w:tc>
          <w:tcPr>
            <w:tcW w:w="1283" w:type="dxa"/>
            <w:vAlign w:val="center"/>
          </w:tcPr>
          <w:p>
            <w:pPr>
              <w:spacing w:line="240" w:lineRule="atLeast"/>
              <w:jc w:val="center"/>
              <w:rPr>
                <w:rFonts w:hint="eastAsia" w:eastAsia="宋体"/>
                <w:color w:val="auto"/>
                <w:sz w:val="24"/>
                <w:highlight w:val="none"/>
                <w:lang w:val="en-US" w:eastAsia="zh-CN"/>
              </w:rPr>
            </w:pPr>
            <w:r>
              <w:rPr>
                <w:rFonts w:hint="eastAsia"/>
                <w:color w:val="auto"/>
                <w:sz w:val="24"/>
                <w:highlight w:val="none"/>
                <w:lang w:val="en-US" w:eastAsia="zh-CN"/>
              </w:rPr>
              <w:t>1</w:t>
            </w:r>
          </w:p>
        </w:tc>
        <w:tc>
          <w:tcPr>
            <w:tcW w:w="1858" w:type="dxa"/>
            <w:gridSpan w:val="2"/>
            <w:vAlign w:val="center"/>
          </w:tcPr>
          <w:p>
            <w:pPr>
              <w:spacing w:line="240" w:lineRule="atLeast"/>
              <w:jc w:val="center"/>
              <w:rPr>
                <w:color w:val="auto"/>
                <w:sz w:val="24"/>
                <w:highlight w:val="none"/>
              </w:rPr>
            </w:pPr>
            <w:r>
              <w:rPr>
                <w:color w:val="auto"/>
                <w:sz w:val="24"/>
                <w:highlight w:val="none"/>
              </w:rPr>
              <w:t>预期投产日期</w:t>
            </w:r>
          </w:p>
        </w:tc>
        <w:tc>
          <w:tcPr>
            <w:tcW w:w="4314" w:type="dxa"/>
            <w:gridSpan w:val="3"/>
            <w:vAlign w:val="center"/>
          </w:tcPr>
          <w:p>
            <w:pPr>
              <w:spacing w:line="240" w:lineRule="atLeast"/>
              <w:jc w:val="center"/>
              <w:rPr>
                <w:color w:val="auto"/>
                <w:sz w:val="24"/>
                <w:highlight w:val="none"/>
              </w:rPr>
            </w:pPr>
            <w:r>
              <w:rPr>
                <w:color w:val="auto"/>
                <w:sz w:val="24"/>
                <w:highlight w:val="none"/>
              </w:rPr>
              <w:t>2019年</w:t>
            </w:r>
            <w:r>
              <w:rPr>
                <w:rFonts w:hint="eastAsia"/>
                <w:color w:val="auto"/>
                <w:sz w:val="24"/>
                <w:highlight w:val="none"/>
                <w:lang w:val="en-US" w:eastAsia="zh-CN"/>
              </w:rPr>
              <w:t>12</w:t>
            </w:r>
            <w:r>
              <w:rPr>
                <w:color w:val="auto"/>
                <w:sz w:val="24"/>
                <w:highlight w:val="none"/>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1905" w:hRule="atLeast"/>
          <w:jc w:val="center"/>
        </w:trPr>
        <w:tc>
          <w:tcPr>
            <w:tcW w:w="9242" w:type="dxa"/>
            <w:gridSpan w:val="7"/>
          </w:tcPr>
          <w:p>
            <w:pPr>
              <w:spacing w:line="360" w:lineRule="auto"/>
              <w:rPr>
                <w:rFonts w:hint="eastAsia" w:eastAsia="宋体"/>
                <w:b/>
                <w:color w:val="auto"/>
                <w:sz w:val="24"/>
                <w:szCs w:val="24"/>
                <w:highlight w:val="none"/>
                <w:lang w:eastAsia="zh-CN"/>
              </w:rPr>
            </w:pPr>
            <w:r>
              <w:rPr>
                <w:b/>
                <w:color w:val="auto"/>
                <w:sz w:val="24"/>
                <w:szCs w:val="24"/>
                <w:highlight w:val="none"/>
              </w:rPr>
              <w:t>工程内容及规模</w:t>
            </w:r>
          </w:p>
          <w:p>
            <w:pPr>
              <w:spacing w:line="360" w:lineRule="auto"/>
              <w:ind w:firstLine="354" w:firstLineChars="147"/>
              <w:rPr>
                <w:rFonts w:hint="default" w:ascii="Times New Roman" w:hAnsi="Times New Roman" w:eastAsia="宋体" w:cs="Times New Roman"/>
                <w:color w:val="auto"/>
                <w:sz w:val="24"/>
                <w:szCs w:val="22"/>
                <w:highlight w:val="none"/>
                <w:lang w:eastAsia="zh-CN"/>
              </w:rPr>
            </w:pPr>
            <w:r>
              <w:rPr>
                <w:b/>
                <w:color w:val="auto"/>
                <w:sz w:val="24"/>
                <w:szCs w:val="24"/>
                <w:highlight w:val="none"/>
              </w:rPr>
              <w:t>1、项目由来</w:t>
            </w:r>
          </w:p>
          <w:p>
            <w:pPr>
              <w:spacing w:line="360" w:lineRule="auto"/>
              <w:ind w:firstLine="480" w:firstLineChars="200"/>
              <w:rPr>
                <w:color w:val="auto"/>
                <w:sz w:val="24"/>
                <w:szCs w:val="24"/>
                <w:highlight w:val="none"/>
              </w:rPr>
            </w:pPr>
            <w:r>
              <w:rPr>
                <w:rFonts w:hint="eastAsia"/>
                <w:color w:val="auto"/>
                <w:sz w:val="24"/>
                <w:szCs w:val="22"/>
                <w:highlight w:val="none"/>
                <w:lang w:eastAsia="zh-CN"/>
              </w:rPr>
              <w:t>开平市水口镇海旺五金制品厂年产五金卫浴配件30吨项目</w:t>
            </w:r>
            <w:r>
              <w:rPr>
                <w:color w:val="auto"/>
                <w:sz w:val="24"/>
                <w:szCs w:val="24"/>
                <w:highlight w:val="none"/>
              </w:rPr>
              <w:t>（以下简称“本项目”）位</w:t>
            </w:r>
            <w:r>
              <w:rPr>
                <w:rFonts w:hint="eastAsia"/>
                <w:color w:val="auto"/>
                <w:sz w:val="24"/>
                <w:szCs w:val="22"/>
                <w:highlight w:val="none"/>
                <w:lang w:eastAsia="zh-CN"/>
              </w:rPr>
              <w:t>于</w:t>
            </w:r>
            <w:r>
              <w:rPr>
                <w:rFonts w:hint="eastAsia"/>
                <w:b w:val="0"/>
                <w:bCs w:val="0"/>
                <w:color w:val="auto"/>
                <w:sz w:val="24"/>
                <w:szCs w:val="22"/>
                <w:highlight w:val="none"/>
                <w:lang w:eastAsia="zh-CN"/>
              </w:rPr>
              <w:t>开平市水口镇第二工业园合龙路A15-1号之一</w:t>
            </w:r>
            <w:r>
              <w:rPr>
                <w:color w:val="auto"/>
                <w:sz w:val="24"/>
                <w:szCs w:val="24"/>
                <w:highlight w:val="none"/>
              </w:rPr>
              <w:t>，中心位置坐标为（N</w:t>
            </w:r>
            <w:r>
              <w:rPr>
                <w:rFonts w:hint="default" w:ascii="Times New Roman" w:hAnsi="Times New Roman" w:eastAsia="宋体" w:cs="Times New Roman"/>
                <w:color w:val="auto"/>
                <w:sz w:val="24"/>
                <w:szCs w:val="22"/>
                <w:highlight w:val="none"/>
                <w:lang w:eastAsia="zh-CN"/>
              </w:rPr>
              <w:t>22.4502173°</w:t>
            </w:r>
            <w:r>
              <w:rPr>
                <w:color w:val="auto"/>
                <w:sz w:val="24"/>
                <w:szCs w:val="24"/>
                <w:highlight w:val="none"/>
              </w:rPr>
              <w:t>，E</w:t>
            </w:r>
            <w:r>
              <w:rPr>
                <w:rFonts w:hint="default" w:ascii="Times New Roman" w:hAnsi="Times New Roman" w:eastAsia="宋体" w:cs="Times New Roman"/>
                <w:color w:val="auto"/>
                <w:sz w:val="24"/>
                <w:szCs w:val="22"/>
                <w:highlight w:val="none"/>
                <w:lang w:eastAsia="zh-CN"/>
              </w:rPr>
              <w:t>112.777926°</w:t>
            </w:r>
            <w:r>
              <w:rPr>
                <w:color w:val="auto"/>
                <w:sz w:val="24"/>
                <w:szCs w:val="24"/>
                <w:highlight w:val="none"/>
              </w:rPr>
              <w:t>）。项目占地面积</w:t>
            </w:r>
            <w:r>
              <w:rPr>
                <w:rFonts w:hint="eastAsia"/>
                <w:color w:val="auto"/>
                <w:sz w:val="24"/>
                <w:szCs w:val="24"/>
                <w:highlight w:val="none"/>
                <w:lang w:val="en-US" w:eastAsia="zh-CN"/>
              </w:rPr>
              <w:t>1000</w:t>
            </w:r>
            <w:r>
              <w:rPr>
                <w:color w:val="auto"/>
                <w:sz w:val="24"/>
                <w:szCs w:val="24"/>
                <w:highlight w:val="none"/>
              </w:rPr>
              <w:t>平方米，</w:t>
            </w:r>
            <w:r>
              <w:rPr>
                <w:rFonts w:hint="eastAsia"/>
                <w:color w:val="auto"/>
                <w:sz w:val="24"/>
                <w:szCs w:val="24"/>
                <w:highlight w:val="none"/>
                <w:lang w:eastAsia="zh-CN"/>
              </w:rPr>
              <w:t>建筑面积</w:t>
            </w:r>
            <w:r>
              <w:rPr>
                <w:rFonts w:hint="eastAsia"/>
                <w:color w:val="auto"/>
                <w:sz w:val="24"/>
                <w:szCs w:val="24"/>
                <w:highlight w:val="none"/>
                <w:lang w:val="en-US" w:eastAsia="zh-CN"/>
              </w:rPr>
              <w:t>1000</w:t>
            </w:r>
            <w:r>
              <w:rPr>
                <w:color w:val="auto"/>
                <w:sz w:val="24"/>
                <w:szCs w:val="24"/>
                <w:highlight w:val="none"/>
              </w:rPr>
              <w:t>平方米，总投资</w:t>
            </w:r>
            <w:r>
              <w:rPr>
                <w:rFonts w:hint="eastAsia"/>
                <w:color w:val="auto"/>
                <w:sz w:val="24"/>
                <w:szCs w:val="24"/>
                <w:highlight w:val="none"/>
                <w:lang w:val="en-US" w:eastAsia="zh-CN"/>
              </w:rPr>
              <w:t>50</w:t>
            </w:r>
            <w:r>
              <w:rPr>
                <w:color w:val="auto"/>
                <w:sz w:val="24"/>
                <w:szCs w:val="24"/>
                <w:highlight w:val="none"/>
              </w:rPr>
              <w:t>万元。</w:t>
            </w:r>
            <w:r>
              <w:rPr>
                <w:rFonts w:hint="eastAsia"/>
                <w:color w:val="auto"/>
                <w:sz w:val="24"/>
                <w:szCs w:val="24"/>
                <w:highlight w:val="none"/>
              </w:rPr>
              <w:t>主要从事</w:t>
            </w:r>
            <w:r>
              <w:rPr>
                <w:rFonts w:hint="eastAsia"/>
                <w:color w:val="auto"/>
                <w:sz w:val="24"/>
                <w:highlight w:val="none"/>
                <w:lang w:eastAsia="zh-CN"/>
              </w:rPr>
              <w:t>五金卫浴配件</w:t>
            </w:r>
            <w:r>
              <w:rPr>
                <w:rFonts w:hint="eastAsia"/>
                <w:color w:val="auto"/>
                <w:sz w:val="24"/>
                <w:szCs w:val="24"/>
                <w:highlight w:val="none"/>
                <w:lang w:eastAsia="zh-CN"/>
              </w:rPr>
              <w:t>加工</w:t>
            </w:r>
            <w:r>
              <w:rPr>
                <w:color w:val="auto"/>
                <w:sz w:val="24"/>
                <w:szCs w:val="24"/>
                <w:highlight w:val="none"/>
              </w:rPr>
              <w:t>。</w:t>
            </w:r>
            <w:r>
              <w:rPr>
                <w:rFonts w:hint="eastAsia"/>
                <w:color w:val="auto"/>
                <w:sz w:val="24"/>
                <w:szCs w:val="24"/>
                <w:highlight w:val="none"/>
                <w:lang w:eastAsia="zh-CN"/>
              </w:rPr>
              <w:t>生产能力：</w:t>
            </w:r>
            <w:r>
              <w:rPr>
                <w:rFonts w:hint="eastAsia"/>
                <w:color w:val="auto"/>
                <w:sz w:val="24"/>
                <w:highlight w:val="none"/>
                <w:lang w:eastAsia="zh-CN"/>
              </w:rPr>
              <w:t>五金卫浴配件</w:t>
            </w:r>
            <w:r>
              <w:rPr>
                <w:rFonts w:hint="eastAsia"/>
                <w:color w:val="auto"/>
                <w:sz w:val="24"/>
                <w:szCs w:val="24"/>
                <w:highlight w:val="none"/>
                <w:lang w:val="en-US" w:eastAsia="zh-CN"/>
              </w:rPr>
              <w:t>30吨/年</w:t>
            </w:r>
            <w:r>
              <w:rPr>
                <w:rFonts w:hint="eastAsia"/>
                <w:color w:val="auto"/>
                <w:sz w:val="24"/>
                <w:szCs w:val="24"/>
                <w:highlight w:val="none"/>
                <w:lang w:eastAsia="zh-CN"/>
              </w:rPr>
              <w:t>。</w:t>
            </w:r>
          </w:p>
          <w:p>
            <w:pPr>
              <w:spacing w:line="360" w:lineRule="auto"/>
              <w:ind w:firstLine="480" w:firstLineChars="200"/>
              <w:rPr>
                <w:color w:val="auto"/>
                <w:sz w:val="24"/>
                <w:szCs w:val="24"/>
                <w:highlight w:val="none"/>
              </w:rPr>
            </w:pPr>
            <w:r>
              <w:rPr>
                <w:color w:val="auto"/>
                <w:sz w:val="24"/>
                <w:szCs w:val="24"/>
                <w:highlight w:val="none"/>
              </w:rPr>
              <w:t>根据《中华人民共和国环境保护法》、《中华人民共和国环境影响评价法》、中华人民共和国国务院令第682号《建设项目环境保护管理条例》及《广东省建设项目环境保护管理条例》中的有关规定，建设项目必须执行环境影响评价制度。根据《建设项目环境影响评价分类管理名录》（中华人民共和国环境保护部令第44号）及其修改单</w:t>
            </w:r>
            <w:r>
              <w:rPr>
                <w:color w:val="auto"/>
                <w:sz w:val="24"/>
                <w:szCs w:val="22"/>
                <w:highlight w:val="none"/>
              </w:rPr>
              <w:t>（生态环境部令第1号）</w:t>
            </w:r>
            <w:r>
              <w:rPr>
                <w:color w:val="auto"/>
                <w:sz w:val="24"/>
                <w:szCs w:val="24"/>
                <w:highlight w:val="none"/>
              </w:rPr>
              <w:t>，本项目属于</w:t>
            </w:r>
            <w:r>
              <w:rPr>
                <w:rFonts w:hint="eastAsia"/>
                <w:color w:val="auto"/>
                <w:sz w:val="24"/>
                <w:szCs w:val="24"/>
                <w:highlight w:val="none"/>
              </w:rPr>
              <w:t>“</w:t>
            </w:r>
            <w:r>
              <w:rPr>
                <w:rFonts w:hint="default" w:ascii="Times New Roman" w:hAnsi="Times New Roman" w:eastAsia="宋体" w:cs="Times New Roman"/>
                <w:color w:val="auto"/>
                <w:kern w:val="2"/>
                <w:sz w:val="24"/>
                <w:highlight w:val="none"/>
              </w:rPr>
              <w:t>二十二-金属制品业-67-金属制品加工制造</w:t>
            </w:r>
            <w:r>
              <w:rPr>
                <w:rFonts w:hint="eastAsia"/>
                <w:color w:val="auto"/>
                <w:sz w:val="24"/>
                <w:szCs w:val="24"/>
                <w:highlight w:val="none"/>
              </w:rPr>
              <w:t>”</w:t>
            </w:r>
            <w:r>
              <w:rPr>
                <w:rFonts w:hint="default" w:ascii="Times New Roman" w:hAnsi="Times New Roman" w:eastAsia="宋体" w:cs="Times New Roman"/>
                <w:color w:val="auto"/>
                <w:kern w:val="2"/>
                <w:sz w:val="24"/>
                <w:highlight w:val="none"/>
              </w:rPr>
              <w:t xml:space="preserve">中的 </w:t>
            </w:r>
            <w:r>
              <w:rPr>
                <w:rFonts w:hint="eastAsia"/>
                <w:color w:val="auto"/>
                <w:sz w:val="24"/>
                <w:szCs w:val="24"/>
                <w:highlight w:val="none"/>
              </w:rPr>
              <w:t>“</w:t>
            </w:r>
            <w:r>
              <w:rPr>
                <w:rFonts w:hint="default" w:ascii="Times New Roman" w:hAnsi="Times New Roman" w:eastAsia="宋体" w:cs="Times New Roman"/>
                <w:color w:val="auto"/>
                <w:kern w:val="2"/>
                <w:sz w:val="24"/>
                <w:highlight w:val="none"/>
              </w:rPr>
              <w:t>其他（仅切割组装除外）</w:t>
            </w:r>
            <w:r>
              <w:rPr>
                <w:rFonts w:hint="eastAsia"/>
                <w:color w:val="auto"/>
                <w:sz w:val="24"/>
                <w:szCs w:val="24"/>
                <w:highlight w:val="none"/>
              </w:rPr>
              <w:t>”类别，</w:t>
            </w:r>
            <w:r>
              <w:rPr>
                <w:color w:val="auto"/>
                <w:sz w:val="24"/>
                <w:szCs w:val="24"/>
                <w:highlight w:val="none"/>
              </w:rPr>
              <w:t>需编制建设项目环境影响报告表。</w:t>
            </w:r>
          </w:p>
          <w:p>
            <w:pPr>
              <w:spacing w:line="360" w:lineRule="auto"/>
              <w:ind w:firstLine="354" w:firstLineChars="147"/>
              <w:rPr>
                <w:b/>
                <w:color w:val="auto"/>
                <w:sz w:val="24"/>
                <w:szCs w:val="24"/>
                <w:highlight w:val="none"/>
              </w:rPr>
            </w:pPr>
            <w:r>
              <w:rPr>
                <w:b/>
                <w:color w:val="auto"/>
                <w:sz w:val="24"/>
                <w:szCs w:val="24"/>
                <w:highlight w:val="none"/>
              </w:rPr>
              <w:t>2、项目概况</w:t>
            </w:r>
          </w:p>
          <w:p>
            <w:pPr>
              <w:spacing w:line="360" w:lineRule="auto"/>
              <w:ind w:firstLine="480" w:firstLineChars="200"/>
              <w:rPr>
                <w:color w:val="auto"/>
                <w:sz w:val="24"/>
                <w:szCs w:val="24"/>
                <w:highlight w:val="none"/>
              </w:rPr>
            </w:pPr>
            <w:r>
              <w:rPr>
                <w:color w:val="auto"/>
                <w:sz w:val="24"/>
                <w:szCs w:val="24"/>
                <w:highlight w:val="none"/>
              </w:rPr>
              <w:t>项目租用已建厂房，项目占地面积</w:t>
            </w:r>
            <w:r>
              <w:rPr>
                <w:rFonts w:hint="eastAsia"/>
                <w:color w:val="auto"/>
                <w:sz w:val="24"/>
                <w:szCs w:val="24"/>
                <w:highlight w:val="none"/>
                <w:lang w:val="en-US" w:eastAsia="zh-CN"/>
              </w:rPr>
              <w:t>1000</w:t>
            </w:r>
            <w:r>
              <w:rPr>
                <w:color w:val="auto"/>
                <w:sz w:val="24"/>
                <w:szCs w:val="24"/>
                <w:highlight w:val="none"/>
              </w:rPr>
              <w:t>平方米，</w:t>
            </w:r>
            <w:r>
              <w:rPr>
                <w:rFonts w:hint="eastAsia"/>
                <w:color w:val="auto"/>
                <w:sz w:val="24"/>
                <w:szCs w:val="24"/>
                <w:highlight w:val="none"/>
                <w:lang w:eastAsia="zh-CN"/>
              </w:rPr>
              <w:t>建筑面积</w:t>
            </w:r>
            <w:r>
              <w:rPr>
                <w:rFonts w:hint="eastAsia"/>
                <w:color w:val="auto"/>
                <w:sz w:val="24"/>
                <w:szCs w:val="24"/>
                <w:highlight w:val="none"/>
                <w:lang w:val="en-US" w:eastAsia="zh-CN"/>
              </w:rPr>
              <w:t>1000</w:t>
            </w:r>
            <w:r>
              <w:rPr>
                <w:color w:val="auto"/>
                <w:sz w:val="24"/>
                <w:szCs w:val="24"/>
                <w:highlight w:val="none"/>
              </w:rPr>
              <w:t>平方米，项目内设有</w:t>
            </w:r>
            <w:r>
              <w:rPr>
                <w:rFonts w:hint="eastAsia"/>
                <w:color w:val="auto"/>
                <w:sz w:val="24"/>
                <w:szCs w:val="24"/>
                <w:highlight w:val="none"/>
                <w:lang w:eastAsia="zh-CN"/>
              </w:rPr>
              <w:t>生产</w:t>
            </w:r>
            <w:r>
              <w:rPr>
                <w:color w:val="auto"/>
                <w:sz w:val="24"/>
                <w:szCs w:val="24"/>
                <w:highlight w:val="none"/>
              </w:rPr>
              <w:t>车间、办公室、仓库等。从业人数</w:t>
            </w:r>
            <w:r>
              <w:rPr>
                <w:rFonts w:hint="eastAsia"/>
                <w:color w:val="auto"/>
                <w:sz w:val="24"/>
                <w:szCs w:val="24"/>
                <w:highlight w:val="none"/>
                <w:lang w:val="en-US" w:eastAsia="zh-CN"/>
              </w:rPr>
              <w:t>5</w:t>
            </w:r>
            <w:r>
              <w:rPr>
                <w:color w:val="auto"/>
                <w:sz w:val="24"/>
                <w:szCs w:val="24"/>
                <w:highlight w:val="none"/>
              </w:rPr>
              <w:t>人，年工作300日，每天工作8小时，每天工作时间为8:30-12:30，13:30-17:30。项目内部</w:t>
            </w:r>
            <w:r>
              <w:rPr>
                <w:rFonts w:hint="eastAsia"/>
                <w:color w:val="auto"/>
                <w:sz w:val="24"/>
                <w:szCs w:val="24"/>
                <w:highlight w:val="none"/>
                <w:lang w:eastAsia="zh-CN"/>
              </w:rPr>
              <w:t>不设食堂及</w:t>
            </w:r>
            <w:r>
              <w:rPr>
                <w:color w:val="auto"/>
                <w:sz w:val="24"/>
                <w:szCs w:val="24"/>
                <w:highlight w:val="none"/>
              </w:rPr>
              <w:t>员工宿舍。</w:t>
            </w:r>
          </w:p>
          <w:p>
            <w:pPr>
              <w:spacing w:line="360" w:lineRule="auto"/>
              <w:ind w:firstLine="354" w:firstLineChars="147"/>
              <w:rPr>
                <w:b/>
                <w:color w:val="auto"/>
                <w:sz w:val="24"/>
                <w:szCs w:val="24"/>
                <w:highlight w:val="none"/>
              </w:rPr>
            </w:pPr>
            <w:r>
              <w:rPr>
                <w:b/>
                <w:color w:val="auto"/>
                <w:sz w:val="24"/>
                <w:szCs w:val="24"/>
                <w:highlight w:val="none"/>
              </w:rPr>
              <w:t>3、项目工程组成</w:t>
            </w:r>
          </w:p>
          <w:p>
            <w:pPr>
              <w:pStyle w:val="19"/>
              <w:spacing w:line="360" w:lineRule="auto"/>
              <w:ind w:firstLine="422" w:firstLineChars="200"/>
              <w:jc w:val="center"/>
              <w:rPr>
                <w:b/>
                <w:color w:val="auto"/>
                <w:kern w:val="24"/>
                <w:sz w:val="21"/>
                <w:szCs w:val="21"/>
                <w:highlight w:val="none"/>
              </w:rPr>
            </w:pPr>
            <w:r>
              <w:rPr>
                <w:b/>
                <w:bCs/>
                <w:color w:val="auto"/>
                <w:sz w:val="21"/>
                <w:szCs w:val="21"/>
                <w:highlight w:val="none"/>
              </w:rPr>
              <w:t>表1-1  项目工程组成</w:t>
            </w:r>
          </w:p>
          <w:tbl>
            <w:tblPr>
              <w:tblStyle w:val="34"/>
              <w:tblW w:w="8739" w:type="dxa"/>
              <w:jc w:val="center"/>
              <w:tblLayout w:type="fixed"/>
              <w:tblCellMar>
                <w:top w:w="0" w:type="dxa"/>
                <w:left w:w="0" w:type="dxa"/>
                <w:bottom w:w="0" w:type="dxa"/>
                <w:right w:w="0" w:type="dxa"/>
              </w:tblCellMar>
            </w:tblPr>
            <w:tblGrid>
              <w:gridCol w:w="699"/>
              <w:gridCol w:w="780"/>
              <w:gridCol w:w="1639"/>
              <w:gridCol w:w="5621"/>
            </w:tblGrid>
            <w:tr>
              <w:tblPrEx>
                <w:tblCellMar>
                  <w:top w:w="0" w:type="dxa"/>
                  <w:left w:w="0" w:type="dxa"/>
                  <w:bottom w:w="0" w:type="dxa"/>
                  <w:right w:w="0" w:type="dxa"/>
                </w:tblCellMar>
              </w:tblPrEx>
              <w:trPr>
                <w:trHeight w:val="322" w:hRule="atLeast"/>
                <w:jc w:val="center"/>
              </w:trPr>
              <w:tc>
                <w:tcPr>
                  <w:tcW w:w="69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highlight w:val="none"/>
                    </w:rPr>
                  </w:pPr>
                  <w:r>
                    <w:rPr>
                      <w:b/>
                      <w:color w:val="auto"/>
                      <w:highlight w:val="none"/>
                    </w:rPr>
                    <w:t>序号</w:t>
                  </w:r>
                </w:p>
              </w:tc>
              <w:tc>
                <w:tcPr>
                  <w:tcW w:w="241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highlight w:val="none"/>
                    </w:rPr>
                  </w:pPr>
                  <w:r>
                    <w:rPr>
                      <w:b/>
                      <w:color w:val="auto"/>
                      <w:highlight w:val="none"/>
                    </w:rPr>
                    <w:t>建设项目</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b/>
                      <w:color w:val="auto"/>
                      <w:highlight w:val="none"/>
                    </w:rPr>
                  </w:pPr>
                  <w:r>
                    <w:rPr>
                      <w:b/>
                      <w:color w:val="auto"/>
                      <w:highlight w:val="none"/>
                    </w:rPr>
                    <w:t>备注</w:t>
                  </w:r>
                </w:p>
              </w:tc>
            </w:tr>
            <w:tr>
              <w:tblPrEx>
                <w:tblCellMar>
                  <w:top w:w="0" w:type="dxa"/>
                  <w:left w:w="0" w:type="dxa"/>
                  <w:bottom w:w="0" w:type="dxa"/>
                  <w:right w:w="0" w:type="dxa"/>
                </w:tblCellMar>
              </w:tblPrEx>
              <w:trPr>
                <w:trHeight w:val="805" w:hRule="atLeast"/>
                <w:jc w:val="center"/>
              </w:trPr>
              <w:tc>
                <w:tcPr>
                  <w:tcW w:w="699"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1</w:t>
                  </w:r>
                </w:p>
              </w:tc>
              <w:tc>
                <w:tcPr>
                  <w:tcW w:w="780"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主体工程</w:t>
                  </w:r>
                </w:p>
              </w:tc>
              <w:tc>
                <w:tcPr>
                  <w:tcW w:w="1639"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jc w:val="center"/>
                    <w:rPr>
                      <w:color w:val="auto"/>
                      <w:highlight w:val="none"/>
                    </w:rPr>
                  </w:pPr>
                  <w:r>
                    <w:rPr>
                      <w:rFonts w:hint="eastAsia"/>
                      <w:color w:val="auto"/>
                      <w:highlight w:val="none"/>
                      <w:lang w:eastAsia="zh-CN"/>
                    </w:rPr>
                    <w:t>生产</w:t>
                  </w:r>
                  <w:r>
                    <w:rPr>
                      <w:rFonts w:hint="eastAsia"/>
                      <w:color w:val="auto"/>
                      <w:highlight w:val="none"/>
                    </w:rPr>
                    <w:t>厂房</w:t>
                  </w:r>
                </w:p>
              </w:tc>
              <w:tc>
                <w:tcPr>
                  <w:tcW w:w="5621"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一栋</w:t>
                  </w:r>
                  <w:r>
                    <w:rPr>
                      <w:rFonts w:hint="eastAsia"/>
                      <w:color w:val="auto"/>
                      <w:highlight w:val="none"/>
                    </w:rPr>
                    <w:t>1</w:t>
                  </w:r>
                  <w:r>
                    <w:rPr>
                      <w:color w:val="auto"/>
                      <w:highlight w:val="none"/>
                    </w:rPr>
                    <w:t>层</w:t>
                  </w:r>
                  <w:r>
                    <w:rPr>
                      <w:rFonts w:hint="eastAsia"/>
                      <w:color w:val="auto"/>
                      <w:highlight w:val="none"/>
                      <w:lang w:eastAsia="zh-CN"/>
                    </w:rPr>
                    <w:t>生产</w:t>
                  </w:r>
                  <w:r>
                    <w:rPr>
                      <w:rFonts w:hint="eastAsia"/>
                      <w:color w:val="auto"/>
                      <w:highlight w:val="none"/>
                    </w:rPr>
                    <w:t>厂房（含办公室</w:t>
                  </w:r>
                  <w:r>
                    <w:rPr>
                      <w:rFonts w:hint="eastAsia"/>
                      <w:color w:val="auto"/>
                      <w:highlight w:val="none"/>
                      <w:lang w:eastAsia="zh-CN"/>
                    </w:rPr>
                    <w:t>、仓库</w:t>
                  </w:r>
                  <w:r>
                    <w:rPr>
                      <w:rFonts w:hint="eastAsia"/>
                      <w:color w:val="auto"/>
                      <w:highlight w:val="none"/>
                    </w:rPr>
                    <w:t>）</w:t>
                  </w:r>
                  <w:r>
                    <w:rPr>
                      <w:color w:val="auto"/>
                      <w:highlight w:val="none"/>
                    </w:rPr>
                    <w:t>，</w:t>
                  </w:r>
                  <w:r>
                    <w:rPr>
                      <w:rFonts w:hint="eastAsia"/>
                      <w:color w:val="auto"/>
                      <w:highlight w:val="none"/>
                    </w:rPr>
                    <w:t>占地面积为</w:t>
                  </w:r>
                  <w:r>
                    <w:rPr>
                      <w:rFonts w:hint="eastAsia"/>
                      <w:color w:val="auto"/>
                      <w:highlight w:val="none"/>
                      <w:lang w:val="en-US" w:eastAsia="zh-CN"/>
                    </w:rPr>
                    <w:t>1000</w:t>
                  </w:r>
                  <w:r>
                    <w:rPr>
                      <w:color w:val="auto"/>
                      <w:szCs w:val="21"/>
                      <w:highlight w:val="none"/>
                    </w:rPr>
                    <w:t>m</w:t>
                  </w:r>
                  <w:r>
                    <w:rPr>
                      <w:color w:val="auto"/>
                      <w:szCs w:val="21"/>
                      <w:highlight w:val="none"/>
                      <w:vertAlign w:val="superscript"/>
                    </w:rPr>
                    <w:t>2</w:t>
                  </w:r>
                  <w:r>
                    <w:rPr>
                      <w:rFonts w:hint="eastAsia"/>
                      <w:color w:val="auto"/>
                      <w:highlight w:val="none"/>
                    </w:rPr>
                    <w:t>，建筑面积为</w:t>
                  </w:r>
                  <w:r>
                    <w:rPr>
                      <w:rFonts w:hint="eastAsia"/>
                      <w:color w:val="auto"/>
                      <w:highlight w:val="none"/>
                      <w:lang w:val="en-US" w:eastAsia="zh-CN"/>
                    </w:rPr>
                    <w:t>1000</w:t>
                  </w:r>
                  <w:r>
                    <w:rPr>
                      <w:color w:val="auto"/>
                      <w:szCs w:val="21"/>
                      <w:highlight w:val="none"/>
                    </w:rPr>
                    <w:t>m</w:t>
                  </w:r>
                  <w:r>
                    <w:rPr>
                      <w:color w:val="auto"/>
                      <w:szCs w:val="21"/>
                      <w:highlight w:val="none"/>
                      <w:vertAlign w:val="superscript"/>
                    </w:rPr>
                    <w:t>2</w:t>
                  </w:r>
                  <w:r>
                    <w:rPr>
                      <w:rFonts w:hint="eastAsia"/>
                      <w:color w:val="auto"/>
                      <w:highlight w:val="none"/>
                    </w:rPr>
                    <w:t>，主要用于五金卫浴配件的加工生产</w:t>
                  </w:r>
                </w:p>
              </w:tc>
            </w:tr>
            <w:tr>
              <w:tblPrEx>
                <w:tblCellMar>
                  <w:top w:w="0" w:type="dxa"/>
                  <w:left w:w="0" w:type="dxa"/>
                  <w:bottom w:w="0" w:type="dxa"/>
                  <w:right w:w="0" w:type="dxa"/>
                </w:tblCellMar>
              </w:tblPrEx>
              <w:trPr>
                <w:trHeight w:val="352"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2</w:t>
                  </w:r>
                </w:p>
              </w:tc>
              <w:tc>
                <w:tcPr>
                  <w:tcW w:w="7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公共配套设施</w:t>
                  </w: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供配电</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用电由市政电网供给，年用电量约为</w:t>
                  </w:r>
                  <w:r>
                    <w:rPr>
                      <w:rFonts w:hint="eastAsia"/>
                      <w:color w:val="auto"/>
                      <w:highlight w:val="none"/>
                      <w:lang w:val="en-US" w:eastAsia="zh-CN"/>
                    </w:rPr>
                    <w:t>2.4</w:t>
                  </w:r>
                  <w:r>
                    <w:rPr>
                      <w:color w:val="auto"/>
                      <w:highlight w:val="none"/>
                    </w:rPr>
                    <w:t>万度</w:t>
                  </w:r>
                </w:p>
              </w:tc>
            </w:tr>
            <w:tr>
              <w:tblPrEx>
                <w:tblCellMar>
                  <w:top w:w="0" w:type="dxa"/>
                  <w:left w:w="0" w:type="dxa"/>
                  <w:bottom w:w="0" w:type="dxa"/>
                  <w:right w:w="0" w:type="dxa"/>
                </w:tblCellMar>
              </w:tblPrEx>
              <w:trPr>
                <w:trHeight w:val="960"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供排水</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给水：由市政管网提供</w:t>
                  </w:r>
                  <w:r>
                    <w:rPr>
                      <w:rFonts w:hint="eastAsia"/>
                      <w:color w:val="auto"/>
                      <w:highlight w:val="none"/>
                    </w:rPr>
                    <w:t>；</w:t>
                  </w:r>
                  <w:r>
                    <w:rPr>
                      <w:color w:val="auto"/>
                      <w:highlight w:val="none"/>
                    </w:rPr>
                    <w:t>排水：</w:t>
                  </w:r>
                  <w:r>
                    <w:rPr>
                      <w:rFonts w:hint="default" w:ascii="Times New Roman" w:hAnsi="Times New Roman" w:cs="Times New Roman"/>
                      <w:color w:val="auto"/>
                      <w:kern w:val="0"/>
                      <w:sz w:val="21"/>
                      <w:szCs w:val="21"/>
                      <w:highlight w:val="none"/>
                      <w:lang w:val="en-US" w:eastAsia="zh-CN"/>
                    </w:rPr>
                    <w:t>喷淋废水经收集后</w:t>
                  </w:r>
                  <w:r>
                    <w:rPr>
                      <w:rFonts w:hint="eastAsia" w:cs="Times New Roman"/>
                      <w:color w:val="auto"/>
                      <w:kern w:val="0"/>
                      <w:sz w:val="21"/>
                      <w:szCs w:val="21"/>
                      <w:highlight w:val="none"/>
                      <w:lang w:val="en-US" w:eastAsia="zh-CN"/>
                    </w:rPr>
                    <w:t>定期交具有零星废水处理资质的单位处理，不外排</w:t>
                  </w:r>
                  <w:r>
                    <w:rPr>
                      <w:rFonts w:hint="eastAsia"/>
                      <w:color w:val="auto"/>
                      <w:highlight w:val="none"/>
                    </w:rPr>
                    <w:t>；</w:t>
                  </w:r>
                  <w:r>
                    <w:rPr>
                      <w:color w:val="auto"/>
                      <w:highlight w:val="none"/>
                    </w:rPr>
                    <w:t>生活污水经三级化粪池处理后排放到市政污水管网，引至</w:t>
                  </w:r>
                  <w:r>
                    <w:rPr>
                      <w:rFonts w:hint="eastAsia"/>
                      <w:color w:val="auto"/>
                      <w:highlight w:val="none"/>
                    </w:rPr>
                    <w:t>开平市水口</w:t>
                  </w:r>
                  <w:r>
                    <w:rPr>
                      <w:color w:val="auto"/>
                      <w:highlight w:val="none"/>
                    </w:rPr>
                    <w:t>污水处理厂处理</w:t>
                  </w:r>
                </w:p>
              </w:tc>
            </w:tr>
            <w:tr>
              <w:tblPrEx>
                <w:tblCellMar>
                  <w:top w:w="0" w:type="dxa"/>
                  <w:left w:w="0" w:type="dxa"/>
                  <w:bottom w:w="0" w:type="dxa"/>
                  <w:right w:w="0" w:type="dxa"/>
                </w:tblCellMar>
              </w:tblPrEx>
              <w:trPr>
                <w:trHeight w:val="292"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厂房通排风</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通风设备</w:t>
                  </w:r>
                </w:p>
              </w:tc>
            </w:tr>
            <w:tr>
              <w:tblPrEx>
                <w:tblCellMar>
                  <w:top w:w="0" w:type="dxa"/>
                  <w:left w:w="0" w:type="dxa"/>
                  <w:bottom w:w="0" w:type="dxa"/>
                  <w:right w:w="0" w:type="dxa"/>
                </w:tblCellMar>
              </w:tblPrEx>
              <w:trPr>
                <w:trHeight w:val="327"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其他</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固废垃圾收集、储存</w:t>
                  </w:r>
                </w:p>
              </w:tc>
            </w:tr>
            <w:tr>
              <w:tblPrEx>
                <w:tblCellMar>
                  <w:top w:w="0" w:type="dxa"/>
                  <w:left w:w="0" w:type="dxa"/>
                  <w:bottom w:w="0" w:type="dxa"/>
                  <w:right w:w="0" w:type="dxa"/>
                </w:tblCellMar>
              </w:tblPrEx>
              <w:trPr>
                <w:trHeight w:val="911"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3</w:t>
                  </w:r>
                </w:p>
                <w:p>
                  <w:pPr>
                    <w:jc w:val="center"/>
                    <w:rPr>
                      <w:color w:val="auto"/>
                      <w:highlight w:val="none"/>
                    </w:rPr>
                  </w:pPr>
                </w:p>
              </w:tc>
              <w:tc>
                <w:tcPr>
                  <w:tcW w:w="7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环保设施</w:t>
                  </w: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szCs w:val="21"/>
                      <w:highlight w:val="none"/>
                    </w:rPr>
                  </w:pPr>
                  <w:r>
                    <w:rPr>
                      <w:color w:val="auto"/>
                      <w:szCs w:val="21"/>
                      <w:highlight w:val="none"/>
                    </w:rPr>
                    <w:t>废气治理</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szCs w:val="21"/>
                      <w:highlight w:val="none"/>
                    </w:rPr>
                  </w:pPr>
                  <w:r>
                    <w:rPr>
                      <w:rFonts w:hint="eastAsia"/>
                      <w:bCs/>
                      <w:color w:val="auto"/>
                      <w:kern w:val="0"/>
                      <w:sz w:val="21"/>
                      <w:szCs w:val="21"/>
                      <w:highlight w:val="none"/>
                      <w:lang w:eastAsia="zh-CN"/>
                    </w:rPr>
                    <w:t>锻压</w:t>
                  </w:r>
                  <w:r>
                    <w:rPr>
                      <w:color w:val="auto"/>
                      <w:highlight w:val="none"/>
                    </w:rPr>
                    <w:t>工序</w:t>
                  </w:r>
                  <w:r>
                    <w:rPr>
                      <w:color w:val="auto"/>
                      <w:szCs w:val="21"/>
                      <w:highlight w:val="none"/>
                    </w:rPr>
                    <w:t>：</w:t>
                  </w:r>
                  <w:r>
                    <w:rPr>
                      <w:rFonts w:hint="eastAsia" w:ascii="Times New Roman" w:hAnsi="Times New Roman" w:eastAsia="宋体" w:cs="Times New Roman"/>
                      <w:color w:val="auto"/>
                      <w:kern w:val="2"/>
                      <w:sz w:val="21"/>
                      <w:szCs w:val="21"/>
                      <w:highlight w:val="none"/>
                    </w:rPr>
                    <w:t>设置集气装置将废气进行收集后引至</w:t>
                  </w:r>
                  <w:r>
                    <w:rPr>
                      <w:rFonts w:hint="eastAsia" w:cs="Times New Roman"/>
                      <w:color w:val="auto"/>
                      <w:kern w:val="0"/>
                      <w:sz w:val="21"/>
                      <w:szCs w:val="21"/>
                      <w:highlight w:val="none"/>
                      <w:lang w:val="en-US" w:eastAsia="zh-CN" w:bidi="ar-SA"/>
                    </w:rPr>
                    <w:t>水喷淋塔+等离子油烟净化器处后</w:t>
                  </w:r>
                  <w:r>
                    <w:rPr>
                      <w:rFonts w:hint="default" w:ascii="Times New Roman" w:hAnsi="Times New Roman" w:eastAsia="宋体" w:cs="Times New Roman"/>
                      <w:color w:val="auto"/>
                      <w:kern w:val="0"/>
                      <w:sz w:val="21"/>
                      <w:szCs w:val="21"/>
                      <w:highlight w:val="none"/>
                      <w:lang w:val="en-US" w:eastAsia="zh-CN" w:bidi="ar-SA"/>
                    </w:rPr>
                    <w:t>通过15米排气筒排放</w:t>
                  </w:r>
                  <w:r>
                    <w:rPr>
                      <w:rFonts w:hint="eastAsia"/>
                      <w:color w:val="auto"/>
                      <w:szCs w:val="21"/>
                      <w:highlight w:val="none"/>
                    </w:rPr>
                    <w:t>；</w:t>
                  </w:r>
                  <w:r>
                    <w:rPr>
                      <w:rFonts w:hint="eastAsia"/>
                      <w:bCs/>
                      <w:color w:val="auto"/>
                      <w:kern w:val="0"/>
                      <w:sz w:val="21"/>
                      <w:szCs w:val="21"/>
                      <w:highlight w:val="none"/>
                      <w:lang w:eastAsia="zh-CN"/>
                    </w:rPr>
                    <w:t>燃料废气</w:t>
                  </w:r>
                  <w:r>
                    <w:rPr>
                      <w:rFonts w:hint="eastAsia"/>
                      <w:color w:val="auto"/>
                      <w:szCs w:val="21"/>
                      <w:highlight w:val="none"/>
                    </w:rPr>
                    <w:t>：</w:t>
                  </w:r>
                  <w:r>
                    <w:rPr>
                      <w:rFonts w:hint="default" w:ascii="Times New Roman" w:hAnsi="Times New Roman" w:cs="Times New Roman"/>
                      <w:color w:val="auto"/>
                      <w:kern w:val="2"/>
                      <w:sz w:val="21"/>
                      <w:szCs w:val="21"/>
                      <w:highlight w:val="none"/>
                      <w:lang w:eastAsia="zh-CN"/>
                    </w:rPr>
                    <w:t>设置集气装置收集后经15米排气筒排放</w:t>
                  </w:r>
                  <w:r>
                    <w:rPr>
                      <w:rFonts w:hint="eastAsia" w:cs="Times New Roman"/>
                      <w:color w:val="auto"/>
                      <w:kern w:val="2"/>
                      <w:sz w:val="21"/>
                      <w:szCs w:val="21"/>
                      <w:highlight w:val="none"/>
                      <w:lang w:eastAsia="zh-CN"/>
                    </w:rPr>
                    <w:t>；</w:t>
                  </w:r>
                  <w:r>
                    <w:rPr>
                      <w:rFonts w:hint="eastAsia"/>
                      <w:bCs/>
                      <w:color w:val="auto"/>
                      <w:kern w:val="0"/>
                      <w:sz w:val="21"/>
                      <w:szCs w:val="21"/>
                      <w:highlight w:val="none"/>
                      <w:lang w:eastAsia="zh-CN"/>
                    </w:rPr>
                    <w:t>开料、机加工工序：</w:t>
                  </w:r>
                  <w:r>
                    <w:rPr>
                      <w:rFonts w:hint="eastAsia"/>
                      <w:color w:val="auto"/>
                      <w:szCs w:val="21"/>
                      <w:highlight w:val="none"/>
                    </w:rPr>
                    <w:t>加强机械通风措施</w:t>
                  </w:r>
                </w:p>
              </w:tc>
            </w:tr>
            <w:tr>
              <w:tblPrEx>
                <w:tblCellMar>
                  <w:top w:w="0" w:type="dxa"/>
                  <w:left w:w="0" w:type="dxa"/>
                  <w:bottom w:w="0" w:type="dxa"/>
                  <w:right w:w="0" w:type="dxa"/>
                </w:tblCellMar>
              </w:tblPrEx>
              <w:trPr>
                <w:trHeight w:val="23"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废水治理</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rFonts w:hint="default" w:ascii="Times New Roman" w:hAnsi="Times New Roman" w:cs="Times New Roman"/>
                      <w:color w:val="auto"/>
                      <w:kern w:val="0"/>
                      <w:sz w:val="21"/>
                      <w:szCs w:val="21"/>
                      <w:highlight w:val="none"/>
                      <w:lang w:val="en-US" w:eastAsia="zh-CN"/>
                    </w:rPr>
                    <w:t>喷淋废水经收集后</w:t>
                  </w:r>
                  <w:r>
                    <w:rPr>
                      <w:rFonts w:hint="eastAsia" w:cs="Times New Roman"/>
                      <w:color w:val="auto"/>
                      <w:kern w:val="0"/>
                      <w:sz w:val="21"/>
                      <w:szCs w:val="21"/>
                      <w:highlight w:val="none"/>
                      <w:lang w:val="en-US" w:eastAsia="zh-CN"/>
                    </w:rPr>
                    <w:t>定期交具有零星废水处理资质的单位处理，不外排</w:t>
                  </w:r>
                  <w:r>
                    <w:rPr>
                      <w:rFonts w:hint="eastAsia"/>
                      <w:color w:val="auto"/>
                      <w:highlight w:val="none"/>
                    </w:rPr>
                    <w:t>；</w:t>
                  </w:r>
                  <w:r>
                    <w:rPr>
                      <w:color w:val="auto"/>
                      <w:highlight w:val="none"/>
                    </w:rPr>
                    <w:t>生活污水经三级化粪池处理后排放到市政污水管网，引至</w:t>
                  </w:r>
                  <w:r>
                    <w:rPr>
                      <w:rFonts w:hint="eastAsia"/>
                      <w:color w:val="auto"/>
                      <w:highlight w:val="none"/>
                    </w:rPr>
                    <w:t>开平市水口</w:t>
                  </w:r>
                  <w:r>
                    <w:rPr>
                      <w:color w:val="auto"/>
                      <w:highlight w:val="none"/>
                    </w:rPr>
                    <w:t>污水处理厂处理</w:t>
                  </w:r>
                </w:p>
              </w:tc>
            </w:tr>
            <w:tr>
              <w:tblPrEx>
                <w:tblCellMar>
                  <w:top w:w="0" w:type="dxa"/>
                  <w:left w:w="0" w:type="dxa"/>
                  <w:bottom w:w="0" w:type="dxa"/>
                  <w:right w:w="0" w:type="dxa"/>
                </w:tblCellMar>
              </w:tblPrEx>
              <w:trPr>
                <w:trHeight w:val="322"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噪声治理</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减震、隔声、降噪</w:t>
                  </w:r>
                </w:p>
              </w:tc>
            </w:tr>
            <w:tr>
              <w:tblPrEx>
                <w:tblCellMar>
                  <w:top w:w="0" w:type="dxa"/>
                  <w:left w:w="0" w:type="dxa"/>
                  <w:bottom w:w="0" w:type="dxa"/>
                  <w:right w:w="0" w:type="dxa"/>
                </w:tblCellMar>
              </w:tblPrEx>
              <w:trPr>
                <w:trHeight w:val="23"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固废处置</w:t>
                  </w:r>
                </w:p>
              </w:tc>
              <w:tc>
                <w:tcPr>
                  <w:tcW w:w="56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color w:val="auto"/>
                      <w:highlight w:val="none"/>
                    </w:rPr>
                  </w:pPr>
                  <w:r>
                    <w:rPr>
                      <w:color w:val="auto"/>
                      <w:highlight w:val="none"/>
                    </w:rPr>
                    <w:t>生活垃圾</w:t>
                  </w:r>
                  <w:r>
                    <w:rPr>
                      <w:color w:val="auto"/>
                      <w:kern w:val="0"/>
                      <w:szCs w:val="21"/>
                      <w:highlight w:val="none"/>
                    </w:rPr>
                    <w:t>交环卫部门处理</w:t>
                  </w:r>
                  <w:r>
                    <w:rPr>
                      <w:color w:val="auto"/>
                      <w:highlight w:val="none"/>
                    </w:rPr>
                    <w:t>；一般固废收集后</w:t>
                  </w:r>
                  <w:r>
                    <w:rPr>
                      <w:color w:val="auto"/>
                      <w:szCs w:val="21"/>
                      <w:highlight w:val="none"/>
                    </w:rPr>
                    <w:t>交专业公司回收处理；危险废物经收集后交给</w:t>
                  </w:r>
                  <w:r>
                    <w:rPr>
                      <w:rFonts w:hint="eastAsia"/>
                      <w:color w:val="auto"/>
                      <w:szCs w:val="21"/>
                      <w:highlight w:val="none"/>
                    </w:rPr>
                    <w:t>有危险废物处置资质单位处置</w:t>
                  </w:r>
                </w:p>
              </w:tc>
            </w:tr>
          </w:tbl>
          <w:p>
            <w:pPr>
              <w:spacing w:line="360" w:lineRule="auto"/>
              <w:ind w:firstLine="354" w:firstLineChars="147"/>
              <w:rPr>
                <w:b/>
                <w:color w:val="auto"/>
                <w:sz w:val="24"/>
                <w:szCs w:val="24"/>
                <w:highlight w:val="none"/>
              </w:rPr>
            </w:pPr>
            <w:r>
              <w:rPr>
                <w:b/>
                <w:color w:val="auto"/>
                <w:sz w:val="24"/>
                <w:szCs w:val="24"/>
                <w:highlight w:val="none"/>
              </w:rPr>
              <w:t>4、产品及产量</w:t>
            </w:r>
          </w:p>
          <w:p>
            <w:pPr>
              <w:pStyle w:val="19"/>
              <w:spacing w:line="360" w:lineRule="auto"/>
              <w:ind w:firstLine="422" w:firstLineChars="200"/>
              <w:jc w:val="center"/>
              <w:rPr>
                <w:b/>
                <w:bCs/>
                <w:color w:val="auto"/>
                <w:sz w:val="21"/>
                <w:szCs w:val="21"/>
                <w:highlight w:val="none"/>
              </w:rPr>
            </w:pPr>
            <w:r>
              <w:rPr>
                <w:b/>
                <w:bCs/>
                <w:color w:val="auto"/>
                <w:sz w:val="21"/>
                <w:szCs w:val="21"/>
                <w:highlight w:val="none"/>
              </w:rPr>
              <w:t>表1-2  产品、产量一览表</w:t>
            </w:r>
          </w:p>
          <w:tbl>
            <w:tblPr>
              <w:tblStyle w:val="34"/>
              <w:tblpPr w:leftFromText="180" w:rightFromText="180" w:vertAnchor="text" w:horzAnchor="page" w:tblpXSpec="center" w:tblpY="139"/>
              <w:tblOverlap w:val="never"/>
              <w:tblW w:w="901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2548"/>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8" w:type="dxa"/>
                  <w:tcBorders>
                    <w:tl2br w:val="nil"/>
                    <w:tr2bl w:val="nil"/>
                  </w:tcBorders>
                  <w:vAlign w:val="center"/>
                </w:tcPr>
                <w:p>
                  <w:pPr>
                    <w:jc w:val="center"/>
                    <w:rPr>
                      <w:color w:val="auto"/>
                      <w:szCs w:val="21"/>
                      <w:highlight w:val="none"/>
                    </w:rPr>
                  </w:pPr>
                  <w:r>
                    <w:rPr>
                      <w:color w:val="auto"/>
                      <w:szCs w:val="21"/>
                      <w:highlight w:val="none"/>
                    </w:rPr>
                    <w:t>名称</w:t>
                  </w:r>
                </w:p>
              </w:tc>
              <w:tc>
                <w:tcPr>
                  <w:tcW w:w="2548" w:type="dxa"/>
                  <w:tcBorders>
                    <w:tl2br w:val="nil"/>
                    <w:tr2bl w:val="nil"/>
                  </w:tcBorders>
                  <w:vAlign w:val="center"/>
                </w:tcPr>
                <w:p>
                  <w:pPr>
                    <w:jc w:val="center"/>
                    <w:rPr>
                      <w:color w:val="auto"/>
                      <w:szCs w:val="21"/>
                      <w:highlight w:val="none"/>
                    </w:rPr>
                  </w:pPr>
                  <w:r>
                    <w:rPr>
                      <w:color w:val="auto"/>
                      <w:szCs w:val="21"/>
                      <w:highlight w:val="none"/>
                    </w:rPr>
                    <w:t>数量</w:t>
                  </w:r>
                </w:p>
              </w:tc>
              <w:tc>
                <w:tcPr>
                  <w:tcW w:w="3210" w:type="dxa"/>
                  <w:tcBorders>
                    <w:tl2br w:val="nil"/>
                    <w:tr2bl w:val="nil"/>
                  </w:tcBorders>
                  <w:vAlign w:val="center"/>
                </w:tcPr>
                <w:p>
                  <w:pPr>
                    <w:jc w:val="center"/>
                    <w:rPr>
                      <w:color w:val="auto"/>
                      <w:szCs w:val="21"/>
                      <w:highlight w:val="none"/>
                    </w:rPr>
                  </w:pPr>
                  <w:r>
                    <w:rPr>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258" w:type="dxa"/>
                  <w:tcBorders>
                    <w:tl2br w:val="nil"/>
                    <w:tr2bl w:val="nil"/>
                  </w:tcBorders>
                  <w:vAlign w:val="center"/>
                </w:tcPr>
                <w:p>
                  <w:pPr>
                    <w:jc w:val="center"/>
                    <w:rPr>
                      <w:rFonts w:hint="eastAsia"/>
                      <w:color w:val="auto"/>
                      <w:szCs w:val="21"/>
                      <w:highlight w:val="none"/>
                      <w:lang w:eastAsia="zh-CN"/>
                    </w:rPr>
                  </w:pPr>
                  <w:r>
                    <w:rPr>
                      <w:rFonts w:hint="eastAsia"/>
                      <w:color w:val="auto"/>
                      <w:szCs w:val="21"/>
                      <w:highlight w:val="none"/>
                      <w:lang w:eastAsia="zh-CN"/>
                    </w:rPr>
                    <w:t>五金卫浴配件</w:t>
                  </w:r>
                </w:p>
              </w:tc>
              <w:tc>
                <w:tcPr>
                  <w:tcW w:w="2548"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30</w:t>
                  </w:r>
                </w:p>
              </w:tc>
              <w:tc>
                <w:tcPr>
                  <w:tcW w:w="3210" w:type="dxa"/>
                  <w:tcBorders>
                    <w:tl2br w:val="nil"/>
                    <w:tr2bl w:val="nil"/>
                  </w:tcBorders>
                  <w:vAlign w:val="center"/>
                </w:tcPr>
                <w:p>
                  <w:pPr>
                    <w:jc w:val="center"/>
                    <w:rPr>
                      <w:rFonts w:hint="eastAsia"/>
                      <w:color w:val="auto"/>
                      <w:szCs w:val="21"/>
                      <w:highlight w:val="none"/>
                      <w:lang w:eastAsia="zh-CN"/>
                    </w:rPr>
                  </w:pPr>
                  <w:r>
                    <w:rPr>
                      <w:rFonts w:hint="eastAsia"/>
                      <w:color w:val="auto"/>
                      <w:szCs w:val="21"/>
                      <w:highlight w:val="none"/>
                      <w:lang w:eastAsia="zh-CN"/>
                    </w:rPr>
                    <w:t>吨/年</w:t>
                  </w:r>
                </w:p>
              </w:tc>
            </w:tr>
          </w:tbl>
          <w:p>
            <w:pPr>
              <w:spacing w:line="360" w:lineRule="auto"/>
              <w:ind w:firstLine="354" w:firstLineChars="147"/>
              <w:rPr>
                <w:b/>
                <w:color w:val="auto"/>
                <w:sz w:val="24"/>
                <w:szCs w:val="24"/>
                <w:highlight w:val="none"/>
              </w:rPr>
            </w:pPr>
            <w:r>
              <w:rPr>
                <w:b/>
                <w:color w:val="auto"/>
                <w:sz w:val="24"/>
                <w:szCs w:val="24"/>
                <w:highlight w:val="none"/>
              </w:rPr>
              <w:t>5、主要原辅材料及其消耗量</w:t>
            </w:r>
          </w:p>
          <w:p>
            <w:pPr>
              <w:spacing w:line="360" w:lineRule="auto"/>
              <w:jc w:val="center"/>
              <w:rPr>
                <w:b/>
                <w:bCs/>
                <w:color w:val="auto"/>
                <w:szCs w:val="21"/>
                <w:highlight w:val="none"/>
              </w:rPr>
            </w:pPr>
            <w:r>
              <w:rPr>
                <w:b/>
                <w:bCs/>
                <w:color w:val="auto"/>
                <w:szCs w:val="21"/>
                <w:highlight w:val="none"/>
              </w:rPr>
              <w:t>表1-3  主要原辅材料及其消耗量一览表</w:t>
            </w:r>
          </w:p>
          <w:tbl>
            <w:tblPr>
              <w:tblStyle w:val="34"/>
              <w:tblW w:w="90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80"/>
              <w:gridCol w:w="1125"/>
              <w:gridCol w:w="1275"/>
              <w:gridCol w:w="1065"/>
              <w:gridCol w:w="108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dxa"/>
                  <w:tcBorders>
                    <w:tl2br w:val="nil"/>
                    <w:tr2bl w:val="nil"/>
                  </w:tcBorders>
                  <w:vAlign w:val="center"/>
                </w:tcPr>
                <w:p>
                  <w:pPr>
                    <w:jc w:val="center"/>
                    <w:rPr>
                      <w:color w:val="auto"/>
                      <w:szCs w:val="21"/>
                      <w:highlight w:val="none"/>
                    </w:rPr>
                  </w:pPr>
                  <w:r>
                    <w:rPr>
                      <w:color w:val="auto"/>
                      <w:szCs w:val="21"/>
                      <w:highlight w:val="none"/>
                    </w:rPr>
                    <w:t>序号</w:t>
                  </w:r>
                </w:p>
              </w:tc>
              <w:tc>
                <w:tcPr>
                  <w:tcW w:w="1080" w:type="dxa"/>
                  <w:tcBorders>
                    <w:tl2br w:val="nil"/>
                    <w:tr2bl w:val="nil"/>
                  </w:tcBorders>
                  <w:vAlign w:val="center"/>
                </w:tcPr>
                <w:p>
                  <w:pPr>
                    <w:jc w:val="center"/>
                    <w:rPr>
                      <w:color w:val="auto"/>
                      <w:szCs w:val="21"/>
                      <w:highlight w:val="none"/>
                    </w:rPr>
                  </w:pPr>
                  <w:r>
                    <w:rPr>
                      <w:color w:val="auto"/>
                      <w:szCs w:val="21"/>
                      <w:highlight w:val="none"/>
                    </w:rPr>
                    <w:t>材料名称</w:t>
                  </w:r>
                </w:p>
              </w:tc>
              <w:tc>
                <w:tcPr>
                  <w:tcW w:w="1125" w:type="dxa"/>
                  <w:tcBorders>
                    <w:tl2br w:val="nil"/>
                    <w:tr2bl w:val="nil"/>
                  </w:tcBorders>
                  <w:vAlign w:val="center"/>
                </w:tcPr>
                <w:p>
                  <w:pPr>
                    <w:jc w:val="center"/>
                    <w:rPr>
                      <w:color w:val="auto"/>
                      <w:szCs w:val="21"/>
                      <w:highlight w:val="none"/>
                    </w:rPr>
                  </w:pPr>
                  <w:r>
                    <w:rPr>
                      <w:color w:val="auto"/>
                      <w:szCs w:val="21"/>
                      <w:highlight w:val="none"/>
                    </w:rPr>
                    <w:t>年用量</w:t>
                  </w:r>
                </w:p>
              </w:tc>
              <w:tc>
                <w:tcPr>
                  <w:tcW w:w="1275"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最大储存量</w:t>
                  </w:r>
                </w:p>
              </w:tc>
              <w:tc>
                <w:tcPr>
                  <w:tcW w:w="1065"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储存方式</w:t>
                  </w:r>
                </w:p>
              </w:tc>
              <w:tc>
                <w:tcPr>
                  <w:tcW w:w="1080"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储存位置</w:t>
                  </w:r>
                </w:p>
              </w:tc>
              <w:tc>
                <w:tcPr>
                  <w:tcW w:w="2820" w:type="dxa"/>
                  <w:tcBorders>
                    <w:tl2br w:val="nil"/>
                    <w:tr2bl w:val="nil"/>
                  </w:tcBorders>
                  <w:vAlign w:val="center"/>
                </w:tcPr>
                <w:p>
                  <w:pPr>
                    <w:jc w:val="center"/>
                    <w:rPr>
                      <w:rFonts w:hint="eastAsia"/>
                      <w:color w:val="auto"/>
                      <w:szCs w:val="21"/>
                      <w:highlight w:val="none"/>
                      <w:lang w:eastAsia="zh-CN"/>
                    </w:rPr>
                  </w:pPr>
                  <w:r>
                    <w:rPr>
                      <w:rFonts w:hint="eastAsia"/>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dxa"/>
                  <w:tcBorders>
                    <w:tl2br w:val="nil"/>
                    <w:tr2bl w:val="nil"/>
                  </w:tcBorders>
                  <w:vAlign w:val="center"/>
                </w:tcPr>
                <w:p>
                  <w:pPr>
                    <w:jc w:val="center"/>
                    <w:rPr>
                      <w:color w:val="auto"/>
                      <w:szCs w:val="21"/>
                      <w:highlight w:val="none"/>
                    </w:rPr>
                  </w:pPr>
                  <w:r>
                    <w:rPr>
                      <w:color w:val="auto"/>
                      <w:szCs w:val="21"/>
                      <w:highlight w:val="none"/>
                    </w:rPr>
                    <w:t>1</w:t>
                  </w:r>
                </w:p>
              </w:tc>
              <w:tc>
                <w:tcPr>
                  <w:tcW w:w="108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eastAsia="zh-CN"/>
                    </w:rPr>
                    <w:t>铜棒</w:t>
                  </w:r>
                </w:p>
              </w:tc>
              <w:tc>
                <w:tcPr>
                  <w:tcW w:w="1125"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35吨</w:t>
                  </w:r>
                </w:p>
              </w:tc>
              <w:tc>
                <w:tcPr>
                  <w:tcW w:w="1275"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2吨</w:t>
                  </w:r>
                </w:p>
              </w:tc>
              <w:tc>
                <w:tcPr>
                  <w:tcW w:w="1065"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1080"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仓库</w:t>
                  </w:r>
                </w:p>
              </w:tc>
              <w:tc>
                <w:tcPr>
                  <w:tcW w:w="282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新料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dxa"/>
                  <w:tcBorders>
                    <w:tl2br w:val="nil"/>
                    <w:tr2bl w:val="nil"/>
                  </w:tcBorders>
                  <w:vAlign w:val="center"/>
                </w:tcPr>
                <w:p>
                  <w:pPr>
                    <w:jc w:val="center"/>
                    <w:rPr>
                      <w:color w:val="auto"/>
                      <w:szCs w:val="21"/>
                      <w:highlight w:val="none"/>
                    </w:rPr>
                  </w:pPr>
                  <w:r>
                    <w:rPr>
                      <w:color w:val="auto"/>
                      <w:szCs w:val="21"/>
                      <w:highlight w:val="none"/>
                    </w:rPr>
                    <w:t>2</w:t>
                  </w:r>
                </w:p>
              </w:tc>
              <w:tc>
                <w:tcPr>
                  <w:tcW w:w="108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eastAsia="zh-CN"/>
                    </w:rPr>
                    <w:t>润滑油</w:t>
                  </w:r>
                </w:p>
              </w:tc>
              <w:tc>
                <w:tcPr>
                  <w:tcW w:w="1125"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0.96吨</w:t>
                  </w:r>
                </w:p>
              </w:tc>
              <w:tc>
                <w:tcPr>
                  <w:tcW w:w="1275"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0.1吨</w:t>
                  </w:r>
                </w:p>
              </w:tc>
              <w:tc>
                <w:tcPr>
                  <w:tcW w:w="1065"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桶装</w:t>
                  </w:r>
                </w:p>
              </w:tc>
              <w:tc>
                <w:tcPr>
                  <w:tcW w:w="108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仓库</w:t>
                  </w:r>
                </w:p>
              </w:tc>
              <w:tc>
                <w:tcPr>
                  <w:tcW w:w="282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rPr>
                    <w:t>用于锻压工序0.2吨；用于</w:t>
                  </w:r>
                  <w:r>
                    <w:rPr>
                      <w:rFonts w:hint="eastAsia"/>
                      <w:color w:val="auto"/>
                      <w:szCs w:val="21"/>
                      <w:highlight w:val="none"/>
                      <w:lang w:eastAsia="zh-CN"/>
                    </w:rPr>
                    <w:t>设备</w:t>
                  </w:r>
                  <w:r>
                    <w:rPr>
                      <w:rFonts w:hint="eastAsia"/>
                      <w:color w:val="auto"/>
                      <w:szCs w:val="21"/>
                      <w:highlight w:val="none"/>
                    </w:rPr>
                    <w:t>内部机件润滑</w:t>
                  </w:r>
                  <w:r>
                    <w:rPr>
                      <w:rFonts w:hint="eastAsia"/>
                      <w:color w:val="auto"/>
                      <w:szCs w:val="21"/>
                      <w:highlight w:val="none"/>
                      <w:lang w:val="en-US" w:eastAsia="zh-CN"/>
                    </w:rPr>
                    <w:t>0.76</w:t>
                  </w:r>
                  <w:r>
                    <w:rPr>
                      <w:rFonts w:hint="eastAsia"/>
                      <w:color w:val="auto"/>
                      <w:szCs w:val="21"/>
                      <w:highlight w:val="none"/>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6"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3</w:t>
                  </w:r>
                </w:p>
              </w:tc>
              <w:tc>
                <w:tcPr>
                  <w:tcW w:w="108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eastAsia="zh-CN"/>
                    </w:rPr>
                    <w:t>天然气</w:t>
                  </w:r>
                </w:p>
              </w:tc>
              <w:tc>
                <w:tcPr>
                  <w:tcW w:w="1125"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10000</w:t>
                  </w:r>
                  <w:r>
                    <w:rPr>
                      <w:rFonts w:ascii="Times New Roman" w:hAnsi="Times New Roman"/>
                      <w:color w:val="auto"/>
                      <w:kern w:val="0"/>
                      <w:szCs w:val="21"/>
                      <w:highlight w:val="none"/>
                    </w:rPr>
                    <w:t>m</w:t>
                  </w:r>
                  <w:r>
                    <w:rPr>
                      <w:rFonts w:ascii="Times New Roman" w:hAnsi="Times New Roman"/>
                      <w:color w:val="auto"/>
                      <w:kern w:val="0"/>
                      <w:szCs w:val="21"/>
                      <w:highlight w:val="none"/>
                      <w:vertAlign w:val="superscript"/>
                    </w:rPr>
                    <w:t>3</w:t>
                  </w:r>
                </w:p>
              </w:tc>
              <w:tc>
                <w:tcPr>
                  <w:tcW w:w="1275" w:type="dxa"/>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0.1吨</w:t>
                  </w:r>
                </w:p>
              </w:tc>
              <w:tc>
                <w:tcPr>
                  <w:tcW w:w="1065"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瓶装</w:t>
                  </w:r>
                </w:p>
              </w:tc>
              <w:tc>
                <w:tcPr>
                  <w:tcW w:w="1080" w:type="dxa"/>
                  <w:tcBorders>
                    <w:tl2br w:val="nil"/>
                    <w:tr2bl w:val="nil"/>
                  </w:tcBorders>
                  <w:vAlign w:val="center"/>
                </w:tcPr>
                <w:p>
                  <w:pPr>
                    <w:jc w:val="center"/>
                    <w:rPr>
                      <w:rFonts w:hint="eastAsia"/>
                      <w:color w:val="auto"/>
                      <w:szCs w:val="21"/>
                      <w:highlight w:val="none"/>
                      <w:lang w:val="en-US" w:eastAsia="zh-CN"/>
                    </w:rPr>
                  </w:pPr>
                  <w:r>
                    <w:rPr>
                      <w:rFonts w:hint="eastAsia"/>
                      <w:color w:val="auto"/>
                      <w:szCs w:val="21"/>
                      <w:highlight w:val="none"/>
                      <w:lang w:val="en-US" w:eastAsia="zh-CN"/>
                    </w:rPr>
                    <w:t>仓库</w:t>
                  </w:r>
                </w:p>
              </w:tc>
              <w:tc>
                <w:tcPr>
                  <w:tcW w:w="2820" w:type="dxa"/>
                  <w:tcBorders>
                    <w:tl2br w:val="nil"/>
                    <w:tr2bl w:val="nil"/>
                  </w:tcBorders>
                  <w:vAlign w:val="center"/>
                </w:tcPr>
                <w:p>
                  <w:pPr>
                    <w:jc w:val="center"/>
                    <w:rPr>
                      <w:rFonts w:hint="eastAsia"/>
                      <w:color w:val="auto"/>
                      <w:szCs w:val="21"/>
                      <w:highlight w:val="none"/>
                      <w:lang w:val="en-US" w:eastAsia="zh-CN"/>
                    </w:rPr>
                  </w:pPr>
                  <w:r>
                    <w:rPr>
                      <w:rFonts w:hint="eastAsia"/>
                      <w:b w:val="0"/>
                      <w:bCs/>
                      <w:color w:val="auto"/>
                      <w:szCs w:val="21"/>
                      <w:highlight w:val="none"/>
                    </w:rPr>
                    <w:t>设</w:t>
                  </w:r>
                  <w:r>
                    <w:rPr>
                      <w:b w:val="0"/>
                      <w:bCs/>
                      <w:color w:val="auto"/>
                      <w:szCs w:val="21"/>
                      <w:highlight w:val="none"/>
                    </w:rPr>
                    <w:t>2瓶天然气储罐，50kg/瓶</w:t>
                  </w:r>
                </w:p>
              </w:tc>
            </w:tr>
          </w:tbl>
          <w:p>
            <w:pPr>
              <w:pStyle w:val="41"/>
              <w:spacing w:line="360" w:lineRule="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润滑油是一般由基础油和添加剂两部分组成。用在各种类型汽车、机械设备上以减少摩擦，保护机械及加工件的液体或半固体润滑剂，主要起润滑、辅助冷却、</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HYPERLINK "https://baike.baidu.com/item/%E9%98%B2%E9%94%88/4591680" \t "https://baike.baidu.com/item/%E6%B6%A6%E6%BB%91%E6%B2%B9/_blank"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防锈</w: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lang w:val="en-US" w:eastAsia="zh-CN" w:bidi="ar-SA"/>
              </w:rPr>
              <w:t>、清洁、</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HYPERLINK "https://baike.baidu.com/item/%E5%AF%86%E5%B0%81/7558996" \t "https://baike.baidu.com/item/%E6%B6%A6%E6%BB%91%E6%B2%B9/_blank"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密封</w: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lang w:val="en-US" w:eastAsia="zh-CN" w:bidi="ar-SA"/>
              </w:rPr>
              <w:t>和缓冲等作用。</w:t>
            </w:r>
          </w:p>
          <w:p>
            <w:pPr>
              <w:pStyle w:val="2"/>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项目物料平衡图如下：</w:t>
            </w:r>
          </w:p>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mc:AlternateContent>
                <mc:Choice Requires="wpc">
                  <w:drawing>
                    <wp:inline distT="0" distB="0" distL="114300" distR="114300">
                      <wp:extent cx="5330825" cy="1328420"/>
                      <wp:effectExtent l="0" t="0" r="0" b="0"/>
                      <wp:docPr id="65" name="画布 65"/>
                      <wp:cNvGraphicFramePr/>
                      <a:graphic xmlns:a="http://schemas.openxmlformats.org/drawingml/2006/main">
                        <a:graphicData uri="http://schemas.microsoft.com/office/word/2010/wordprocessingCanvas">
                          <wpc:wpc>
                            <wpc:bg>
                              <a:noFill/>
                            </wpc:bg>
                            <wpc:whole>
                              <a:ln>
                                <a:noFill/>
                              </a:ln>
                            </wpc:whole>
                            <wps:wsp>
                              <wps:cNvPr id="16" name="文本框 16"/>
                              <wps:cNvSpPr txBox="1"/>
                              <wps:spPr>
                                <a:xfrm>
                                  <a:off x="2105660" y="9552"/>
                                  <a:ext cx="1300480" cy="282114"/>
                                </a:xfrm>
                                <a:prstGeom prst="rect">
                                  <a:avLst/>
                                </a:prstGeom>
                                <a:noFill/>
                                <a:ln>
                                  <a:noFill/>
                                </a:ln>
                              </wps:spPr>
                              <wps:txbx>
                                <w:txbxContent>
                                  <w:p>
                                    <w:pPr>
                                      <w:jc w:val="center"/>
                                      <w:rPr>
                                        <w:rFonts w:hint="default" w:eastAsia="宋体"/>
                                        <w:lang w:val="en-US" w:eastAsia="zh-CN"/>
                                      </w:rPr>
                                    </w:pPr>
                                    <w:r>
                                      <w:rPr>
                                        <w:rFonts w:hint="eastAsia"/>
                                        <w:lang w:eastAsia="zh-CN"/>
                                      </w:rPr>
                                      <w:t>进入固废</w:t>
                                    </w:r>
                                    <w:r>
                                      <w:rPr>
                                        <w:rFonts w:hint="eastAsia"/>
                                        <w:lang w:val="en-US" w:eastAsia="zh-CN"/>
                                      </w:rPr>
                                      <w:t>5</w:t>
                                    </w:r>
                                    <w:r>
                                      <w:rPr>
                                        <w:rFonts w:hint="eastAsia" w:eastAsia="宋体"/>
                                        <w:lang w:val="en-US" w:eastAsia="zh-CN"/>
                                      </w:rPr>
                                      <w:t>t/a</w:t>
                                    </w:r>
                                  </w:p>
                                </w:txbxContent>
                              </wps:txbx>
                              <wps:bodyPr upright="1"/>
                            </wps:wsp>
                            <wps:wsp>
                              <wps:cNvPr id="34" name="文本框 34"/>
                              <wps:cNvSpPr txBox="1"/>
                              <wps:spPr>
                                <a:xfrm>
                                  <a:off x="2298700" y="506914"/>
                                  <a:ext cx="915035" cy="296124"/>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全部工序</w:t>
                                    </w:r>
                                  </w:p>
                                </w:txbxContent>
                              </wps:txbx>
                              <wps:bodyPr upright="1"/>
                            </wps:wsp>
                            <wps:wsp>
                              <wps:cNvPr id="53" name="直接箭头连接符 53"/>
                              <wps:cNvCnPr/>
                              <wps:spPr>
                                <a:xfrm>
                                  <a:off x="1737360" y="666120"/>
                                  <a:ext cx="562610" cy="3821"/>
                                </a:xfrm>
                                <a:prstGeom prst="straightConnector1">
                                  <a:avLst/>
                                </a:prstGeom>
                                <a:ln w="3175" cap="flat" cmpd="sng">
                                  <a:solidFill>
                                    <a:srgbClr val="000000"/>
                                  </a:solidFill>
                                  <a:prstDash val="solid"/>
                                  <a:headEnd type="none" w="med" len="med"/>
                                  <a:tailEnd type="triangle" w="med" len="med"/>
                                </a:ln>
                              </wps:spPr>
                              <wps:bodyPr/>
                            </wps:wsp>
                            <wps:wsp>
                              <wps:cNvPr id="54" name="直接箭头连接符 54"/>
                              <wps:cNvCnPr/>
                              <wps:spPr>
                                <a:xfrm flipV="1">
                                  <a:off x="3223260" y="671215"/>
                                  <a:ext cx="438150" cy="2547"/>
                                </a:xfrm>
                                <a:prstGeom prst="straightConnector1">
                                  <a:avLst/>
                                </a:prstGeom>
                                <a:ln w="3175" cap="flat" cmpd="sng">
                                  <a:solidFill>
                                    <a:srgbClr val="000000"/>
                                  </a:solidFill>
                                  <a:prstDash val="solid"/>
                                  <a:headEnd type="none" w="med" len="med"/>
                                  <a:tailEnd type="triangle" w="med" len="med"/>
                                </a:ln>
                              </wps:spPr>
                              <wps:bodyPr/>
                            </wps:wsp>
                            <wps:wsp>
                              <wps:cNvPr id="55" name="文本框 55"/>
                              <wps:cNvSpPr txBox="1"/>
                              <wps:spPr>
                                <a:xfrm>
                                  <a:off x="3522980" y="543850"/>
                                  <a:ext cx="1433195" cy="280204"/>
                                </a:xfrm>
                                <a:prstGeom prst="rect">
                                  <a:avLst/>
                                </a:prstGeom>
                                <a:noFill/>
                                <a:ln>
                                  <a:noFill/>
                                </a:ln>
                              </wps:spPr>
                              <wps:txbx>
                                <w:txbxContent>
                                  <w:p>
                                    <w:pPr>
                                      <w:jc w:val="center"/>
                                      <w:rPr>
                                        <w:rFonts w:hint="default" w:eastAsia="宋体"/>
                                        <w:lang w:val="en-US" w:eastAsia="zh-CN"/>
                                      </w:rPr>
                                    </w:pPr>
                                    <w:r>
                                      <w:rPr>
                                        <w:rFonts w:hint="eastAsia" w:eastAsia="宋体"/>
                                        <w:color w:val="auto"/>
                                        <w:lang w:val="en-US" w:eastAsia="zh-CN"/>
                                      </w:rPr>
                                      <w:t>进入产品</w:t>
                                    </w:r>
                                    <w:r>
                                      <w:rPr>
                                        <w:rFonts w:hint="eastAsia"/>
                                        <w:color w:val="auto"/>
                                        <w:lang w:val="en-US" w:eastAsia="zh-CN"/>
                                      </w:rPr>
                                      <w:t>约</w:t>
                                    </w:r>
                                    <w:r>
                                      <w:rPr>
                                        <w:rFonts w:hint="eastAsia"/>
                                        <w:lang w:val="en-US" w:eastAsia="zh-CN"/>
                                      </w:rPr>
                                      <w:t>30</w:t>
                                    </w:r>
                                    <w:r>
                                      <w:rPr>
                                        <w:rFonts w:hint="eastAsia" w:eastAsia="宋体"/>
                                        <w:lang w:val="en-US" w:eastAsia="zh-CN"/>
                                      </w:rPr>
                                      <w:t>t/a</w:t>
                                    </w:r>
                                  </w:p>
                                  <w:p>
                                    <w:pPr>
                                      <w:jc w:val="center"/>
                                      <w:rPr>
                                        <w:rFonts w:hint="eastAsia" w:eastAsia="宋体"/>
                                        <w:color w:val="auto"/>
                                        <w:lang w:val="en-US" w:eastAsia="zh-CN"/>
                                      </w:rPr>
                                    </w:pPr>
                                  </w:p>
                                </w:txbxContent>
                              </wps:txbx>
                              <wps:bodyPr upright="1"/>
                            </wps:wsp>
                            <wps:wsp>
                              <wps:cNvPr id="60" name="文本框 60"/>
                              <wps:cNvSpPr txBox="1"/>
                              <wps:spPr>
                                <a:xfrm>
                                  <a:off x="628015" y="485140"/>
                                  <a:ext cx="1174115" cy="386715"/>
                                </a:xfrm>
                                <a:prstGeom prst="rect">
                                  <a:avLst/>
                                </a:prstGeom>
                                <a:noFill/>
                                <a:ln w="3175">
                                  <a:noFill/>
                                </a:ln>
                              </wps:spPr>
                              <wps:txbx>
                                <w:txbxContent>
                                  <w:p>
                                    <w:pPr>
                                      <w:jc w:val="center"/>
                                      <w:rPr>
                                        <w:rFonts w:hint="default" w:ascii="Times New Roman" w:hAnsi="Times New Roman" w:cs="Times New Roman"/>
                                        <w:sz w:val="21"/>
                                        <w:szCs w:val="21"/>
                                        <w:lang w:val="en-US" w:eastAsia="zh-CN"/>
                                      </w:rPr>
                                    </w:pPr>
                                    <w:r>
                                      <w:rPr>
                                        <w:rFonts w:hint="eastAsia"/>
                                        <w:color w:val="auto"/>
                                        <w:sz w:val="21"/>
                                        <w:szCs w:val="21"/>
                                        <w:lang w:eastAsia="zh-CN"/>
                                      </w:rPr>
                                      <w:t>铜棒</w:t>
                                    </w:r>
                                    <w:r>
                                      <w:rPr>
                                        <w:rFonts w:hint="eastAsia"/>
                                        <w:color w:val="auto"/>
                                        <w:sz w:val="21"/>
                                        <w:szCs w:val="21"/>
                                        <w:lang w:val="en-US" w:eastAsia="zh-CN"/>
                                      </w:rPr>
                                      <w:t>35</w:t>
                                    </w:r>
                                    <w:r>
                                      <w:rPr>
                                        <w:rFonts w:hint="eastAsia" w:eastAsia="宋体"/>
                                        <w:lang w:val="en-US" w:eastAsia="zh-CN"/>
                                      </w:rPr>
                                      <w:t>t/a</w:t>
                                    </w:r>
                                  </w:p>
                                </w:txbxContent>
                              </wps:txbx>
                              <wps:bodyPr upright="1"/>
                            </wps:wsp>
                            <wps:wsp>
                              <wps:cNvPr id="61" name="文本框 61"/>
                              <wps:cNvSpPr txBox="1"/>
                              <wps:spPr>
                                <a:xfrm>
                                  <a:off x="1570355" y="456605"/>
                                  <a:ext cx="819150" cy="292303"/>
                                </a:xfrm>
                                <a:prstGeom prst="rect">
                                  <a:avLst/>
                                </a:prstGeom>
                                <a:noFill/>
                                <a:ln w="3175">
                                  <a:noFill/>
                                </a:ln>
                              </wps:spPr>
                              <wps:txbx>
                                <w:txbxContent>
                                  <w:p>
                                    <w:pPr>
                                      <w:jc w:val="center"/>
                                      <w:rPr>
                                        <w:rFonts w:hint="default" w:eastAsia="宋体"/>
                                        <w:lang w:val="en-US" w:eastAsia="zh-CN"/>
                                      </w:rPr>
                                    </w:pPr>
                                    <w:r>
                                      <w:rPr>
                                        <w:rFonts w:hint="eastAsia"/>
                                        <w:lang w:val="en-US" w:eastAsia="zh-CN"/>
                                      </w:rPr>
                                      <w:t>35</w:t>
                                    </w:r>
                                    <w:r>
                                      <w:rPr>
                                        <w:rFonts w:hint="eastAsia" w:eastAsia="宋体"/>
                                        <w:lang w:val="en-US" w:eastAsia="zh-CN"/>
                                      </w:rPr>
                                      <w:t>t/a</w:t>
                                    </w:r>
                                  </w:p>
                                </w:txbxContent>
                              </wps:txbx>
                              <wps:bodyPr upright="1"/>
                            </wps:wsp>
                            <wps:wsp>
                              <wps:cNvPr id="62" name="直接箭头连接符 62"/>
                              <wps:cNvCnPr/>
                              <wps:spPr>
                                <a:xfrm>
                                  <a:off x="2746375" y="811954"/>
                                  <a:ext cx="635" cy="306950"/>
                                </a:xfrm>
                                <a:prstGeom prst="straightConnector1">
                                  <a:avLst/>
                                </a:prstGeom>
                                <a:ln w="3175" cap="flat" cmpd="sng">
                                  <a:solidFill>
                                    <a:srgbClr val="000000"/>
                                  </a:solidFill>
                                  <a:prstDash val="solid"/>
                                  <a:headEnd type="none" w="med" len="med"/>
                                  <a:tailEnd type="triangle" w="med" len="med"/>
                                </a:ln>
                              </wps:spPr>
                              <wps:bodyPr/>
                            </wps:wsp>
                            <wps:wsp>
                              <wps:cNvPr id="63" name="文本框 63"/>
                              <wps:cNvSpPr txBox="1"/>
                              <wps:spPr>
                                <a:xfrm>
                                  <a:off x="2141855" y="1076237"/>
                                  <a:ext cx="1333500" cy="279567"/>
                                </a:xfrm>
                                <a:prstGeom prst="rect">
                                  <a:avLst/>
                                </a:prstGeom>
                                <a:noFill/>
                                <a:ln>
                                  <a:noFill/>
                                </a:ln>
                              </wps:spPr>
                              <wps:txbx>
                                <w:txbxContent>
                                  <w:p>
                                    <w:pPr>
                                      <w:jc w:val="center"/>
                                      <w:rPr>
                                        <w:rFonts w:hint="default" w:eastAsia="宋体"/>
                                        <w:lang w:val="en-US" w:eastAsia="zh-CN"/>
                                      </w:rPr>
                                    </w:pPr>
                                    <w:r>
                                      <w:rPr>
                                        <w:rFonts w:hint="eastAsia" w:eastAsia="宋体"/>
                                        <w:color w:val="auto"/>
                                        <w:lang w:val="en-US" w:eastAsia="zh-CN"/>
                                      </w:rPr>
                                      <w:t>进入大气</w:t>
                                    </w:r>
                                    <w:r>
                                      <w:rPr>
                                        <w:rFonts w:hint="eastAsia"/>
                                        <w:color w:val="auto"/>
                                        <w:lang w:val="en-US" w:eastAsia="zh-CN"/>
                                      </w:rPr>
                                      <w:t>0.0053</w:t>
                                    </w:r>
                                    <w:r>
                                      <w:rPr>
                                        <w:rFonts w:hint="eastAsia" w:eastAsia="宋体"/>
                                        <w:color w:val="auto"/>
                                        <w:lang w:val="en-US" w:eastAsia="zh-CN"/>
                                      </w:rPr>
                                      <w:t>t/a</w:t>
                                    </w:r>
                                  </w:p>
                                  <w:p>
                                    <w:pPr>
                                      <w:jc w:val="center"/>
                                      <w:rPr>
                                        <w:rFonts w:hint="eastAsia" w:eastAsia="宋体"/>
                                        <w:color w:val="auto"/>
                                        <w:lang w:val="en-US" w:eastAsia="zh-CN"/>
                                      </w:rPr>
                                    </w:pPr>
                                  </w:p>
                                </w:txbxContent>
                              </wps:txbx>
                              <wps:bodyPr upright="1"/>
                            </wps:wsp>
                            <wps:wsp>
                              <wps:cNvPr id="64" name="直接箭头连接符 64"/>
                              <wps:cNvCnPr/>
                              <wps:spPr>
                                <a:xfrm flipV="1">
                                  <a:off x="2737485" y="223526"/>
                                  <a:ext cx="0" cy="281477"/>
                                </a:xfrm>
                                <a:prstGeom prst="straightConnector1">
                                  <a:avLst/>
                                </a:prstGeom>
                                <a:ln w="317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104.6pt;width:419.75pt;" coordsize="5330825,1328420" editas="canvas" o:gfxdata="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Z46sQtcAAAAFAQAA&#10;DwAAAAAAAAABACAAAAAiAAAAZHJzL2Rvd25yZXYueG1sUEsBAhQAFAAAAAgAh07iQITn7FxUBAAA&#10;EhUAAA4AAAAAAAAAAQAgAAAAJgEAAGRycy9lMm9Eb2MueG1sUEsFBgAAAAAGAAYAWQEAAOwHAAAA&#10;AA==&#10;">
                      <o:lock v:ext="edit" aspectratio="f"/>
                      <v:shape id="_x0000_s1026" o:spid="_x0000_s1026" style="position:absolute;left:0;top:0;height:1328420;width:5330825;" filled="f" stroked="f" coordsize="21600,21600" o:gfxdata="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BnjqxC1wAAAAUBAAAP&#10;AAAAAAAAAAEAIAAAACIAAABkcnMvZG93bnJldi54bWxQSwECFAAUAAAACACHTuJAKAz/AxoEAACN&#10;FAAADgAAAAAAAAABACAAAAAmAQAAZHJzL2Uyb0RvYy54bWxQSwUGAAAAAAYABgBZAQAAsgcAAAAA&#10;">
                        <v:fill on="f" focussize="0,0"/>
                        <v:stroke on="f"/>
                        <v:imagedata o:title=""/>
                        <o:lock v:ext="edit" aspectratio="f"/>
                      </v:shape>
                      <v:shape id="_x0000_s1026" o:spid="_x0000_s1026" o:spt="202" type="#_x0000_t202" style="position:absolute;left:2105660;top:9552;height:282114;width:1300480;" filled="f" stroked="f" coordsize="21600,21600" o:gfxdata="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tR1YDTAAAABQEAAA8AAAAAAAAAAQAgAAAAIgAA&#10;AGRycy9kb3ducmV2LnhtbFBLAQIUABQAAAAIAIdO4kAp9mTBmwEAAAsDAAAOAAAAAAAAAAEAIAAA&#10;ACIBAABkcnMvZTJvRG9jLnhtbFBLBQYAAAAABgAGAFkBAAAvBQAAAAA=&#10;">
                        <v:fill on="f" focussize="0,0"/>
                        <v:stroke on="f"/>
                        <v:imagedata o:title=""/>
                        <o:lock v:ext="edit" aspectratio="f"/>
                        <v:textbox>
                          <w:txbxContent>
                            <w:p>
                              <w:pPr>
                                <w:jc w:val="center"/>
                                <w:rPr>
                                  <w:rFonts w:hint="default" w:eastAsia="宋体"/>
                                  <w:lang w:val="en-US" w:eastAsia="zh-CN"/>
                                </w:rPr>
                              </w:pPr>
                              <w:r>
                                <w:rPr>
                                  <w:rFonts w:hint="eastAsia"/>
                                  <w:lang w:eastAsia="zh-CN"/>
                                </w:rPr>
                                <w:t>进入固废</w:t>
                              </w:r>
                              <w:r>
                                <w:rPr>
                                  <w:rFonts w:hint="eastAsia"/>
                                  <w:lang w:val="en-US" w:eastAsia="zh-CN"/>
                                </w:rPr>
                                <w:t>5</w:t>
                              </w:r>
                              <w:r>
                                <w:rPr>
                                  <w:rFonts w:hint="eastAsia" w:eastAsia="宋体"/>
                                  <w:lang w:val="en-US" w:eastAsia="zh-CN"/>
                                </w:rPr>
                                <w:t>t/a</w:t>
                              </w:r>
                            </w:p>
                          </w:txbxContent>
                        </v:textbox>
                      </v:shape>
                      <v:shape id="_x0000_s1026" o:spid="_x0000_s1026" o:spt="202" type="#_x0000_t202" style="position:absolute;left:2298700;top:506914;height:296124;width:915035;" filled="f" stroked="t" coordsize="21600,21600" o:gfxdata="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e56A1QAAAAUBAAAPAAAAAAAAAAEAIAAAACIAAABkcnMvZG93bnJldi54bWxQSwEC&#10;FAAUAAAACACHTuJAulUmdPcBAADLAwAADgAAAAAAAAABACAAAAAkAQAAZHJzL2Uyb0RvYy54bWxQ&#10;SwUGAAAAAAYABgBZAQAAjQUAAAAA&#10;">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全部工序</w:t>
                              </w:r>
                            </w:p>
                          </w:txbxContent>
                        </v:textbox>
                      </v:shape>
                      <v:shape id="_x0000_s1026" o:spid="_x0000_s1026" o:spt="32" type="#_x0000_t32" style="position:absolute;left:1737360;top:666120;height:3821;width:562610;" filled="f" stroked="t" coordsize="21600,21600" o:gfxdata="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ZQ9NtUAAAAFAQAADwAAAAAAAAABACAAAAAiAAAAZHJzL2Rvd25yZXYueG1sUEsBAhQA&#10;FAAAAAgAh07iQArFCFX1AQAAsQMAAA4AAAAAAAAAAQAgAAAAJAEAAGRycy9lMm9Eb2MueG1sUEsF&#10;BgAAAAAGAAYAWQEAAIsFAAAAAA==&#10;">
                        <v:fill on="f" focussize="0,0"/>
                        <v:stroke weight="0.25pt" color="#000000" joinstyle="round" endarrow="block"/>
                        <v:imagedata o:title=""/>
                        <o:lock v:ext="edit" aspectratio="f"/>
                      </v:shape>
                      <v:shape id="_x0000_s1026" o:spid="_x0000_s1026" o:spt="32" type="#_x0000_t32" style="position:absolute;left:3223260;top:671215;flip:y;height:2547;width:438150;" filled="f" stroked="t" coordsize="21600,21600" o:gfxdata="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QBcD9cAAAAFAQAADwAAAAAAAAABACAAAAAiAAAAZHJzL2Rvd25y&#10;ZXYueG1sUEsBAhQAFAAAAAgAh07iQHBDHyD/AQAAuwMAAA4AAAAAAAAAAQAgAAAAJgEAAGRycy9l&#10;Mm9Eb2MueG1sUEsFBgAAAAAGAAYAWQEAAJcFAAAAAA==&#10;">
                        <v:fill on="f" focussize="0,0"/>
                        <v:stroke weight="0.25pt" color="#000000" joinstyle="round" endarrow="block"/>
                        <v:imagedata o:title=""/>
                        <o:lock v:ext="edit" aspectratio="f"/>
                      </v:shape>
                      <v:shape id="_x0000_s1026" o:spid="_x0000_s1026" o:spt="202" type="#_x0000_t202" style="position:absolute;left:3522980;top:543850;height:280204;width:1433195;" filled="f" stroked="f" coordsize="21600,21600" o:gfxdata="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LUdWA0wAAAAUBAAAPAAAAAAAAAAEAIAAAACIA&#10;AABkcnMvZG93bnJldi54bWxQSwECFAAUAAAACACHTuJA83qPBpwBAAANAwAADgAAAAAAAAABACAA&#10;AAAi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eastAsia="宋体"/>
                                  <w:color w:val="auto"/>
                                  <w:lang w:val="en-US" w:eastAsia="zh-CN"/>
                                </w:rPr>
                                <w:t>进入产品</w:t>
                              </w:r>
                              <w:r>
                                <w:rPr>
                                  <w:rFonts w:hint="eastAsia"/>
                                  <w:color w:val="auto"/>
                                  <w:lang w:val="en-US" w:eastAsia="zh-CN"/>
                                </w:rPr>
                                <w:t>约</w:t>
                              </w:r>
                              <w:r>
                                <w:rPr>
                                  <w:rFonts w:hint="eastAsia"/>
                                  <w:lang w:val="en-US" w:eastAsia="zh-CN"/>
                                </w:rPr>
                                <w:t>30</w:t>
                              </w:r>
                              <w:r>
                                <w:rPr>
                                  <w:rFonts w:hint="eastAsia" w:eastAsia="宋体"/>
                                  <w:lang w:val="en-US" w:eastAsia="zh-CN"/>
                                </w:rPr>
                                <w:t>t/a</w:t>
                              </w:r>
                            </w:p>
                            <w:p>
                              <w:pPr>
                                <w:jc w:val="center"/>
                                <w:rPr>
                                  <w:rFonts w:hint="eastAsia" w:eastAsia="宋体"/>
                                  <w:color w:val="auto"/>
                                  <w:lang w:val="en-US" w:eastAsia="zh-CN"/>
                                </w:rPr>
                              </w:pPr>
                            </w:p>
                          </w:txbxContent>
                        </v:textbox>
                      </v:shape>
                      <v:shape id="_x0000_s1026" o:spid="_x0000_s1026" o:spt="202" type="#_x0000_t202" style="position:absolute;left:628015;top:485140;height:386715;width:1174115;" filled="f" stroked="f" coordsize="21600,21600" o:gfxdata="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k0HpDVAAAABQEAAA8AAAAAAAAA&#10;AQAgAAAAIgAAAGRycy9kb3ducmV2LnhtbFBLAQIUABQAAAAIAIdO4kBwU4M3ogEAABUDAAAOAAAA&#10;AAAAAAEAIAAAACQBAABkcnMvZTJvRG9jLnhtbFBLBQYAAAAABgAGAFkBAAA4BQAAAAA=&#10;">
                        <v:fill on="f" focussize="0,0"/>
                        <v:stroke on="f" weight="0.25pt"/>
                        <v:imagedata o:title=""/>
                        <o:lock v:ext="edit" aspectratio="f"/>
                        <v:textbox>
                          <w:txbxContent>
                            <w:p>
                              <w:pPr>
                                <w:jc w:val="center"/>
                                <w:rPr>
                                  <w:rFonts w:hint="default" w:ascii="Times New Roman" w:hAnsi="Times New Roman" w:cs="Times New Roman"/>
                                  <w:sz w:val="21"/>
                                  <w:szCs w:val="21"/>
                                  <w:lang w:val="en-US" w:eastAsia="zh-CN"/>
                                </w:rPr>
                              </w:pPr>
                              <w:r>
                                <w:rPr>
                                  <w:rFonts w:hint="eastAsia"/>
                                  <w:color w:val="auto"/>
                                  <w:sz w:val="21"/>
                                  <w:szCs w:val="21"/>
                                  <w:lang w:eastAsia="zh-CN"/>
                                </w:rPr>
                                <w:t>铜棒</w:t>
                              </w:r>
                              <w:r>
                                <w:rPr>
                                  <w:rFonts w:hint="eastAsia"/>
                                  <w:color w:val="auto"/>
                                  <w:sz w:val="21"/>
                                  <w:szCs w:val="21"/>
                                  <w:lang w:val="en-US" w:eastAsia="zh-CN"/>
                                </w:rPr>
                                <w:t>35</w:t>
                              </w:r>
                              <w:r>
                                <w:rPr>
                                  <w:rFonts w:hint="eastAsia" w:eastAsia="宋体"/>
                                  <w:lang w:val="en-US" w:eastAsia="zh-CN"/>
                                </w:rPr>
                                <w:t>t/a</w:t>
                              </w:r>
                            </w:p>
                          </w:txbxContent>
                        </v:textbox>
                      </v:shape>
                      <v:shape id="_x0000_s1026" o:spid="_x0000_s1026" o:spt="202" type="#_x0000_t202" style="position:absolute;left:1570355;top:456605;height:292303;width:819150;" filled="f" stroked="f" coordsize="21600,21600" o:gfxdata="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k0HpDVAAAABQEAAA8AAAAA&#10;AAAAAQAgAAAAIgAAAGRycy9kb3ducmV2LnhtbFBLAQIUABQAAAAIAIdO4kAbaO7fpQEAABUDAAAO&#10;AAAAAAAAAAEAIAAAACQBAABkcnMvZTJvRG9jLnhtbFBLBQYAAAAABgAGAFkBAAA7BQAAAAA=&#10;">
                        <v:fill on="f" focussize="0,0"/>
                        <v:stroke on="f" weight="0.25pt"/>
                        <v:imagedata o:title=""/>
                        <o:lock v:ext="edit" aspectratio="f"/>
                        <v:textbox>
                          <w:txbxContent>
                            <w:p>
                              <w:pPr>
                                <w:jc w:val="center"/>
                                <w:rPr>
                                  <w:rFonts w:hint="default" w:eastAsia="宋体"/>
                                  <w:lang w:val="en-US" w:eastAsia="zh-CN"/>
                                </w:rPr>
                              </w:pPr>
                              <w:r>
                                <w:rPr>
                                  <w:rFonts w:hint="eastAsia"/>
                                  <w:lang w:val="en-US" w:eastAsia="zh-CN"/>
                                </w:rPr>
                                <w:t>35</w:t>
                              </w:r>
                              <w:r>
                                <w:rPr>
                                  <w:rFonts w:hint="eastAsia" w:eastAsia="宋体"/>
                                  <w:lang w:val="en-US" w:eastAsia="zh-CN"/>
                                </w:rPr>
                                <w:t>t/a</w:t>
                              </w:r>
                            </w:p>
                          </w:txbxContent>
                        </v:textbox>
                      </v:shape>
                      <v:shape id="_x0000_s1026" o:spid="_x0000_s1026" o:spt="32" type="#_x0000_t32" style="position:absolute;left:2746375;top:811954;height:306950;width:635;" filled="f" stroked="t" coordsize="21600,21600" o:gfxdata="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2UPTbVAAAABQEAAA8AAAAAAAAAAQAgAAAAIgAAAGRycy9kb3ducmV2LnhtbFBL&#10;AQIUABQAAAAIAIdO4kDgWU1s+QEAALADAAAOAAAAAAAAAAEAIAAAACQBAABkcnMvZTJvRG9jLnht&#10;bFBLBQYAAAAABgAGAFkBAACPBQAAAAA=&#10;">
                        <v:fill on="f" focussize="0,0"/>
                        <v:stroke weight="0.25pt" color="#000000" joinstyle="round" endarrow="block"/>
                        <v:imagedata o:title=""/>
                        <o:lock v:ext="edit" aspectratio="f"/>
                      </v:shape>
                      <v:shape id="_x0000_s1026" o:spid="_x0000_s1026" o:spt="202" type="#_x0000_t202" style="position:absolute;left:2141855;top:1076237;height:279567;width:1333500;" filled="f" stroked="f" coordsize="21600,21600" o:gfxdata="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LUdWA0wAAAAUBAAAPAAAAAAAAAAEAIAAA&#10;ACIAAABkcnMvZG93bnJldi54bWxQSwECFAAUAAAACACHTuJA08Aj5p8BAAAOAwAADgAAAAAAAAAB&#10;ACAAAAAiAQAAZHJzL2Uyb0RvYy54bWxQSwUGAAAAAAYABgBZAQAAMwUAAAAA&#10;">
                        <v:fill on="f" focussize="0,0"/>
                        <v:stroke on="f"/>
                        <v:imagedata o:title=""/>
                        <o:lock v:ext="edit" aspectratio="f"/>
                        <v:textbox>
                          <w:txbxContent>
                            <w:p>
                              <w:pPr>
                                <w:jc w:val="center"/>
                                <w:rPr>
                                  <w:rFonts w:hint="default" w:eastAsia="宋体"/>
                                  <w:lang w:val="en-US" w:eastAsia="zh-CN"/>
                                </w:rPr>
                              </w:pPr>
                              <w:r>
                                <w:rPr>
                                  <w:rFonts w:hint="eastAsia" w:eastAsia="宋体"/>
                                  <w:color w:val="auto"/>
                                  <w:lang w:val="en-US" w:eastAsia="zh-CN"/>
                                </w:rPr>
                                <w:t>进入大气</w:t>
                              </w:r>
                              <w:r>
                                <w:rPr>
                                  <w:rFonts w:hint="eastAsia"/>
                                  <w:color w:val="auto"/>
                                  <w:lang w:val="en-US" w:eastAsia="zh-CN"/>
                                </w:rPr>
                                <w:t>0.0053</w:t>
                              </w:r>
                              <w:r>
                                <w:rPr>
                                  <w:rFonts w:hint="eastAsia" w:eastAsia="宋体"/>
                                  <w:color w:val="auto"/>
                                  <w:lang w:val="en-US" w:eastAsia="zh-CN"/>
                                </w:rPr>
                                <w:t>t/a</w:t>
                              </w:r>
                            </w:p>
                            <w:p>
                              <w:pPr>
                                <w:jc w:val="center"/>
                                <w:rPr>
                                  <w:rFonts w:hint="eastAsia" w:eastAsia="宋体"/>
                                  <w:color w:val="auto"/>
                                  <w:lang w:val="en-US" w:eastAsia="zh-CN"/>
                                </w:rPr>
                              </w:pPr>
                            </w:p>
                          </w:txbxContent>
                        </v:textbox>
                      </v:shape>
                      <v:shape id="_x0000_s1026" o:spid="_x0000_s1026" o:spt="32" type="#_x0000_t32" style="position:absolute;left:2737485;top:223526;flip:y;height:281477;width:0;" filled="f" stroked="t" coordsize="21600,21600" o:gfxdata="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0AXA/XAAAABQEAAA8AAAAAAAAAAQAgAAAAIgAAAGRycy9kb3ducmV2&#10;LnhtbFBLAQIUABQAAAAIAIdO4kAtN+9L/QEAALgDAAAOAAAAAAAAAAEAIAAAACYBAABkcnMvZTJv&#10;RG9jLnhtbFBLBQYAAAAABgAGAFkBAACVBQAAAAA=&#10;">
                        <v:fill on="f" focussize="0,0"/>
                        <v:stroke weight="0.25pt" color="#000000" joinstyle="round" endarrow="block"/>
                        <v:imagedata o:title=""/>
                        <o:lock v:ext="edit" aspectratio="f"/>
                      </v:shape>
                      <w10:wrap type="none"/>
                      <w10:anchorlock/>
                    </v:group>
                  </w:pict>
                </mc:Fallback>
              </mc:AlternateContent>
            </w:r>
          </w:p>
          <w:p>
            <w:pPr>
              <w:spacing w:line="360" w:lineRule="auto"/>
              <w:ind w:firstLine="482" w:firstLineChars="200"/>
              <w:rPr>
                <w:b/>
                <w:color w:val="auto"/>
                <w:sz w:val="24"/>
                <w:szCs w:val="24"/>
                <w:highlight w:val="none"/>
              </w:rPr>
            </w:pPr>
            <w:r>
              <w:rPr>
                <w:b/>
                <w:color w:val="auto"/>
                <w:sz w:val="24"/>
                <w:szCs w:val="24"/>
                <w:highlight w:val="none"/>
              </w:rPr>
              <w:t>6、主要生产设备</w:t>
            </w:r>
          </w:p>
          <w:p>
            <w:pPr>
              <w:spacing w:line="360" w:lineRule="auto"/>
              <w:jc w:val="center"/>
              <w:rPr>
                <w:b/>
                <w:bCs/>
                <w:color w:val="auto"/>
                <w:szCs w:val="21"/>
                <w:highlight w:val="none"/>
              </w:rPr>
            </w:pPr>
            <w:r>
              <w:rPr>
                <w:b/>
                <w:bCs/>
                <w:color w:val="auto"/>
                <w:szCs w:val="21"/>
                <w:highlight w:val="none"/>
              </w:rPr>
              <w:t>表1-</w:t>
            </w:r>
            <w:r>
              <w:rPr>
                <w:rFonts w:hint="eastAsia"/>
                <w:b/>
                <w:bCs/>
                <w:color w:val="auto"/>
                <w:szCs w:val="21"/>
                <w:highlight w:val="none"/>
                <w:lang w:val="en-US" w:eastAsia="zh-CN"/>
              </w:rPr>
              <w:t>4</w:t>
            </w:r>
            <w:r>
              <w:rPr>
                <w:b/>
                <w:bCs/>
                <w:color w:val="auto"/>
                <w:szCs w:val="21"/>
                <w:highlight w:val="none"/>
              </w:rPr>
              <w:t xml:space="preserve">  主要生产设备一览表</w:t>
            </w:r>
          </w:p>
          <w:tbl>
            <w:tblPr>
              <w:tblStyle w:val="34"/>
              <w:tblW w:w="90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4"/>
              <w:gridCol w:w="795"/>
              <w:gridCol w:w="1320"/>
              <w:gridCol w:w="1386"/>
              <w:gridCol w:w="1974"/>
              <w:gridCol w:w="26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序号</w:t>
                  </w:r>
                </w:p>
              </w:tc>
              <w:tc>
                <w:tcPr>
                  <w:tcW w:w="2115" w:type="dxa"/>
                  <w:gridSpan w:val="2"/>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设备名称</w:t>
                  </w:r>
                </w:p>
              </w:tc>
              <w:tc>
                <w:tcPr>
                  <w:tcW w:w="1386" w:type="dxa"/>
                  <w:tcBorders>
                    <w:tl2br w:val="nil"/>
                    <w:tr2bl w:val="nil"/>
                  </w:tcBorders>
                  <w:vAlign w:val="center"/>
                </w:tcPr>
                <w:p>
                  <w:pPr>
                    <w:spacing w:line="320" w:lineRule="atLeast"/>
                    <w:jc w:val="center"/>
                    <w:rPr>
                      <w:rFonts w:hint="eastAsia" w:eastAsia="宋体"/>
                      <w:color w:val="auto"/>
                      <w:kern w:val="0"/>
                      <w:szCs w:val="22"/>
                      <w:highlight w:val="none"/>
                      <w:lang w:eastAsia="zh-CN"/>
                    </w:rPr>
                  </w:pPr>
                  <w:r>
                    <w:rPr>
                      <w:rFonts w:hint="eastAsia"/>
                      <w:color w:val="auto"/>
                      <w:kern w:val="0"/>
                      <w:szCs w:val="22"/>
                      <w:highlight w:val="none"/>
                      <w:lang w:eastAsia="zh-CN"/>
                    </w:rPr>
                    <w:t>设备型号</w:t>
                  </w:r>
                </w:p>
              </w:tc>
              <w:tc>
                <w:tcPr>
                  <w:tcW w:w="19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数量</w:t>
                  </w:r>
                </w:p>
              </w:tc>
              <w:tc>
                <w:tcPr>
                  <w:tcW w:w="2677" w:type="dxa"/>
                  <w:tcBorders>
                    <w:tl2br w:val="nil"/>
                    <w:tr2bl w:val="nil"/>
                  </w:tcBorders>
                  <w:vAlign w:val="center"/>
                </w:tcPr>
                <w:p>
                  <w:pPr>
                    <w:spacing w:line="320" w:lineRule="atLeast"/>
                    <w:jc w:val="center"/>
                    <w:rPr>
                      <w:rFonts w:hint="eastAsia" w:eastAsia="宋体"/>
                      <w:color w:val="auto"/>
                      <w:kern w:val="0"/>
                      <w:szCs w:val="22"/>
                      <w:highlight w:val="none"/>
                      <w:lang w:eastAsia="zh-CN"/>
                    </w:rPr>
                  </w:pPr>
                  <w:r>
                    <w:rPr>
                      <w:rFonts w:hint="eastAsia"/>
                      <w:color w:val="auto"/>
                      <w:kern w:val="0"/>
                      <w:szCs w:val="22"/>
                      <w:highlight w:val="none"/>
                      <w:lang w:eastAsia="zh-CN"/>
                    </w:rPr>
                    <w:t>用途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1</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开料机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开料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vMerge w:val="restart"/>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2</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锻压机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J31-125</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3台</w:t>
                  </w:r>
                </w:p>
              </w:tc>
              <w:tc>
                <w:tcPr>
                  <w:tcW w:w="2677" w:type="dxa"/>
                  <w:vMerge w:val="restart"/>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锻压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vMerge w:val="continue"/>
                  <w:tcBorders>
                    <w:tl2br w:val="nil"/>
                    <w:tr2bl w:val="nil"/>
                  </w:tcBorders>
                  <w:vAlign w:val="center"/>
                </w:tcPr>
                <w:p>
                  <w:pPr>
                    <w:spacing w:line="320" w:lineRule="atLeast"/>
                    <w:jc w:val="center"/>
                    <w:rPr>
                      <w:color w:val="auto"/>
                      <w:kern w:val="0"/>
                      <w:szCs w:val="22"/>
                      <w:highlight w:val="none"/>
                    </w:rPr>
                  </w:pPr>
                </w:p>
              </w:tc>
              <w:tc>
                <w:tcPr>
                  <w:tcW w:w="795"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配套</w:t>
                  </w:r>
                </w:p>
              </w:tc>
              <w:tc>
                <w:tcPr>
                  <w:tcW w:w="1320"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加热槽</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2.2m*0.65m</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3个</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3</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数控车床</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CXK30</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15台</w:t>
                  </w:r>
                </w:p>
              </w:tc>
              <w:tc>
                <w:tcPr>
                  <w:tcW w:w="2677" w:type="dxa"/>
                  <w:vMerge w:val="restart"/>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机加工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4</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冲压机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J23-30T</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5</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双头钻</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YD-80</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3台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color w:val="auto"/>
                      <w:kern w:val="0"/>
                      <w:szCs w:val="22"/>
                      <w:highlight w:val="none"/>
                    </w:rPr>
                  </w:pPr>
                  <w:r>
                    <w:rPr>
                      <w:color w:val="auto"/>
                      <w:kern w:val="0"/>
                      <w:szCs w:val="22"/>
                      <w:highlight w:val="none"/>
                    </w:rPr>
                    <w:t>6</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单头钻</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ZS4120</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4台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rFonts w:hint="eastAsia" w:eastAsia="宋体"/>
                      <w:color w:val="auto"/>
                      <w:kern w:val="0"/>
                      <w:szCs w:val="22"/>
                      <w:highlight w:val="none"/>
                      <w:lang w:val="en-US" w:eastAsia="zh-CN"/>
                    </w:rPr>
                  </w:pPr>
                  <w:r>
                    <w:rPr>
                      <w:color w:val="auto"/>
                      <w:kern w:val="0"/>
                      <w:szCs w:val="22"/>
                      <w:highlight w:val="none"/>
                    </w:rPr>
                    <w:t>7</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铣床</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X1527</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rFonts w:hint="eastAsia" w:eastAsia="宋体"/>
                      <w:color w:val="auto"/>
                      <w:kern w:val="0"/>
                      <w:szCs w:val="22"/>
                      <w:highlight w:val="none"/>
                      <w:lang w:val="en-US" w:eastAsia="zh-CN"/>
                    </w:rPr>
                  </w:pPr>
                  <w:r>
                    <w:rPr>
                      <w:rFonts w:hint="eastAsia"/>
                      <w:color w:val="auto"/>
                      <w:kern w:val="0"/>
                      <w:szCs w:val="22"/>
                      <w:highlight w:val="none"/>
                      <w:lang w:val="en-US" w:eastAsia="zh-CN"/>
                    </w:rPr>
                    <w:t>8</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磨刀机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SD0025</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rFonts w:hint="default"/>
                      <w:color w:val="auto"/>
                      <w:kern w:val="0"/>
                      <w:szCs w:val="22"/>
                      <w:highlight w:val="none"/>
                      <w:lang w:val="en-US" w:eastAsia="zh-CN"/>
                    </w:rPr>
                  </w:pPr>
                  <w:r>
                    <w:rPr>
                      <w:rFonts w:hint="eastAsia"/>
                      <w:color w:val="auto"/>
                      <w:kern w:val="0"/>
                      <w:szCs w:val="22"/>
                      <w:highlight w:val="none"/>
                      <w:lang w:val="en-US" w:eastAsia="zh-CN"/>
                    </w:rPr>
                    <w:t>9</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eastAsia="zh-CN"/>
                    </w:rPr>
                    <w:t>仪表机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default" w:ascii="Times New Roman" w:hAnsi="Times New Roman" w:cs="Times New Roman"/>
                      <w:color w:val="auto"/>
                      <w:kern w:val="0"/>
                      <w:szCs w:val="22"/>
                      <w:highlight w:val="none"/>
                      <w:lang w:val="en-US" w:eastAsia="zh-CN"/>
                    </w:rPr>
                    <w:t>CMO632-A3</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vMerge w:val="continue"/>
                  <w:tcBorders>
                    <w:tl2br w:val="nil"/>
                    <w:tr2bl w:val="nil"/>
                  </w:tcBorders>
                  <w:vAlign w:val="center"/>
                </w:tcPr>
                <w:p>
                  <w:pPr>
                    <w:spacing w:line="320" w:lineRule="atLeast"/>
                    <w:jc w:val="center"/>
                    <w:rPr>
                      <w:rFonts w:hint="eastAsia"/>
                      <w:color w:val="auto"/>
                      <w:kern w:val="0"/>
                      <w:szCs w:val="22"/>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874" w:type="dxa"/>
                  <w:tcBorders>
                    <w:tl2br w:val="nil"/>
                    <w:tr2bl w:val="nil"/>
                  </w:tcBorders>
                  <w:vAlign w:val="center"/>
                </w:tcPr>
                <w:p>
                  <w:pPr>
                    <w:spacing w:line="320" w:lineRule="atLeast"/>
                    <w:jc w:val="center"/>
                    <w:rPr>
                      <w:rFonts w:hint="default"/>
                      <w:color w:val="auto"/>
                      <w:kern w:val="0"/>
                      <w:szCs w:val="22"/>
                      <w:highlight w:val="none"/>
                      <w:lang w:val="en-US" w:eastAsia="zh-CN"/>
                    </w:rPr>
                  </w:pPr>
                  <w:r>
                    <w:rPr>
                      <w:rFonts w:hint="eastAsia"/>
                      <w:color w:val="auto"/>
                      <w:kern w:val="0"/>
                      <w:szCs w:val="22"/>
                      <w:highlight w:val="none"/>
                      <w:lang w:val="en-US" w:eastAsia="zh-CN"/>
                    </w:rPr>
                    <w:t>10</w:t>
                  </w:r>
                </w:p>
              </w:tc>
              <w:tc>
                <w:tcPr>
                  <w:tcW w:w="2115" w:type="dxa"/>
                  <w:gridSpan w:val="2"/>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eastAsia="zh-CN"/>
                    </w:rPr>
                    <w:t>空压机</w:t>
                  </w:r>
                </w:p>
              </w:tc>
              <w:tc>
                <w:tcPr>
                  <w:tcW w:w="1386"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ascii="Times New Roman" w:hAnsi="Times New Roman" w:cs="Times New Roman"/>
                      <w:color w:val="auto"/>
                      <w:kern w:val="0"/>
                      <w:szCs w:val="22"/>
                      <w:highlight w:val="none"/>
                      <w:lang w:val="en-US" w:eastAsia="zh-CN"/>
                    </w:rPr>
                    <w:t>15kw</w:t>
                  </w:r>
                </w:p>
              </w:tc>
              <w:tc>
                <w:tcPr>
                  <w:tcW w:w="1974" w:type="dxa"/>
                  <w:tcBorders>
                    <w:tl2br w:val="nil"/>
                    <w:tr2bl w:val="nil"/>
                  </w:tcBorders>
                  <w:vAlign w:val="center"/>
                </w:tcPr>
                <w:p>
                  <w:pPr>
                    <w:spacing w:line="320" w:lineRule="atLeast"/>
                    <w:jc w:val="center"/>
                    <w:rPr>
                      <w:rFonts w:hint="eastAsia"/>
                      <w:color w:val="auto"/>
                      <w:kern w:val="0"/>
                      <w:szCs w:val="22"/>
                      <w:highlight w:val="none"/>
                      <w:lang w:val="en-US" w:eastAsia="zh-CN"/>
                    </w:rPr>
                  </w:pPr>
                  <w:r>
                    <w:rPr>
                      <w:rFonts w:hint="eastAsia"/>
                      <w:color w:val="auto"/>
                      <w:kern w:val="0"/>
                      <w:szCs w:val="22"/>
                      <w:highlight w:val="none"/>
                      <w:lang w:val="en-US" w:eastAsia="zh-CN"/>
                    </w:rPr>
                    <w:t>1台</w:t>
                  </w:r>
                </w:p>
              </w:tc>
              <w:tc>
                <w:tcPr>
                  <w:tcW w:w="2677" w:type="dxa"/>
                  <w:tcBorders>
                    <w:tl2br w:val="nil"/>
                    <w:tr2bl w:val="nil"/>
                  </w:tcBorders>
                  <w:vAlign w:val="center"/>
                </w:tcPr>
                <w:p>
                  <w:pPr>
                    <w:spacing w:line="320" w:lineRule="atLeast"/>
                    <w:jc w:val="center"/>
                    <w:rPr>
                      <w:rFonts w:hint="eastAsia"/>
                      <w:color w:val="auto"/>
                      <w:kern w:val="0"/>
                      <w:szCs w:val="22"/>
                      <w:highlight w:val="none"/>
                      <w:lang w:eastAsia="zh-CN"/>
                    </w:rPr>
                  </w:pPr>
                  <w:r>
                    <w:rPr>
                      <w:rFonts w:hint="eastAsia"/>
                      <w:color w:val="auto"/>
                      <w:kern w:val="0"/>
                      <w:szCs w:val="22"/>
                      <w:highlight w:val="none"/>
                      <w:lang w:eastAsia="zh-CN"/>
                    </w:rPr>
                    <w:t>辅助</w:t>
                  </w:r>
                </w:p>
              </w:tc>
            </w:tr>
          </w:tbl>
          <w:p>
            <w:pPr>
              <w:spacing w:line="360" w:lineRule="auto"/>
              <w:ind w:firstLine="310" w:firstLineChars="147"/>
              <w:rPr>
                <w:b/>
                <w:color w:val="auto"/>
                <w:sz w:val="24"/>
                <w:szCs w:val="24"/>
                <w:highlight w:val="none"/>
              </w:rPr>
            </w:pPr>
            <w:r>
              <w:rPr>
                <w:rFonts w:hint="eastAsia"/>
                <w:b/>
                <w:color w:val="auto"/>
                <w:szCs w:val="21"/>
                <w:highlight w:val="none"/>
              </w:rPr>
              <w:t>说明：项目锻压机</w:t>
            </w:r>
            <w:r>
              <w:rPr>
                <w:rFonts w:hint="eastAsia"/>
                <w:b/>
                <w:color w:val="auto"/>
                <w:szCs w:val="21"/>
                <w:highlight w:val="none"/>
                <w:lang w:eastAsia="zh-CN"/>
              </w:rPr>
              <w:t>配套加热槽</w:t>
            </w:r>
            <w:r>
              <w:rPr>
                <w:rFonts w:hint="eastAsia"/>
                <w:b/>
                <w:color w:val="auto"/>
                <w:szCs w:val="21"/>
                <w:highlight w:val="none"/>
              </w:rPr>
              <w:t>使用天然气，其余设备均使用电能。</w:t>
            </w:r>
          </w:p>
          <w:p>
            <w:pPr>
              <w:spacing w:line="360" w:lineRule="auto"/>
              <w:ind w:firstLine="354" w:firstLineChars="147"/>
              <w:rPr>
                <w:b/>
                <w:color w:val="auto"/>
                <w:sz w:val="24"/>
                <w:szCs w:val="24"/>
                <w:highlight w:val="none"/>
              </w:rPr>
            </w:pPr>
            <w:r>
              <w:rPr>
                <w:b/>
                <w:color w:val="auto"/>
                <w:sz w:val="24"/>
                <w:szCs w:val="24"/>
                <w:highlight w:val="none"/>
              </w:rPr>
              <w:t>7、公用工程</w:t>
            </w:r>
          </w:p>
          <w:p>
            <w:pPr>
              <w:spacing w:line="360" w:lineRule="auto"/>
              <w:ind w:firstLine="480" w:firstLineChars="200"/>
              <w:rPr>
                <w:color w:val="auto"/>
                <w:sz w:val="24"/>
                <w:szCs w:val="24"/>
                <w:highlight w:val="none"/>
              </w:rPr>
            </w:pPr>
            <w:r>
              <w:rPr>
                <w:color w:val="auto"/>
                <w:sz w:val="24"/>
                <w:szCs w:val="24"/>
                <w:highlight w:val="none"/>
              </w:rPr>
              <w:t>⑴给水：项目用水由市政供水管网供给，主要为生活用水</w:t>
            </w:r>
            <w:r>
              <w:rPr>
                <w:rFonts w:hint="eastAsia"/>
                <w:color w:val="auto"/>
                <w:sz w:val="24"/>
                <w:szCs w:val="24"/>
                <w:highlight w:val="none"/>
                <w:lang w:eastAsia="zh-CN"/>
              </w:rPr>
              <w:t>及</w:t>
            </w:r>
            <w:r>
              <w:rPr>
                <w:rFonts w:hint="eastAsia"/>
                <w:color w:val="auto"/>
                <w:sz w:val="24"/>
                <w:szCs w:val="24"/>
                <w:highlight w:val="none"/>
                <w:shd w:val="clear" w:color="auto" w:fill="auto"/>
                <w:lang w:eastAsia="zh-CN"/>
              </w:rPr>
              <w:t>喷淋用水</w:t>
            </w:r>
            <w:r>
              <w:rPr>
                <w:color w:val="auto"/>
                <w:sz w:val="24"/>
                <w:szCs w:val="24"/>
                <w:highlight w:val="none"/>
                <w:shd w:val="clear" w:color="auto" w:fill="auto"/>
              </w:rPr>
              <w:t>。</w:t>
            </w:r>
          </w:p>
          <w:p>
            <w:pPr>
              <w:spacing w:line="360" w:lineRule="auto"/>
              <w:ind w:firstLine="480" w:firstLineChars="200"/>
              <w:rPr>
                <w:bCs/>
                <w:color w:val="auto"/>
                <w:sz w:val="24"/>
                <w:highlight w:val="none"/>
              </w:rPr>
            </w:pPr>
            <w:r>
              <w:rPr>
                <w:color w:val="auto"/>
                <w:sz w:val="24"/>
                <w:szCs w:val="24"/>
                <w:highlight w:val="none"/>
              </w:rPr>
              <w:t>生活用水：</w:t>
            </w:r>
            <w:r>
              <w:rPr>
                <w:bCs/>
                <w:color w:val="auto"/>
                <w:sz w:val="24"/>
                <w:highlight w:val="none"/>
              </w:rPr>
              <w:t>根据《广东省用水定额》（DB44/T1461-2014），员工生活用水系数为</w:t>
            </w:r>
            <w:r>
              <w:rPr>
                <w:rFonts w:hint="eastAsia"/>
                <w:bCs/>
                <w:color w:val="auto"/>
                <w:sz w:val="24"/>
                <w:highlight w:val="none"/>
                <w:lang w:val="en-US" w:eastAsia="zh-CN"/>
              </w:rPr>
              <w:t>40</w:t>
            </w:r>
            <w:r>
              <w:rPr>
                <w:bCs/>
                <w:color w:val="auto"/>
                <w:sz w:val="24"/>
                <w:highlight w:val="none"/>
              </w:rPr>
              <w:t>L/d·人，项目员工人数为</w:t>
            </w:r>
            <w:r>
              <w:rPr>
                <w:rFonts w:hint="eastAsia"/>
                <w:bCs/>
                <w:color w:val="auto"/>
                <w:sz w:val="24"/>
                <w:highlight w:val="none"/>
                <w:lang w:val="en-US" w:eastAsia="zh-CN"/>
              </w:rPr>
              <w:t>5</w:t>
            </w:r>
            <w:r>
              <w:rPr>
                <w:bCs/>
                <w:color w:val="auto"/>
                <w:sz w:val="24"/>
                <w:highlight w:val="none"/>
              </w:rPr>
              <w:t>人，则项目生活用水量为</w:t>
            </w:r>
            <w:r>
              <w:rPr>
                <w:rFonts w:hint="eastAsia"/>
                <w:bCs/>
                <w:color w:val="auto"/>
                <w:sz w:val="24"/>
                <w:highlight w:val="none"/>
                <w:lang w:val="en-US" w:eastAsia="zh-CN"/>
              </w:rPr>
              <w:t>0.2</w:t>
            </w:r>
            <w:r>
              <w:rPr>
                <w:bCs/>
                <w:color w:val="auto"/>
                <w:sz w:val="24"/>
                <w:highlight w:val="none"/>
              </w:rPr>
              <w:t>t/d，</w:t>
            </w:r>
            <w:r>
              <w:rPr>
                <w:rFonts w:hint="eastAsia"/>
                <w:bCs/>
                <w:color w:val="auto"/>
                <w:sz w:val="24"/>
                <w:highlight w:val="none"/>
                <w:lang w:val="en-US" w:eastAsia="zh-CN"/>
              </w:rPr>
              <w:t>60</w:t>
            </w:r>
            <w:r>
              <w:rPr>
                <w:bCs/>
                <w:color w:val="auto"/>
                <w:sz w:val="24"/>
                <w:highlight w:val="none"/>
              </w:rPr>
              <w:t>t/a。</w:t>
            </w:r>
          </w:p>
          <w:p>
            <w:pPr>
              <w:widowControl w:val="0"/>
              <w:spacing w:after="0" w:line="360" w:lineRule="auto"/>
              <w:ind w:right="170" w:firstLine="470" w:firstLineChars="196"/>
              <w:jc w:val="both"/>
              <w:rPr>
                <w:color w:val="auto"/>
                <w:highlight w:val="none"/>
              </w:rPr>
            </w:pPr>
            <w:r>
              <w:rPr>
                <w:rFonts w:hint="eastAsia"/>
                <w:bCs/>
                <w:color w:val="auto"/>
                <w:sz w:val="24"/>
                <w:highlight w:val="none"/>
                <w:lang w:eastAsia="zh-CN"/>
              </w:rPr>
              <w:t>喷淋用水</w:t>
            </w:r>
            <w:r>
              <w:rPr>
                <w:rFonts w:hint="eastAsia" w:ascii="Times New Roman" w:hAnsi="Times New Roman"/>
                <w:bCs/>
                <w:color w:val="auto"/>
                <w:sz w:val="24"/>
                <w:highlight w:val="none"/>
              </w:rPr>
              <w:t>：</w:t>
            </w:r>
            <w:r>
              <w:rPr>
                <w:rFonts w:hint="eastAsia" w:hAnsi="宋体"/>
                <w:color w:val="auto"/>
                <w:sz w:val="24"/>
                <w:highlight w:val="none"/>
              </w:rPr>
              <w:t>项目采用</w:t>
            </w:r>
            <w:r>
              <w:rPr>
                <w:rFonts w:hint="eastAsia" w:hAnsi="宋体"/>
                <w:color w:val="auto"/>
                <w:sz w:val="24"/>
                <w:highlight w:val="none"/>
                <w:lang w:val="en-US" w:eastAsia="zh-CN"/>
              </w:rPr>
              <w:t>水喷淋塔+等离子油烟净化器</w:t>
            </w:r>
            <w:r>
              <w:rPr>
                <w:rFonts w:hint="eastAsia" w:hAnsi="宋体"/>
                <w:color w:val="auto"/>
                <w:sz w:val="24"/>
                <w:highlight w:val="none"/>
              </w:rPr>
              <w:t>对</w:t>
            </w:r>
            <w:r>
              <w:rPr>
                <w:rFonts w:hint="eastAsia" w:hAnsi="宋体"/>
                <w:color w:val="auto"/>
                <w:sz w:val="24"/>
                <w:highlight w:val="none"/>
                <w:lang w:eastAsia="zh-CN"/>
              </w:rPr>
              <w:t>锻压</w:t>
            </w:r>
            <w:r>
              <w:rPr>
                <w:rFonts w:hint="eastAsia" w:hAnsi="宋体"/>
                <w:color w:val="auto"/>
                <w:sz w:val="24"/>
                <w:highlight w:val="none"/>
              </w:rPr>
              <w:t>工序产生的</w:t>
            </w:r>
            <w:r>
              <w:rPr>
                <w:rFonts w:hint="eastAsia" w:hAnsi="宋体"/>
                <w:color w:val="auto"/>
                <w:sz w:val="24"/>
                <w:highlight w:val="none"/>
                <w:lang w:eastAsia="zh-CN"/>
              </w:rPr>
              <w:t>废气</w:t>
            </w:r>
            <w:r>
              <w:rPr>
                <w:rFonts w:hint="eastAsia" w:hAnsi="宋体"/>
                <w:color w:val="auto"/>
                <w:sz w:val="24"/>
                <w:highlight w:val="none"/>
              </w:rPr>
              <w:t>进行处理，</w:t>
            </w:r>
            <w:r>
              <w:rPr>
                <w:rFonts w:hint="default" w:ascii="Times New Roman" w:hAnsi="Times New Roman" w:eastAsia="宋体" w:cs="Times New Roman"/>
                <w:color w:val="auto"/>
                <w:kern w:val="2"/>
                <w:sz w:val="24"/>
                <w:szCs w:val="24"/>
                <w:highlight w:val="none"/>
              </w:rPr>
              <w:t>喷淋废水经喷淋塔配套循环水池循环后使用，</w:t>
            </w:r>
            <w:r>
              <w:rPr>
                <w:rFonts w:hint="eastAsia" w:cs="Times New Roman"/>
                <w:color w:val="auto"/>
                <w:kern w:val="2"/>
                <w:sz w:val="24"/>
                <w:szCs w:val="24"/>
                <w:highlight w:val="none"/>
                <w:lang w:eastAsia="zh-CN"/>
              </w:rPr>
              <w:t>经计算，</w:t>
            </w:r>
            <w:r>
              <w:rPr>
                <w:rFonts w:hint="eastAsia" w:cs="Times New Roman"/>
                <w:color w:val="auto"/>
                <w:sz w:val="24"/>
                <w:highlight w:val="none"/>
                <w:lang w:eastAsia="zh-CN"/>
              </w:rPr>
              <w:t>喷淋用水量为</w:t>
            </w:r>
            <w:r>
              <w:rPr>
                <w:rFonts w:hint="eastAsia" w:cs="Times New Roman"/>
                <w:color w:val="auto"/>
                <w:sz w:val="24"/>
                <w:highlight w:val="none"/>
                <w:lang w:val="en-US" w:eastAsia="zh-CN"/>
              </w:rPr>
              <w:t>7</w:t>
            </w:r>
            <w:r>
              <w:rPr>
                <w:rFonts w:hint="eastAsia" w:ascii="Times New Roman" w:hAnsi="Times New Roman" w:cs="Times New Roman"/>
                <w:color w:val="auto"/>
                <w:sz w:val="24"/>
                <w:szCs w:val="22"/>
                <w:highlight w:val="none"/>
                <w:lang w:val="en-US" w:eastAsia="zh-CN"/>
              </w:rPr>
              <w:t>6</w:t>
            </w:r>
            <w:r>
              <w:rPr>
                <w:rFonts w:hint="default" w:ascii="Times New Roman" w:hAnsi="Times New Roman" w:cs="Times New Roman"/>
                <w:color w:val="auto"/>
                <w:sz w:val="24"/>
                <w:szCs w:val="22"/>
                <w:highlight w:val="none"/>
              </w:rPr>
              <w:t>t/a。</w:t>
            </w:r>
          </w:p>
          <w:p>
            <w:pPr>
              <w:spacing w:line="360" w:lineRule="auto"/>
              <w:ind w:firstLine="480" w:firstLineChars="200"/>
              <w:rPr>
                <w:color w:val="auto"/>
                <w:sz w:val="24"/>
                <w:szCs w:val="24"/>
                <w:highlight w:val="none"/>
              </w:rPr>
            </w:pPr>
            <w:r>
              <w:rPr>
                <w:color w:val="auto"/>
                <w:sz w:val="24"/>
                <w:szCs w:val="24"/>
                <w:highlight w:val="none"/>
              </w:rPr>
              <w:t>⑵排水：</w:t>
            </w:r>
          </w:p>
          <w:p>
            <w:pPr>
              <w:pStyle w:val="24"/>
              <w:spacing w:line="360" w:lineRule="auto"/>
              <w:ind w:firstLine="480"/>
              <w:rPr>
                <w:rFonts w:hint="eastAsia" w:ascii="Times New Roman" w:hAnsi="Times New Roman"/>
                <w:color w:val="auto"/>
                <w:sz w:val="24"/>
                <w:szCs w:val="24"/>
                <w:highlight w:val="none"/>
              </w:rPr>
            </w:pPr>
            <w:r>
              <w:rPr>
                <w:color w:val="auto"/>
                <w:sz w:val="24"/>
                <w:szCs w:val="24"/>
                <w:highlight w:val="none"/>
              </w:rPr>
              <w:t>生活</w:t>
            </w:r>
            <w:r>
              <w:rPr>
                <w:rFonts w:hint="eastAsia"/>
                <w:color w:val="auto"/>
                <w:sz w:val="24"/>
                <w:szCs w:val="24"/>
                <w:highlight w:val="none"/>
                <w:lang w:eastAsia="zh-CN"/>
              </w:rPr>
              <w:t>污水</w:t>
            </w:r>
            <w:r>
              <w:rPr>
                <w:color w:val="auto"/>
                <w:sz w:val="24"/>
                <w:szCs w:val="24"/>
                <w:highlight w:val="none"/>
              </w:rPr>
              <w:t>：</w:t>
            </w:r>
            <w:r>
              <w:rPr>
                <w:rFonts w:hint="eastAsia" w:ascii="Times New Roman" w:hAnsi="Times New Roman"/>
                <w:color w:val="auto"/>
                <w:sz w:val="24"/>
                <w:szCs w:val="24"/>
                <w:highlight w:val="none"/>
              </w:rPr>
              <w:t>本项目的污水排放主要是员工的生活污水，生活污水按用水量的90%计，生活污水排放量约</w:t>
            </w:r>
            <w:r>
              <w:rPr>
                <w:rFonts w:hint="eastAsia" w:ascii="Times New Roman" w:hAnsi="Times New Roman"/>
                <w:color w:val="auto"/>
                <w:sz w:val="24"/>
                <w:szCs w:val="24"/>
                <w:highlight w:val="none"/>
                <w:lang w:val="en-US" w:eastAsia="zh-CN"/>
              </w:rPr>
              <w:t>0.18</w:t>
            </w:r>
            <w:r>
              <w:rPr>
                <w:rFonts w:hint="eastAsia" w:ascii="Times New Roman" w:hAnsi="Times New Roman"/>
                <w:color w:val="auto"/>
                <w:sz w:val="24"/>
                <w:szCs w:val="24"/>
                <w:highlight w:val="none"/>
              </w:rPr>
              <w:t>t/d（</w:t>
            </w:r>
            <w:r>
              <w:rPr>
                <w:rFonts w:hint="eastAsia" w:ascii="Times New Roman" w:hAnsi="Times New Roman"/>
                <w:color w:val="auto"/>
                <w:sz w:val="24"/>
                <w:szCs w:val="24"/>
                <w:highlight w:val="none"/>
                <w:lang w:val="en-US" w:eastAsia="zh-CN"/>
              </w:rPr>
              <w:t>54</w:t>
            </w:r>
            <w:r>
              <w:rPr>
                <w:rFonts w:hint="eastAsia" w:ascii="Times New Roman" w:hAnsi="Times New Roman"/>
                <w:color w:val="auto"/>
                <w:sz w:val="24"/>
                <w:szCs w:val="24"/>
                <w:highlight w:val="none"/>
              </w:rPr>
              <w:t>t/a），经预处理后的生活污水排入</w:t>
            </w:r>
            <w:r>
              <w:rPr>
                <w:rFonts w:hint="eastAsia" w:ascii="Times New Roman" w:hAnsi="Times New Roman"/>
                <w:color w:val="auto"/>
                <w:sz w:val="24"/>
                <w:szCs w:val="24"/>
                <w:highlight w:val="none"/>
                <w:lang w:eastAsia="zh-CN"/>
              </w:rPr>
              <w:t>开平市</w:t>
            </w:r>
            <w:r>
              <w:rPr>
                <w:rFonts w:hint="eastAsia" w:ascii="Times New Roman" w:hAnsi="Times New Roman"/>
                <w:color w:val="auto"/>
                <w:sz w:val="24"/>
                <w:szCs w:val="24"/>
                <w:highlight w:val="none"/>
              </w:rPr>
              <w:t>水口污水处理厂集中处理。</w:t>
            </w:r>
          </w:p>
          <w:p>
            <w:pPr>
              <w:widowControl w:val="0"/>
              <w:spacing w:after="0" w:line="360" w:lineRule="auto"/>
              <w:ind w:right="170" w:firstLine="470" w:firstLineChars="196"/>
              <w:jc w:val="both"/>
              <w:rPr>
                <w:rFonts w:hint="default" w:ascii="Times New Roman" w:hAnsi="Times New Roman" w:cs="Times New Roman"/>
                <w:color w:val="auto"/>
                <w:sz w:val="24"/>
                <w:szCs w:val="24"/>
                <w:highlight w:val="none"/>
              </w:rPr>
            </w:pPr>
            <w:r>
              <w:rPr>
                <w:rFonts w:hint="eastAsia" w:hAnsi="宋体"/>
                <w:b w:val="0"/>
                <w:bCs/>
                <w:color w:val="auto"/>
                <w:sz w:val="24"/>
                <w:highlight w:val="none"/>
                <w:lang w:eastAsia="zh-CN"/>
              </w:rPr>
              <w:t>喷淋废水</w:t>
            </w:r>
            <w:r>
              <w:rPr>
                <w:rFonts w:hint="eastAsia" w:hAnsi="宋体"/>
                <w:b w:val="0"/>
                <w:bCs/>
                <w:color w:val="auto"/>
                <w:sz w:val="24"/>
                <w:highlight w:val="none"/>
              </w:rPr>
              <w:t>：</w:t>
            </w:r>
            <w:r>
              <w:rPr>
                <w:rFonts w:hint="eastAsia" w:hAnsi="宋体"/>
                <w:color w:val="auto"/>
                <w:sz w:val="24"/>
                <w:highlight w:val="none"/>
              </w:rPr>
              <w:t>项目采用</w:t>
            </w:r>
            <w:r>
              <w:rPr>
                <w:rFonts w:hint="eastAsia" w:hAnsi="宋体"/>
                <w:color w:val="auto"/>
                <w:sz w:val="24"/>
                <w:highlight w:val="none"/>
                <w:lang w:val="en-US" w:eastAsia="zh-CN"/>
              </w:rPr>
              <w:t>水喷淋塔+等离子油烟净化器</w:t>
            </w:r>
            <w:r>
              <w:rPr>
                <w:rFonts w:hint="eastAsia" w:hAnsi="宋体"/>
                <w:color w:val="auto"/>
                <w:sz w:val="24"/>
                <w:highlight w:val="none"/>
              </w:rPr>
              <w:t>对</w:t>
            </w:r>
            <w:r>
              <w:rPr>
                <w:rFonts w:hint="eastAsia" w:hAnsi="宋体"/>
                <w:color w:val="auto"/>
                <w:sz w:val="24"/>
                <w:highlight w:val="none"/>
                <w:lang w:eastAsia="zh-CN"/>
              </w:rPr>
              <w:t>锻压</w:t>
            </w:r>
            <w:r>
              <w:rPr>
                <w:rFonts w:hint="eastAsia" w:hAnsi="宋体"/>
                <w:color w:val="auto"/>
                <w:sz w:val="24"/>
                <w:highlight w:val="none"/>
              </w:rPr>
              <w:t>工序产生的</w:t>
            </w:r>
            <w:r>
              <w:rPr>
                <w:rFonts w:hint="eastAsia" w:hAnsi="宋体"/>
                <w:color w:val="auto"/>
                <w:sz w:val="24"/>
                <w:highlight w:val="none"/>
                <w:lang w:eastAsia="zh-CN"/>
              </w:rPr>
              <w:t>废气</w:t>
            </w:r>
            <w:r>
              <w:rPr>
                <w:rFonts w:hint="eastAsia" w:hAnsi="宋体"/>
                <w:color w:val="auto"/>
                <w:sz w:val="24"/>
                <w:highlight w:val="none"/>
              </w:rPr>
              <w:t>进行处理，</w:t>
            </w:r>
            <w:r>
              <w:rPr>
                <w:rFonts w:hint="default" w:ascii="Times New Roman" w:hAnsi="Times New Roman" w:eastAsia="宋体" w:cs="Times New Roman"/>
                <w:color w:val="auto"/>
                <w:kern w:val="2"/>
                <w:sz w:val="24"/>
                <w:szCs w:val="24"/>
                <w:highlight w:val="none"/>
              </w:rPr>
              <w:t>喷淋废水经喷淋塔配套循环水池循环后使用，</w:t>
            </w:r>
            <w:r>
              <w:rPr>
                <w:rFonts w:hint="eastAsia" w:ascii="Times New Roman" w:hAnsi="Times New Roman" w:cs="Times New Roman"/>
                <w:color w:val="auto"/>
                <w:sz w:val="24"/>
                <w:highlight w:val="none"/>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ascii="Times New Roman" w:hAnsi="Times New Roman" w:cs="Times New Roman"/>
                <w:color w:val="auto"/>
                <w:sz w:val="24"/>
                <w:szCs w:val="22"/>
                <w:highlight w:val="none"/>
                <w:lang w:val="en-US" w:eastAsia="zh-CN"/>
              </w:rPr>
              <w:t>4</w:t>
            </w:r>
            <w:r>
              <w:rPr>
                <w:rFonts w:hint="default" w:ascii="Times New Roman" w:hAnsi="Times New Roman" w:cs="Times New Roman"/>
                <w:color w:val="auto"/>
                <w:sz w:val="24"/>
                <w:szCs w:val="22"/>
                <w:highlight w:val="none"/>
              </w:rPr>
              <w:t>吨/次，则更换废水产生量为</w:t>
            </w:r>
            <w:r>
              <w:rPr>
                <w:rFonts w:hint="eastAsia" w:ascii="Times New Roman" w:hAnsi="Times New Roman" w:cs="Times New Roman"/>
                <w:color w:val="auto"/>
                <w:sz w:val="24"/>
                <w:szCs w:val="22"/>
                <w:highlight w:val="none"/>
                <w:lang w:val="en-US" w:eastAsia="zh-CN"/>
              </w:rPr>
              <w:t>16</w:t>
            </w:r>
            <w:r>
              <w:rPr>
                <w:rFonts w:hint="default" w:ascii="Times New Roman" w:hAnsi="Times New Roman" w:cs="Times New Roman"/>
                <w:color w:val="auto"/>
                <w:sz w:val="24"/>
                <w:szCs w:val="22"/>
                <w:highlight w:val="none"/>
              </w:rPr>
              <w:t>t/a。该废水经收集后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b w:val="0"/>
                <w:bCs/>
                <w:color w:val="auto"/>
                <w:sz w:val="24"/>
                <w:highlight w:val="none"/>
                <w:shd w:val="clear" w:color="auto" w:fill="auto"/>
                <w:lang w:val="en-US" w:eastAsia="zh-CN"/>
              </w:rPr>
            </w:pPr>
            <w:r>
              <w:rPr>
                <w:rFonts w:hint="default" w:ascii="Times New Roman" w:hAnsi="Times New Roman" w:cs="Times New Roman"/>
                <w:color w:val="auto"/>
                <w:kern w:val="0"/>
                <w:sz w:val="24"/>
                <w:highlight w:val="none"/>
                <w:lang w:val="en-US" w:eastAsia="zh-CN"/>
              </w:rPr>
              <w:t>项目</w:t>
            </w:r>
            <w:r>
              <w:rPr>
                <w:rFonts w:hint="default" w:ascii="Times New Roman" w:hAnsi="Times New Roman" w:cs="Times New Roman"/>
                <w:b w:val="0"/>
                <w:bCs/>
                <w:color w:val="auto"/>
                <w:sz w:val="24"/>
                <w:highlight w:val="none"/>
                <w:shd w:val="clear" w:color="auto" w:fill="auto"/>
                <w:lang w:val="en-US" w:eastAsia="zh-CN"/>
              </w:rPr>
              <w:t>水平衡图如下图所示：</w:t>
            </w:r>
          </w:p>
          <w:p>
            <w:pPr>
              <w:spacing w:line="360" w:lineRule="auto"/>
              <w:rPr>
                <w:rFonts w:hint="default" w:ascii="Times New Roman" w:hAnsi="Times New Roman" w:cs="Times New Roman"/>
                <w:color w:val="auto"/>
                <w:sz w:val="24"/>
                <w:szCs w:val="24"/>
                <w:highlight w:val="none"/>
              </w:rPr>
            </w:pPr>
            <w:bookmarkStart w:id="121" w:name="_GoBack"/>
            <w:r>
              <w:rPr>
                <w:rFonts w:hint="default" w:ascii="Times New Roman" w:hAnsi="Times New Roman" w:cs="Times New Roman"/>
                <w:color w:val="auto"/>
                <w:sz w:val="24"/>
                <w:highlight w:val="none"/>
              </w:rPr>
              <mc:AlternateContent>
                <mc:Choice Requires="wpc">
                  <w:drawing>
                    <wp:inline distT="0" distB="0" distL="114300" distR="114300">
                      <wp:extent cx="5762625" cy="1695450"/>
                      <wp:effectExtent l="0" t="0" r="0" b="0"/>
                      <wp:docPr id="151" name="画布 151"/>
                      <wp:cNvGraphicFramePr/>
                      <a:graphic xmlns:a="http://schemas.openxmlformats.org/drawingml/2006/main">
                        <a:graphicData uri="http://schemas.microsoft.com/office/word/2010/wordprocessingCanvas">
                          <wpc:wpc>
                            <wpc:bg>
                              <a:noFill/>
                            </wpc:bg>
                            <wpc:whole>
                              <a:ln>
                                <a:noFill/>
                              </a:ln>
                            </wpc:whole>
                            <wps:wsp>
                              <wps:cNvPr id="117" name="文本框 117"/>
                              <wps:cNvSpPr txBox="1"/>
                              <wps:spPr>
                                <a:xfrm>
                                  <a:off x="66675" y="684530"/>
                                  <a:ext cx="815340" cy="317500"/>
                                </a:xfrm>
                                <a:prstGeom prst="rect">
                                  <a:avLst/>
                                </a:prstGeom>
                                <a:noFill/>
                                <a:ln>
                                  <a:noFill/>
                                </a:ln>
                              </wps:spPr>
                              <wps:txbx>
                                <w:txbxContent>
                                  <w:p>
                                    <w:pPr>
                                      <w:rPr>
                                        <w:rFonts w:hint="eastAsia" w:ascii="Times New Roman" w:hAnsi="Times New Roman" w:eastAsia="等线"/>
                                        <w:color w:val="auto"/>
                                        <w:lang w:val="en-US" w:eastAsia="zh-CN"/>
                                      </w:rPr>
                                    </w:pPr>
                                    <w:r>
                                      <w:rPr>
                                        <w:rFonts w:hint="eastAsia" w:ascii="Times New Roman" w:hAnsi="Times New Roman"/>
                                        <w:color w:val="auto"/>
                                        <w:lang w:val="en-US" w:eastAsia="zh-CN"/>
                                      </w:rPr>
                                      <w:t>市政供水</w:t>
                                    </w:r>
                                  </w:p>
                                </w:txbxContent>
                              </wps:txbx>
                              <wps:bodyPr upright="1"/>
                            </wps:wsp>
                            <wps:wsp>
                              <wps:cNvPr id="118" name="文本框 118"/>
                              <wps:cNvSpPr txBox="1"/>
                              <wps:spPr>
                                <a:xfrm>
                                  <a:off x="1437005" y="313055"/>
                                  <a:ext cx="821690" cy="27940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宋体" w:hAnsi="宋体" w:eastAsia="宋体"/>
                                        <w:color w:val="auto"/>
                                      </w:rPr>
                                    </w:pPr>
                                    <w:r>
                                      <w:rPr>
                                        <w:rFonts w:hint="eastAsia" w:ascii="宋体" w:hAnsi="宋体" w:eastAsia="宋体"/>
                                        <w:color w:val="auto"/>
                                      </w:rPr>
                                      <w:t>生活用水</w:t>
                                    </w:r>
                                  </w:p>
                                </w:txbxContent>
                              </wps:txbx>
                              <wps:bodyPr upright="1"/>
                            </wps:wsp>
                            <wps:wsp>
                              <wps:cNvPr id="119" name="直接箭头连接符 119"/>
                              <wps:cNvCnPr/>
                              <wps:spPr>
                                <a:xfrm>
                                  <a:off x="2267585" y="463550"/>
                                  <a:ext cx="394970" cy="2540"/>
                                </a:xfrm>
                                <a:prstGeom prst="straightConnector1">
                                  <a:avLst/>
                                </a:prstGeom>
                                <a:ln w="9525" cap="flat" cmpd="sng">
                                  <a:solidFill>
                                    <a:srgbClr val="000000"/>
                                  </a:solidFill>
                                  <a:prstDash val="solid"/>
                                  <a:headEnd type="none" w="med" len="med"/>
                                  <a:tailEnd type="triangle" w="med" len="med"/>
                                </a:ln>
                              </wps:spPr>
                              <wps:bodyPr/>
                            </wps:wsp>
                            <wps:wsp>
                              <wps:cNvPr id="120" name="文本框 120"/>
                              <wps:cNvSpPr txBox="1"/>
                              <wps:spPr>
                                <a:xfrm>
                                  <a:off x="2675255" y="304165"/>
                                  <a:ext cx="892175" cy="29273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宋体" w:hAnsi="宋体" w:eastAsia="宋体"/>
                                        <w:color w:val="auto"/>
                                      </w:rPr>
                                    </w:pPr>
                                    <w:r>
                                      <w:rPr>
                                        <w:rFonts w:hint="eastAsia" w:ascii="宋体" w:hAnsi="宋体" w:eastAsia="宋体"/>
                                        <w:color w:val="auto"/>
                                      </w:rPr>
                                      <w:t>三级化粪池</w:t>
                                    </w:r>
                                  </w:p>
                                </w:txbxContent>
                              </wps:txbx>
                              <wps:bodyPr upright="1"/>
                            </wps:wsp>
                            <wps:wsp>
                              <wps:cNvPr id="121" name="直接箭头连接符 121"/>
                              <wps:cNvCnPr/>
                              <wps:spPr>
                                <a:xfrm flipV="1">
                                  <a:off x="3561080" y="457835"/>
                                  <a:ext cx="427990" cy="7620"/>
                                </a:xfrm>
                                <a:prstGeom prst="straightConnector1">
                                  <a:avLst/>
                                </a:prstGeom>
                                <a:ln w="9525" cap="flat" cmpd="sng">
                                  <a:solidFill>
                                    <a:srgbClr val="000000"/>
                                  </a:solidFill>
                                  <a:prstDash val="solid"/>
                                  <a:headEnd type="none" w="med" len="med"/>
                                  <a:tailEnd type="triangle" w="med" len="med"/>
                                </a:ln>
                              </wps:spPr>
                              <wps:bodyPr/>
                            </wps:wsp>
                            <wps:wsp>
                              <wps:cNvPr id="122" name="文本框 122"/>
                              <wps:cNvSpPr txBox="1"/>
                              <wps:spPr>
                                <a:xfrm>
                                  <a:off x="3989070" y="312420"/>
                                  <a:ext cx="1591310" cy="29083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lang w:eastAsia="zh-CN"/>
                                      </w:rPr>
                                    </w:pPr>
                                    <w:r>
                                      <w:rPr>
                                        <w:rFonts w:hint="eastAsia" w:ascii="Times New Roman" w:hAnsi="Times New Roman" w:cs="Times New Roman"/>
                                        <w:color w:val="auto"/>
                                        <w:sz w:val="21"/>
                                        <w:szCs w:val="21"/>
                                        <w:highlight w:val="none"/>
                                        <w:lang w:eastAsia="zh-CN"/>
                                      </w:rPr>
                                      <w:t>开平市水口</w:t>
                                    </w:r>
                                    <w:r>
                                      <w:rPr>
                                        <w:rFonts w:hint="default" w:ascii="Times New Roman" w:hAnsi="Times New Roman" w:eastAsia="宋体" w:cs="Times New Roman"/>
                                        <w:color w:val="auto"/>
                                        <w:sz w:val="21"/>
                                        <w:szCs w:val="21"/>
                                        <w:highlight w:val="none"/>
                                        <w:lang w:eastAsia="zh-CN"/>
                                      </w:rPr>
                                      <w:t>污水处理厂</w:t>
                                    </w:r>
                                  </w:p>
                                </w:txbxContent>
                              </wps:txbx>
                              <wps:bodyPr upright="1"/>
                            </wps:wsp>
                            <wpg:wgp>
                              <wpg:cNvPr id="126" name="组合 126"/>
                              <wpg:cNvGrpSpPr/>
                              <wpg:grpSpPr>
                                <a:xfrm>
                                  <a:off x="1751330" y="151130"/>
                                  <a:ext cx="177800" cy="152400"/>
                                  <a:chOff x="2851" y="3304"/>
                                  <a:chExt cx="630" cy="624"/>
                                </a:xfrm>
                              </wpg:grpSpPr>
                              <wps:wsp>
                                <wps:cNvPr id="123" name="直接连接符 123"/>
                                <wps:cNvCnPr/>
                                <wps:spPr>
                                  <a:xfrm flipV="1">
                                    <a:off x="2851" y="3616"/>
                                    <a:ext cx="210" cy="312"/>
                                  </a:xfrm>
                                  <a:prstGeom prst="line">
                                    <a:avLst/>
                                  </a:prstGeom>
                                  <a:ln w="9525" cap="flat" cmpd="sng">
                                    <a:solidFill>
                                      <a:srgbClr val="000000"/>
                                    </a:solidFill>
                                    <a:prstDash val="solid"/>
                                    <a:headEnd type="none" w="med" len="med"/>
                                    <a:tailEnd type="none" w="sm" len="med"/>
                                  </a:ln>
                                </wps:spPr>
                                <wps:bodyPr upright="1"/>
                              </wps:wsp>
                              <wps:wsp>
                                <wps:cNvPr id="124" name="直接连接符 124"/>
                                <wps:cNvCnPr/>
                                <wps:spPr>
                                  <a:xfrm>
                                    <a:off x="3061" y="3616"/>
                                    <a:ext cx="105" cy="156"/>
                                  </a:xfrm>
                                  <a:prstGeom prst="line">
                                    <a:avLst/>
                                  </a:prstGeom>
                                  <a:ln w="9525" cap="flat" cmpd="sng">
                                    <a:solidFill>
                                      <a:srgbClr val="000000"/>
                                    </a:solidFill>
                                    <a:prstDash val="solid"/>
                                    <a:headEnd type="none" w="med" len="med"/>
                                    <a:tailEnd type="none" w="sm" len="med"/>
                                  </a:ln>
                                </wps:spPr>
                                <wps:bodyPr upright="1"/>
                              </wps:wsp>
                              <wps:wsp>
                                <wps:cNvPr id="125" name="直接连接符 125"/>
                                <wps:cNvCnPr/>
                                <wps:spPr>
                                  <a:xfrm flipV="1">
                                    <a:off x="3166" y="3304"/>
                                    <a:ext cx="315" cy="468"/>
                                  </a:xfrm>
                                  <a:prstGeom prst="line">
                                    <a:avLst/>
                                  </a:prstGeom>
                                  <a:ln w="9525" cap="flat" cmpd="sng">
                                    <a:solidFill>
                                      <a:srgbClr val="000000"/>
                                    </a:solidFill>
                                    <a:prstDash val="solid"/>
                                    <a:headEnd type="none" w="med" len="med"/>
                                    <a:tailEnd type="triangle" w="sm" len="med"/>
                                  </a:ln>
                                </wps:spPr>
                                <wps:bodyPr upright="1"/>
                              </wps:wsp>
                            </wpg:wgp>
                            <wps:wsp>
                              <wps:cNvPr id="127" name="文本框 127"/>
                              <wps:cNvSpPr txBox="1"/>
                              <wps:spPr>
                                <a:xfrm>
                                  <a:off x="1856105" y="17780"/>
                                  <a:ext cx="596900" cy="317501"/>
                                </a:xfrm>
                                <a:prstGeom prst="rect">
                                  <a:avLst/>
                                </a:prstGeom>
                                <a:noFill/>
                                <a:ln>
                                  <a:noFill/>
                                </a:ln>
                              </wps:spPr>
                              <wps:txbx>
                                <w:txbxContent>
                                  <w:p>
                                    <w:pPr>
                                      <w:rPr>
                                        <w:rFonts w:hint="default" w:ascii="Times New Roman" w:hAnsi="Times New Roman" w:eastAsia="等线"/>
                                        <w:color w:val="auto"/>
                                        <w:lang w:val="en-US" w:eastAsia="zh-CN"/>
                                      </w:rPr>
                                    </w:pPr>
                                    <w:r>
                                      <w:rPr>
                                        <w:rFonts w:hint="eastAsia"/>
                                        <w:color w:val="auto"/>
                                        <w:lang w:val="en-US" w:eastAsia="zh-CN"/>
                                      </w:rPr>
                                      <w:t>6</w:t>
                                    </w:r>
                                  </w:p>
                                </w:txbxContent>
                              </wps:txbx>
                              <wps:bodyPr upright="1"/>
                            </wps:wsp>
                            <wps:wsp>
                              <wps:cNvPr id="128" name="文本框 128"/>
                              <wps:cNvSpPr txBox="1"/>
                              <wps:spPr>
                                <a:xfrm>
                                  <a:off x="2237105" y="189230"/>
                                  <a:ext cx="548640" cy="317500"/>
                                </a:xfrm>
                                <a:prstGeom prst="rect">
                                  <a:avLst/>
                                </a:prstGeom>
                                <a:noFill/>
                                <a:ln>
                                  <a:noFill/>
                                </a:ln>
                              </wps:spPr>
                              <wps:txbx>
                                <w:txbxContent>
                                  <w:p>
                                    <w:pPr>
                                      <w:rPr>
                                        <w:rFonts w:hint="default" w:ascii="Times New Roman" w:hAnsi="Times New Roman" w:eastAsia="等线"/>
                                        <w:color w:val="auto"/>
                                        <w:lang w:val="en-US" w:eastAsia="zh-CN"/>
                                      </w:rPr>
                                    </w:pPr>
                                    <w:r>
                                      <w:rPr>
                                        <w:rFonts w:hint="eastAsia" w:eastAsia="等线"/>
                                        <w:color w:val="auto"/>
                                        <w:lang w:val="en-US" w:eastAsia="zh-CN"/>
                                      </w:rPr>
                                      <w:t>54</w:t>
                                    </w:r>
                                  </w:p>
                                </w:txbxContent>
                              </wps:txbx>
                              <wps:bodyPr upright="1"/>
                            </wps:wsp>
                            <wps:wsp>
                              <wps:cNvPr id="129" name="文本框 129"/>
                              <wps:cNvSpPr txBox="1"/>
                              <wps:spPr>
                                <a:xfrm>
                                  <a:off x="3551555" y="200025"/>
                                  <a:ext cx="596900" cy="317500"/>
                                </a:xfrm>
                                <a:prstGeom prst="rect">
                                  <a:avLst/>
                                </a:prstGeom>
                                <a:noFill/>
                                <a:ln>
                                  <a:noFill/>
                                </a:ln>
                              </wps:spPr>
                              <wps:txbx>
                                <w:txbxContent>
                                  <w:p>
                                    <w:pPr>
                                      <w:rPr>
                                        <w:rFonts w:hint="default" w:ascii="Times New Roman" w:hAnsi="Times New Roman" w:eastAsia="等线"/>
                                        <w:color w:val="auto"/>
                                        <w:lang w:val="en-US" w:eastAsia="zh-CN"/>
                                      </w:rPr>
                                    </w:pPr>
                                    <w:r>
                                      <w:rPr>
                                        <w:rFonts w:hint="eastAsia" w:eastAsia="等线"/>
                                        <w:color w:val="auto"/>
                                        <w:lang w:val="en-US" w:eastAsia="zh-CN"/>
                                      </w:rPr>
                                      <w:t>54</w:t>
                                    </w:r>
                                  </w:p>
                                </w:txbxContent>
                              </wps:txbx>
                              <wps:bodyPr upright="1"/>
                            </wps:wsp>
                            <wps:wsp>
                              <wps:cNvPr id="130" name="文本框 130"/>
                              <wps:cNvSpPr txBox="1"/>
                              <wps:spPr>
                                <a:xfrm>
                                  <a:off x="1056006" y="198755"/>
                                  <a:ext cx="596900" cy="317501"/>
                                </a:xfrm>
                                <a:prstGeom prst="rect">
                                  <a:avLst/>
                                </a:prstGeom>
                                <a:noFill/>
                                <a:ln>
                                  <a:noFill/>
                                </a:ln>
                              </wps:spPr>
                              <wps:txbx>
                                <w:txbxContent>
                                  <w:p>
                                    <w:pPr>
                                      <w:rPr>
                                        <w:rFonts w:hint="default" w:ascii="Times New Roman" w:hAnsi="Times New Roman" w:eastAsia="等线"/>
                                        <w:lang w:val="en-US" w:eastAsia="zh-CN"/>
                                      </w:rPr>
                                    </w:pPr>
                                    <w:r>
                                      <w:rPr>
                                        <w:rFonts w:hint="eastAsia" w:eastAsia="等线"/>
                                        <w:lang w:val="en-US" w:eastAsia="zh-CN"/>
                                      </w:rPr>
                                      <w:t>60</w:t>
                                    </w:r>
                                  </w:p>
                                </w:txbxContent>
                              </wps:txbx>
                              <wps:bodyPr upright="1"/>
                            </wps:wsp>
                            <wps:wsp>
                              <wps:cNvPr id="131" name="文本框 131"/>
                              <wps:cNvSpPr txBox="1"/>
                              <wps:spPr>
                                <a:xfrm>
                                  <a:off x="1789430" y="1386840"/>
                                  <a:ext cx="1974215" cy="317500"/>
                                </a:xfrm>
                                <a:prstGeom prst="rect">
                                  <a:avLst/>
                                </a:prstGeom>
                                <a:noFill/>
                                <a:ln>
                                  <a:noFill/>
                                </a:ln>
                              </wps:spPr>
                              <wps:txbx>
                                <w:txbxContent>
                                  <w:p>
                                    <w:pPr>
                                      <w:rPr>
                                        <w:rFonts w:hint="default" w:ascii="Times New Roman" w:hAnsi="Times New Roman" w:eastAsia="等线"/>
                                        <w:color w:val="auto"/>
                                        <w:lang w:val="en-US" w:eastAsia="zh-CN"/>
                                      </w:rPr>
                                    </w:pPr>
                                    <w:r>
                                      <w:rPr>
                                        <w:rFonts w:hint="eastAsia" w:ascii="Times New Roman" w:hAnsi="Times New Roman"/>
                                        <w:b/>
                                        <w:bCs/>
                                        <w:color w:val="auto"/>
                                        <w:lang w:val="en-US" w:eastAsia="zh-CN"/>
                                      </w:rPr>
                                      <w:t>项目水平衡图（单位：t/a）</w:t>
                                    </w:r>
                                  </w:p>
                                </w:txbxContent>
                              </wps:txbx>
                              <wps:bodyPr upright="1"/>
                            </wps:wsp>
                            <wps:wsp>
                              <wps:cNvPr id="132" name="直接连接符 132"/>
                              <wps:cNvCnPr/>
                              <wps:spPr>
                                <a:xfrm flipV="1">
                                  <a:off x="741680" y="827405"/>
                                  <a:ext cx="381000" cy="0"/>
                                </a:xfrm>
                                <a:prstGeom prst="line">
                                  <a:avLst/>
                                </a:prstGeom>
                                <a:ln w="9525" cap="flat" cmpd="sng">
                                  <a:solidFill>
                                    <a:srgbClr val="000000"/>
                                  </a:solidFill>
                                  <a:prstDash val="solid"/>
                                  <a:headEnd type="none" w="med" len="med"/>
                                  <a:tailEnd type="none" w="med" len="med"/>
                                </a:ln>
                              </wps:spPr>
                              <wps:bodyPr upright="1"/>
                            </wps:wsp>
                            <wps:wsp>
                              <wps:cNvPr id="133" name="任意多边形 133"/>
                              <wps:cNvSpPr/>
                              <wps:spPr>
                                <a:xfrm>
                                  <a:off x="1122680" y="441325"/>
                                  <a:ext cx="323850" cy="744855"/>
                                </a:xfrm>
                                <a:custGeom>
                                  <a:avLst/>
                                  <a:gdLst/>
                                  <a:ahLst/>
                                  <a:cxnLst/>
                                  <a:pathLst>
                                    <a:path w="525" h="1380">
                                      <a:moveTo>
                                        <a:pt x="495" y="0"/>
                                      </a:moveTo>
                                      <a:lnTo>
                                        <a:pt x="0" y="0"/>
                                      </a:lnTo>
                                      <a:lnTo>
                                        <a:pt x="0" y="1380"/>
                                      </a:lnTo>
                                      <a:lnTo>
                                        <a:pt x="525" y="1380"/>
                                      </a:lnTo>
                                    </a:path>
                                  </a:pathLst>
                                </a:custGeom>
                                <a:noFill/>
                                <a:ln w="9525" cap="flat" cmpd="sng">
                                  <a:solidFill>
                                    <a:srgbClr val="000000"/>
                                  </a:solidFill>
                                  <a:prstDash val="solid"/>
                                  <a:headEnd type="triangle" w="med" len="med"/>
                                  <a:tailEnd type="triangle" w="med" len="med"/>
                                </a:ln>
                              </wps:spPr>
                              <wps:bodyPr upright="1"/>
                            </wps:wsp>
                            <wps:wsp>
                              <wps:cNvPr id="134" name="文本框 134"/>
                              <wps:cNvSpPr txBox="1"/>
                              <wps:spPr>
                                <a:xfrm>
                                  <a:off x="722630" y="598805"/>
                                  <a:ext cx="748665" cy="317500"/>
                                </a:xfrm>
                                <a:prstGeom prst="rect">
                                  <a:avLst/>
                                </a:prstGeom>
                                <a:noFill/>
                                <a:ln>
                                  <a:noFill/>
                                </a:ln>
                              </wps:spPr>
                              <wps:txbx>
                                <w:txbxContent>
                                  <w:p>
                                    <w:pPr>
                                      <w:rPr>
                                        <w:rFonts w:hint="default" w:ascii="Times New Roman" w:hAnsi="Times New Roman" w:eastAsia="等线"/>
                                        <w:lang w:val="en-US" w:eastAsia="zh-CN"/>
                                      </w:rPr>
                                    </w:pPr>
                                    <w:r>
                                      <w:rPr>
                                        <w:rFonts w:hint="eastAsia"/>
                                        <w:lang w:val="en-US" w:eastAsia="zh-CN"/>
                                      </w:rPr>
                                      <w:t>136</w:t>
                                    </w:r>
                                  </w:p>
                                </w:txbxContent>
                              </wps:txbx>
                              <wps:bodyPr upright="1"/>
                            </wps:wsp>
                            <wps:wsp>
                              <wps:cNvPr id="141" name="文本框 141"/>
                              <wps:cNvSpPr txBox="1"/>
                              <wps:spPr>
                                <a:xfrm>
                                  <a:off x="1437005" y="1036955"/>
                                  <a:ext cx="1143000" cy="2794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olor w:val="auto"/>
                                        <w:lang w:eastAsia="zh-CN"/>
                                      </w:rPr>
                                    </w:pPr>
                                    <w:r>
                                      <w:rPr>
                                        <w:rFonts w:hint="eastAsia" w:ascii="宋体" w:hAnsi="宋体"/>
                                        <w:color w:val="auto"/>
                                        <w:lang w:eastAsia="zh-CN"/>
                                      </w:rPr>
                                      <w:t>喷淋用水</w:t>
                                    </w:r>
                                  </w:p>
                                </w:txbxContent>
                              </wps:txbx>
                              <wps:bodyPr upright="1"/>
                            </wps:wsp>
                            <wps:wsp>
                              <wps:cNvPr id="142" name="直接连接符 142"/>
                              <wps:cNvCnPr/>
                              <wps:spPr>
                                <a:xfrm flipV="1">
                                  <a:off x="2586355" y="1170305"/>
                                  <a:ext cx="317500" cy="0"/>
                                </a:xfrm>
                                <a:prstGeom prst="line">
                                  <a:avLst/>
                                </a:prstGeom>
                                <a:ln w="9525" cap="flat" cmpd="sng">
                                  <a:solidFill>
                                    <a:srgbClr val="000000"/>
                                  </a:solidFill>
                                  <a:prstDash val="solid"/>
                                  <a:headEnd type="none" w="med" len="med"/>
                                  <a:tailEnd type="triangle" w="med" len="med"/>
                                </a:ln>
                              </wps:spPr>
                              <wps:bodyPr upright="1"/>
                            </wps:wsp>
                            <wps:wsp>
                              <wps:cNvPr id="143" name="文本框 143"/>
                              <wps:cNvSpPr txBox="1"/>
                              <wps:spPr>
                                <a:xfrm>
                                  <a:off x="2910205" y="1036955"/>
                                  <a:ext cx="2364740"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cs="Times New Roman"/>
                                        <w:color w:val="auto"/>
                                        <w:sz w:val="21"/>
                                        <w:szCs w:val="21"/>
                                        <w:highlight w:val="none"/>
                                        <w:lang w:eastAsia="zh-CN"/>
                                      </w:rPr>
                                      <w:t>交具有零星废水处理资质的单位处理</w:t>
                                    </w:r>
                                  </w:p>
                                  <w:p>
                                    <w:pPr>
                                      <w:rPr>
                                        <w:rFonts w:hint="eastAsia"/>
                                        <w:lang w:eastAsia="zh-CN"/>
                                      </w:rPr>
                                    </w:pPr>
                                  </w:p>
                                </w:txbxContent>
                              </wps:txbx>
                              <wps:bodyPr upright="1"/>
                            </wps:wsp>
                            <wps:wsp>
                              <wps:cNvPr id="144" name="文本框 144"/>
                              <wps:cNvSpPr txBox="1"/>
                              <wps:spPr>
                                <a:xfrm>
                                  <a:off x="1979930" y="684530"/>
                                  <a:ext cx="596900" cy="304800"/>
                                </a:xfrm>
                                <a:prstGeom prst="rect">
                                  <a:avLst/>
                                </a:prstGeom>
                                <a:noFill/>
                                <a:ln>
                                  <a:noFill/>
                                </a:ln>
                              </wps:spPr>
                              <wps:txbx>
                                <w:txbxContent>
                                  <w:p>
                                    <w:pPr>
                                      <w:rPr>
                                        <w:rFonts w:hint="default" w:ascii="Times New Roman" w:hAnsi="Times New Roman" w:eastAsia="等线"/>
                                        <w:color w:val="auto"/>
                                        <w:lang w:val="en-US" w:eastAsia="zh-CN"/>
                                      </w:rPr>
                                    </w:pPr>
                                    <w:r>
                                      <w:rPr>
                                        <w:rFonts w:hint="eastAsia"/>
                                        <w:color w:val="auto"/>
                                        <w:lang w:val="en-US" w:eastAsia="zh-CN"/>
                                      </w:rPr>
                                      <w:t>60</w:t>
                                    </w:r>
                                  </w:p>
                                </w:txbxContent>
                              </wps:txbx>
                              <wps:bodyPr upright="1"/>
                            </wps:wsp>
                            <wpg:wgp>
                              <wpg:cNvPr id="148" name="组合 148"/>
                              <wpg:cNvGrpSpPr/>
                              <wpg:grpSpPr>
                                <a:xfrm>
                                  <a:off x="1865630" y="875030"/>
                                  <a:ext cx="177800" cy="152400"/>
                                  <a:chOff x="2851" y="3304"/>
                                  <a:chExt cx="630" cy="624"/>
                                </a:xfrm>
                              </wpg:grpSpPr>
                              <wps:wsp>
                                <wps:cNvPr id="145" name="直接连接符 145"/>
                                <wps:cNvCnPr/>
                                <wps:spPr>
                                  <a:xfrm flipV="1">
                                    <a:off x="2851" y="3616"/>
                                    <a:ext cx="210" cy="312"/>
                                  </a:xfrm>
                                  <a:prstGeom prst="line">
                                    <a:avLst/>
                                  </a:prstGeom>
                                  <a:ln w="9525" cap="flat" cmpd="sng">
                                    <a:solidFill>
                                      <a:srgbClr val="000000"/>
                                    </a:solidFill>
                                    <a:prstDash val="solid"/>
                                    <a:headEnd type="none" w="med" len="med"/>
                                    <a:tailEnd type="none" w="sm" len="med"/>
                                  </a:ln>
                                </wps:spPr>
                                <wps:bodyPr upright="1"/>
                              </wps:wsp>
                              <wps:wsp>
                                <wps:cNvPr id="146" name="直接连接符 146"/>
                                <wps:cNvCnPr/>
                                <wps:spPr>
                                  <a:xfrm>
                                    <a:off x="3061" y="3616"/>
                                    <a:ext cx="105" cy="156"/>
                                  </a:xfrm>
                                  <a:prstGeom prst="line">
                                    <a:avLst/>
                                  </a:prstGeom>
                                  <a:ln w="9525" cap="flat" cmpd="sng">
                                    <a:solidFill>
                                      <a:srgbClr val="000000"/>
                                    </a:solidFill>
                                    <a:prstDash val="solid"/>
                                    <a:headEnd type="none" w="med" len="med"/>
                                    <a:tailEnd type="none" w="sm" len="med"/>
                                  </a:ln>
                                </wps:spPr>
                                <wps:bodyPr upright="1"/>
                              </wps:wsp>
                              <wps:wsp>
                                <wps:cNvPr id="147" name="直接连接符 147"/>
                                <wps:cNvCnPr/>
                                <wps:spPr>
                                  <a:xfrm flipV="1">
                                    <a:off x="3166" y="3304"/>
                                    <a:ext cx="315" cy="468"/>
                                  </a:xfrm>
                                  <a:prstGeom prst="line">
                                    <a:avLst/>
                                  </a:prstGeom>
                                  <a:ln w="9525" cap="flat" cmpd="sng">
                                    <a:solidFill>
                                      <a:srgbClr val="000000"/>
                                    </a:solidFill>
                                    <a:prstDash val="solid"/>
                                    <a:headEnd type="none" w="med" len="med"/>
                                    <a:tailEnd type="triangle" w="sm" len="med"/>
                                  </a:ln>
                                </wps:spPr>
                                <wps:bodyPr upright="1"/>
                              </wps:wsp>
                            </wpg:wgp>
                            <wps:wsp>
                              <wps:cNvPr id="149" name="文本框 149"/>
                              <wps:cNvSpPr txBox="1"/>
                              <wps:spPr>
                                <a:xfrm>
                                  <a:off x="1056005" y="960755"/>
                                  <a:ext cx="596900" cy="317500"/>
                                </a:xfrm>
                                <a:prstGeom prst="rect">
                                  <a:avLst/>
                                </a:prstGeom>
                                <a:noFill/>
                                <a:ln>
                                  <a:noFill/>
                                </a:ln>
                              </wps:spPr>
                              <wps:txbx>
                                <w:txbxContent>
                                  <w:p>
                                    <w:pPr>
                                      <w:rPr>
                                        <w:rFonts w:hint="default" w:ascii="Times New Roman" w:hAnsi="Times New Roman" w:eastAsia="等线"/>
                                        <w:lang w:val="en-US" w:eastAsia="zh-CN"/>
                                      </w:rPr>
                                    </w:pPr>
                                    <w:r>
                                      <w:rPr>
                                        <w:rFonts w:hint="eastAsia"/>
                                        <w:lang w:val="en-US" w:eastAsia="zh-CN"/>
                                      </w:rPr>
                                      <w:t>76</w:t>
                                    </w:r>
                                  </w:p>
                                </w:txbxContent>
                              </wps:txbx>
                              <wps:bodyPr upright="1"/>
                            </wps:wsp>
                            <wps:wsp>
                              <wps:cNvPr id="150" name="文本框 150"/>
                              <wps:cNvSpPr txBox="1"/>
                              <wps:spPr>
                                <a:xfrm>
                                  <a:off x="2532380" y="913130"/>
                                  <a:ext cx="596900" cy="292100"/>
                                </a:xfrm>
                                <a:prstGeom prst="rect">
                                  <a:avLst/>
                                </a:prstGeom>
                                <a:noFill/>
                                <a:ln>
                                  <a:noFill/>
                                </a:ln>
                              </wps:spPr>
                              <wps:txbx>
                                <w:txbxContent>
                                  <w:p>
                                    <w:pPr>
                                      <w:rPr>
                                        <w:rFonts w:hint="default" w:ascii="Times New Roman" w:hAnsi="Times New Roman" w:eastAsia="等线"/>
                                        <w:color w:val="auto"/>
                                        <w:lang w:val="en-US" w:eastAsia="zh-CN"/>
                                      </w:rPr>
                                    </w:pPr>
                                    <w:r>
                                      <w:rPr>
                                        <w:rFonts w:hint="eastAsia"/>
                                        <w:color w:val="auto"/>
                                        <w:lang w:val="en-US" w:eastAsia="zh-CN"/>
                                      </w:rPr>
                                      <w:t>16</w:t>
                                    </w:r>
                                  </w:p>
                                </w:txbxContent>
                              </wps:txbx>
                              <wps:bodyPr upright="1"/>
                            </wps:wsp>
                          </wpc:wpc>
                        </a:graphicData>
                      </a:graphic>
                    </wp:inline>
                  </w:drawing>
                </mc:Choice>
                <mc:Fallback>
                  <w:pict>
                    <v:group id="_x0000_s1026" o:spid="_x0000_s1026" o:spt="203" style="height:133.5pt;width:453.75pt;" coordsize="5762625,1695450" editas="canvas" o:gfxdata="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DFHias1wAAAAUBAAAPAAAAAAAAAAEAIAAAACIAAABkcnMvZG93bnJldi54bWxQSwECFAAUAAAA&#10;CACHTuJAQKcnX7kHAACJNwAADgAAAAAAAAABACAAAAAmAQAAZHJzL2Uyb0RvYy54bWxQSwUGAAAA&#10;AAYABgBZAQAAUQsAAAAA&#10;">
                      <o:lock v:ext="edit" aspectratio="f"/>
                      <v:shape id="_x0000_s1026" o:spid="_x0000_s1026" style="position:absolute;left:0;top:0;height:1695450;width:5762625;" filled="f" stroked="f" coordsize="21600,21600" o:gfxdata="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MUeJqzXAAAABQEAAA8A&#10;AAAAAAAAAQAgAAAAIgAAAGRycy9kb3ducmV2LnhtbFBLAQIUABQAAAAIAIdO4kAqlgM9qQcAAPo2&#10;AAAOAAAAAAAAAAEAIAAAACYBAABkcnMvZTJvRG9jLnhtbFBLBQYAAAAABgAGAFkBAABBCwAAAAA=&#10;">
                        <v:fill on="f" focussize="0,0"/>
                        <v:stroke on="f"/>
                        <v:imagedata o:title=""/>
                        <o:lock v:ext="edit" aspectratio="f"/>
                      </v:shape>
                      <v:shape id="_x0000_s1026" o:spid="_x0000_s1026" o:spt="202" type="#_x0000_t202" style="position:absolute;left:66675;top:684530;height:317500;width:81534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cFfbtQAAAAFAQAADwAAAAAAAAABACAAAAAi&#10;AAAAZHJzL2Rvd25yZXYueG1sUEsBAhQAFAAAAAgAh07iQAxhvk2cAQAADAMAAA4AAAAAAAAAAQAg&#10;AAAAIwEAAGRycy9lMm9Eb2MueG1sUEsFBgAAAAAGAAYAWQEAADEFAAAAAA==&#10;">
                        <v:fill on="f" focussize="0,0"/>
                        <v:stroke on="f"/>
                        <v:imagedata o:title=""/>
                        <o:lock v:ext="edit" aspectratio="f"/>
                        <v:textbox>
                          <w:txbxContent>
                            <w:p>
                              <w:pPr>
                                <w:rPr>
                                  <w:rFonts w:hint="eastAsia" w:ascii="Times New Roman" w:hAnsi="Times New Roman" w:eastAsia="等线"/>
                                  <w:color w:val="auto"/>
                                  <w:lang w:val="en-US" w:eastAsia="zh-CN"/>
                                </w:rPr>
                              </w:pPr>
                              <w:r>
                                <w:rPr>
                                  <w:rFonts w:hint="eastAsia" w:ascii="Times New Roman" w:hAnsi="Times New Roman"/>
                                  <w:color w:val="auto"/>
                                  <w:lang w:val="en-US" w:eastAsia="zh-CN"/>
                                </w:rPr>
                                <w:t>市政供水</w:t>
                              </w:r>
                            </w:p>
                          </w:txbxContent>
                        </v:textbox>
                      </v:shape>
                      <v:shape id="_x0000_s1026" o:spid="_x0000_s1026" o:spt="202" type="#_x0000_t202" style="position:absolute;left:1437005;top:313055;height:279401;width:821690;" filled="f" stroked="t" coordsize="21600,21600" o:gfxdata="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KPLHdQAAAAFAQAADwAAAAAAAAABACAAAAAiAAAAZHJzL2Rvd25yZXYueG1sUEsB&#10;AhQAFAAAAAgAh07iQHItPcP5AQAAzQMAAA4AAAAAAAAAAQAgAAAAIwEAAGRycy9lMm9Eb2MueG1s&#10;UEsFBgAAAAAGAAYAWQEAAI4FAAAAAA==&#10;">
                        <v:fill on="f" focussize="0,0"/>
                        <v:stroke color="#000000" joinstyle="miter"/>
                        <v:imagedata o:title=""/>
                        <o:lock v:ext="edit" aspectratio="f"/>
                        <v:textbox>
                          <w:txbxContent>
                            <w:p>
                              <w:pPr>
                                <w:jc w:val="center"/>
                                <w:rPr>
                                  <w:rFonts w:ascii="宋体" w:hAnsi="宋体" w:eastAsia="宋体"/>
                                  <w:color w:val="auto"/>
                                </w:rPr>
                              </w:pPr>
                              <w:r>
                                <w:rPr>
                                  <w:rFonts w:hint="eastAsia" w:ascii="宋体" w:hAnsi="宋体" w:eastAsia="宋体"/>
                                  <w:color w:val="auto"/>
                                </w:rPr>
                                <w:t>生活用水</w:t>
                              </w:r>
                            </w:p>
                          </w:txbxContent>
                        </v:textbox>
                      </v:shape>
                      <v:shape id="_x0000_s1026" o:spid="_x0000_s1026" o:spt="32" type="#_x0000_t32" style="position:absolute;left:2267585;top:463550;height:2540;width:394970;" filled="f" stroked="t" coordsize="21600,21600" o:gfxdata="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AsHJ1gAAAAUBAAAPAAAAAAAAAAEAIAAAACIAAABkcnMvZG93bnJldi54&#10;bWxQSwECFAAUAAAACACHTuJAKgMBv/wBAACzAwAADgAAAAAAAAABACAAAAAlAQAAZHJzL2Uyb0Rv&#10;Yy54bWxQSwUGAAAAAAYABgBZAQAAkwUAAAAA&#10;">
                        <v:fill on="f" focussize="0,0"/>
                        <v:stroke color="#000000" joinstyle="round" endarrow="block"/>
                        <v:imagedata o:title=""/>
                        <o:lock v:ext="edit" aspectratio="f"/>
                      </v:shape>
                      <v:shape id="_x0000_s1026" o:spid="_x0000_s1026" o:spt="202" type="#_x0000_t202" style="position:absolute;left:2675255;top:304165;height:292735;width:892175;" filled="f" stroked="t" coordsize="21600,21600" o:gfxdata="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yjyx3UAAAABQEAAA8AAAAAAAAAAQAgAAAAIgAAAGRycy9kb3ducmV2LnhtbFBLAQIU&#10;ABQAAAAIAIdO4kDRp80f9wEAAM0DAAAOAAAAAAAAAAEAIAAAACMBAABkcnMvZTJvRG9jLnhtbFBL&#10;BQYAAAAABgAGAFkBAACMBQAAAAA=&#10;">
                        <v:fill on="f" focussize="0,0"/>
                        <v:stroke color="#000000" joinstyle="miter"/>
                        <v:imagedata o:title=""/>
                        <o:lock v:ext="edit" aspectratio="f"/>
                        <v:textbox>
                          <w:txbxContent>
                            <w:p>
                              <w:pPr>
                                <w:jc w:val="center"/>
                                <w:rPr>
                                  <w:rFonts w:ascii="宋体" w:hAnsi="宋体" w:eastAsia="宋体"/>
                                  <w:color w:val="auto"/>
                                </w:rPr>
                              </w:pPr>
                              <w:r>
                                <w:rPr>
                                  <w:rFonts w:hint="eastAsia" w:ascii="宋体" w:hAnsi="宋体" w:eastAsia="宋体"/>
                                  <w:color w:val="auto"/>
                                </w:rPr>
                                <w:t>三级化粪池</w:t>
                              </w:r>
                            </w:p>
                          </w:txbxContent>
                        </v:textbox>
                      </v:shape>
                      <v:shape id="_x0000_s1026" o:spid="_x0000_s1026" o:spt="32" type="#_x0000_t32" style="position:absolute;left:3561080;top:457835;flip:y;height:7620;width:427990;" filled="f" stroked="t" coordsize="21600,21600" o:gfxdata="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7pt9YAAAAFAQAADwAAAAAAAAABACAAAAAiAAAAZHJzL2Rv&#10;d25yZXYueG1sUEsBAhQAFAAAAAgAh07iQGCrFC8DAgAAvQMAAA4AAAAAAAAAAQAgAAAAJQEAAGRy&#10;cy9lMm9Eb2MueG1sUEsFBgAAAAAGAAYAWQEAAJoFAAAAAA==&#10;">
                        <v:fill on="f" focussize="0,0"/>
                        <v:stroke color="#000000" joinstyle="round" endarrow="block"/>
                        <v:imagedata o:title=""/>
                        <o:lock v:ext="edit" aspectratio="f"/>
                      </v:shape>
                      <v:shape id="_x0000_s1026" o:spid="_x0000_s1026" o:spt="202" type="#_x0000_t202" style="position:absolute;left:3989070;top:312420;height:290830;width:1591310;" filled="f" stroked="t" coordsize="21600,21600" o:gfxdata="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KPLHdQAAAAFAQAADwAAAAAAAAABACAAAAAiAAAAZHJzL2Rvd25yZXYueG1sUEsBAhQA&#10;FAAAAAgAh07iQBkAS6L2AQAAzgMAAA4AAAAAAAAAAQAgAAAAIwEAAGRycy9lMm9Eb2MueG1sUEsF&#10;BgAAAAAGAAYAWQEAAIsFAAAAAA==&#10;">
                        <v:fill on="f" focussize="0,0"/>
                        <v:stroke color="#000000" joinstyle="miter"/>
                        <v:imagedata o:title=""/>
                        <o:lock v:ext="edit" aspectratio="f"/>
                        <v:textbox>
                          <w:txbxContent>
                            <w:p>
                              <w:pPr>
                                <w:rPr>
                                  <w:rFonts w:hint="eastAsia"/>
                                  <w:sz w:val="21"/>
                                  <w:szCs w:val="21"/>
                                  <w:lang w:eastAsia="zh-CN"/>
                                </w:rPr>
                              </w:pPr>
                              <w:r>
                                <w:rPr>
                                  <w:rFonts w:hint="eastAsia" w:ascii="Times New Roman" w:hAnsi="Times New Roman" w:cs="Times New Roman"/>
                                  <w:color w:val="auto"/>
                                  <w:sz w:val="21"/>
                                  <w:szCs w:val="21"/>
                                  <w:highlight w:val="none"/>
                                  <w:lang w:eastAsia="zh-CN"/>
                                </w:rPr>
                                <w:t>开平市水口</w:t>
                              </w:r>
                              <w:r>
                                <w:rPr>
                                  <w:rFonts w:hint="default" w:ascii="Times New Roman" w:hAnsi="Times New Roman" w:eastAsia="宋体" w:cs="Times New Roman"/>
                                  <w:color w:val="auto"/>
                                  <w:sz w:val="21"/>
                                  <w:szCs w:val="21"/>
                                  <w:highlight w:val="none"/>
                                  <w:lang w:eastAsia="zh-CN"/>
                                </w:rPr>
                                <w:t>污水处理厂</w:t>
                              </w:r>
                            </w:p>
                          </w:txbxContent>
                        </v:textbox>
                      </v:shape>
                      <v:group id="_x0000_s1026" o:spid="_x0000_s1026" o:spt="203" style="position:absolute;left:1751330;top:151130;height:152400;width:177800;" coordorigin="2851,3304" coordsize="630,624" o:gfxdata="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UgVn19cAAAAFAQAA&#10;DwAAAAAAAAABACAAAAAiAAAAZHJzL2Rvd25yZXYueG1sUEsBAhQAFAAAAAgAh07iQNgO9sLFAgAA&#10;CwkAAA4AAAAAAAAAAQAgAAAAJgEAAGRycy9lMm9Eb2MueG1sUEsFBgAAAAAGAAYAWQEAAF0GAAAA&#10;AA==&#10;">
                        <o:lock v:ext="edit" aspectratio="f"/>
                        <v:line id="_x0000_s1026" o:spid="_x0000_s1026" o:spt="20" style="position:absolute;left:2851;top:3616;flip:y;height:312;width:210;" filled="f" stroked="t" coordsize="21600,21600" o:gfxdata="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Cc4G7gAAADcAAAA&#10;DwAAAAAAAAABACAAAAAiAAAAZHJzL2Rvd25yZXYueG1sUEsBAhQAFAAAAAgAh07iQDMvBZ47AAAA&#10;OQAAABAAAAAAAAAAAQAgAAAABwEAAGRycy9zaGFwZXhtbC54bWxQSwUGAAAAAAYABgBbAQAAsQMA&#10;AAAA&#10;">
                          <v:fill on="f" focussize="0,0"/>
                          <v:stroke color="#000000" joinstyle="round" endarrowwidth="narrow"/>
                          <v:imagedata o:title=""/>
                          <o:lock v:ext="edit" aspectratio="f"/>
                        </v:line>
                        <v:line id="_x0000_s1026" o:spid="_x0000_s1026" o:spt="20" style="position:absolute;left:3061;top:3616;height:156;width:105;" filled="f" stroked="t" coordsize="21600,21600" o:gfxdata="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QEOvQAA&#10;ANwAAAAPAAAAAAAAAAEAIAAAACIAAABkcnMvZG93bnJldi54bWxQSwECFAAUAAAACACHTuJAMy8F&#10;njsAAAA5AAAAEAAAAAAAAAABACAAAAAMAQAAZHJzL3NoYXBleG1sLnhtbFBLBQYAAAAABgAGAFsB&#10;AAC2AwAAAAA=&#10;">
                          <v:fill on="f" focussize="0,0"/>
                          <v:stroke color="#000000" joinstyle="round" endarrowwidth="narrow"/>
                          <v:imagedata o:title=""/>
                          <o:lock v:ext="edit" aspectratio="f"/>
                        </v:line>
                        <v:line id="_x0000_s1026" o:spid="_x0000_s1026" o:spt="20" style="position:absolute;left:3166;top:3304;flip:y;height:468;width:315;" filled="f" stroked="t" coordsize="21600,21600" o:gfxdata="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G17W5AAAA3AAA&#10;AA8AAAAAAAAAAQAgAAAAIgAAAGRycy9kb3ducmV2LnhtbFBLAQIUABQAAAAIAIdO4kAzLwWeOwAA&#10;ADkAAAAQAAAAAAAAAAEAIAAAAAgBAABkcnMvc2hhcGV4bWwueG1sUEsFBgAAAAAGAAYAWwEAALID&#10;AAAAAA==&#10;">
                          <v:fill on="f" focussize="0,0"/>
                          <v:stroke color="#000000" joinstyle="round" endarrow="block" endarrowwidth="narrow"/>
                          <v:imagedata o:title=""/>
                          <o:lock v:ext="edit" aspectratio="f"/>
                        </v:line>
                      </v:group>
                      <v:shape id="_x0000_s1026" o:spid="_x0000_s1026" o:spt="202" type="#_x0000_t202" style="position:absolute;left:1856105;top:17780;height:317501;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pwV9u1AAAAAUBAAAPAAAAAAAAAAEAIAAAACIA&#10;AABkcnMvZG93bnJldi54bWxQSwECFAAUAAAACACHTuJAsw4lopsBAAANAwAADgAAAAAAAAABACAA&#10;AAAjAQAAZHJzL2Uyb0RvYy54bWxQSwUGAAAAAAYABgBZAQAAMAU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color w:val="auto"/>
                                  <w:lang w:val="en-US" w:eastAsia="zh-CN"/>
                                </w:rPr>
                                <w:t>6</w:t>
                              </w:r>
                            </w:p>
                          </w:txbxContent>
                        </v:textbox>
                      </v:shape>
                      <v:shape id="_x0000_s1026" o:spid="_x0000_s1026" o:spt="202" type="#_x0000_t202" style="position:absolute;left:2237105;top:189230;height:317500;width:54864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nBX27UAAAABQEAAA8AAAAAAAAAAQAgAAAA&#10;IgAAAGRycy9kb3ducmV2LnhtbFBLAQIUABQAAAAIAIdO4kBCeU7unQEAAA4DAAAOAAAAAAAAAAEA&#10;IAAAACMBAABkcnMvZTJvRG9jLnhtbFBLBQYAAAAABgAGAFkBAAAyBQ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eastAsia="等线"/>
                                  <w:color w:val="auto"/>
                                  <w:lang w:val="en-US" w:eastAsia="zh-CN"/>
                                </w:rPr>
                                <w:t>54</w:t>
                              </w:r>
                            </w:p>
                          </w:txbxContent>
                        </v:textbox>
                      </v:shape>
                      <v:shape id="_x0000_s1026" o:spid="_x0000_s1026" o:spt="202" type="#_x0000_t202" style="position:absolute;left:3551555;top:200025;height:317500;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nBX27UAAAABQEAAA8AAAAAAAAAAQAgAAAA&#10;IgAAAGRycy9kb3ducmV2LnhtbFBLAQIUABQAAAAIAIdO4kCT1lRxnQEAAA4DAAAOAAAAAAAAAAEA&#10;IAAAACMBAABkcnMvZTJvRG9jLnhtbFBLBQYAAAAABgAGAFkBAAAyBQ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eastAsia="等线"/>
                                  <w:color w:val="auto"/>
                                  <w:lang w:val="en-US" w:eastAsia="zh-CN"/>
                                </w:rPr>
                                <w:t>54</w:t>
                              </w:r>
                            </w:p>
                          </w:txbxContent>
                        </v:textbox>
                      </v:shape>
                      <v:shape id="_x0000_s1026" o:spid="_x0000_s1026" o:spt="202" type="#_x0000_t202" style="position:absolute;left:1056006;top:198755;height:317501;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nBX27UAAAABQEAAA8AAAAAAAAAAQAgAAAAIgAA&#10;AGRycy9kb3ducmV2LnhtbFBLAQIUABQAAAAIAIdO4kCc0sC/mgEAAA4DAAAOAAAAAAAAAAEAIAAA&#10;ACMBAABkcnMvZTJvRG9jLnhtbFBLBQYAAAAABgAGAFkBAAAvBQAAAAA=&#10;">
                        <v:fill on="f" focussize="0,0"/>
                        <v:stroke on="f"/>
                        <v:imagedata o:title=""/>
                        <o:lock v:ext="edit" aspectratio="f"/>
                        <v:textbox>
                          <w:txbxContent>
                            <w:p>
                              <w:pPr>
                                <w:rPr>
                                  <w:rFonts w:hint="default" w:ascii="Times New Roman" w:hAnsi="Times New Roman" w:eastAsia="等线"/>
                                  <w:lang w:val="en-US" w:eastAsia="zh-CN"/>
                                </w:rPr>
                              </w:pPr>
                              <w:r>
                                <w:rPr>
                                  <w:rFonts w:hint="eastAsia" w:eastAsia="等线"/>
                                  <w:lang w:val="en-US" w:eastAsia="zh-CN"/>
                                </w:rPr>
                                <w:t>60</w:t>
                              </w:r>
                            </w:p>
                          </w:txbxContent>
                        </v:textbox>
                      </v:shape>
                      <v:shape id="_x0000_s1026" o:spid="_x0000_s1026" o:spt="202" type="#_x0000_t202" style="position:absolute;left:1789430;top:1386840;height:317500;width:1974215;"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nBX27UAAAABQEAAA8AAAAAAAAAAQAgAAAA&#10;IgAAAGRycy9kb3ducmV2LnhtbFBLAQIUABQAAAAIAIdO4kARBDgpnQEAABADAAAOAAAAAAAAAAEA&#10;IAAAACMBAABkcnMvZTJvRG9jLnhtbFBLBQYAAAAABgAGAFkBAAAyBQ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ascii="Times New Roman" w:hAnsi="Times New Roman"/>
                                  <w:b/>
                                  <w:bCs/>
                                  <w:color w:val="auto"/>
                                  <w:lang w:val="en-US" w:eastAsia="zh-CN"/>
                                </w:rPr>
                                <w:t>项目水平衡图（单位：t/a）</w:t>
                              </w:r>
                            </w:p>
                          </w:txbxContent>
                        </v:textbox>
                      </v:shape>
                      <v:line id="_x0000_s1026" o:spid="_x0000_s1026" o:spt="20" style="position:absolute;left:741680;top:827405;flip:y;height:0;width:381000;" filled="f" stroked="t" coordsize="21600,21600" o:gfxdata="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LBd91QAAAAUBAAAPAAAAAAAAAAEAIAAAACIAAABkcnMvZG93bnJldi54bWxQSwECFAAUAAAA&#10;CACHTuJAv6wKNvEBAACtAwAADgAAAAAAAAABACAAAAAkAQAAZHJzL2Uyb0RvYy54bWxQSwUGAAAA&#10;AAYABgBZAQAAhwUAAAAA&#10;">
                        <v:fill on="f" focussize="0,0"/>
                        <v:stroke color="#000000" joinstyle="round"/>
                        <v:imagedata o:title=""/>
                        <o:lock v:ext="edit" aspectratio="f"/>
                      </v:line>
                      <v:shape id="_x0000_s1026" o:spid="_x0000_s1026" o:spt="100" style="position:absolute;left:1122680;top:441325;height:744855;width:323850;" filled="f" stroked="t" coordsize="525,1380" o:gfxdata="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mdtUAAAAFAQAADwAAAAAAAAABACAAAAAiAAAA&#10;ZHJzL2Rvd25yZXYueG1sUEsBAhQAFAAAAAgAh07iQFOgMNJDAgAApgQAAA4AAAAAAAAAAQAgAAAA&#10;JAEAAGRycy9lMm9Eb2MueG1sUEsFBgAAAAAGAAYAWQEAANkFAAAAAA==&#10;" path="m495,0l0,0,0,1380,525,1380e">
                        <v:fill on="f" focussize="0,0"/>
                        <v:stroke color="#000000" joinstyle="round" startarrow="block" endarrow="block"/>
                        <v:imagedata o:title=""/>
                        <o:lock v:ext="edit" aspectratio="f"/>
                      </v:shape>
                      <v:shape id="_x0000_s1026" o:spid="_x0000_s1026" o:spt="202" type="#_x0000_t202" style="position:absolute;left:722630;top:598805;height:317500;width:748665;"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cFfbtQAAAAFAQAADwAAAAAAAAABACAAAAAi&#10;AAAAZHJzL2Rvd25yZXYueG1sUEsBAhQAFAAAAAgAh07iQPzUP+mcAQAADQMAAA4AAAAAAAAAAQAg&#10;AAAAIwEAAGRycy9lMm9Eb2MueG1sUEsFBgAAAAAGAAYAWQEAADEFAAAAAA==&#10;">
                        <v:fill on="f" focussize="0,0"/>
                        <v:stroke on="f"/>
                        <v:imagedata o:title=""/>
                        <o:lock v:ext="edit" aspectratio="f"/>
                        <v:textbox>
                          <w:txbxContent>
                            <w:p>
                              <w:pPr>
                                <w:rPr>
                                  <w:rFonts w:hint="default" w:ascii="Times New Roman" w:hAnsi="Times New Roman" w:eastAsia="等线"/>
                                  <w:lang w:val="en-US" w:eastAsia="zh-CN"/>
                                </w:rPr>
                              </w:pPr>
                              <w:r>
                                <w:rPr>
                                  <w:rFonts w:hint="eastAsia"/>
                                  <w:lang w:val="en-US" w:eastAsia="zh-CN"/>
                                </w:rPr>
                                <w:t>136</w:t>
                              </w:r>
                            </w:p>
                          </w:txbxContent>
                        </v:textbox>
                      </v:shape>
                      <v:shape id="_x0000_s1026" o:spid="_x0000_s1026" o:spt="202" type="#_x0000_t202" style="position:absolute;left:1437005;top:1036955;height:279400;width:1143000;" filled="f" stroked="t" coordsize="21600,21600" o:gfxdata="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o8sd1AAAAAUBAAAPAAAAAAAAAAEAIAAAACIAAABkcnMvZG93bnJldi54bWxQSwECFAAU&#10;AAAACACHTuJA9/AsyfUBAADPAwAADgAAAAAAAAABACAAAAAjAQAAZHJzL2Uyb0RvYy54bWxQSwUG&#10;AAAAAAYABgBZAQAAigUAAAAA&#10;">
                        <v:fill on="f" focussize="0,0"/>
                        <v:stroke color="#000000" joinstyle="miter"/>
                        <v:imagedata o:title=""/>
                        <o:lock v:ext="edit" aspectratio="f"/>
                        <v:textbox>
                          <w:txbxContent>
                            <w:p>
                              <w:pPr>
                                <w:jc w:val="center"/>
                                <w:rPr>
                                  <w:rFonts w:hint="eastAsia" w:ascii="宋体" w:hAnsi="宋体" w:eastAsia="宋体"/>
                                  <w:color w:val="auto"/>
                                  <w:lang w:eastAsia="zh-CN"/>
                                </w:rPr>
                              </w:pPr>
                              <w:r>
                                <w:rPr>
                                  <w:rFonts w:hint="eastAsia" w:ascii="宋体" w:hAnsi="宋体"/>
                                  <w:color w:val="auto"/>
                                  <w:lang w:eastAsia="zh-CN"/>
                                </w:rPr>
                                <w:t>喷淋用水</w:t>
                              </w:r>
                            </w:p>
                          </w:txbxContent>
                        </v:textbox>
                      </v:shape>
                      <v:line id="_x0000_s1026" o:spid="_x0000_s1026" o:spt="20" style="position:absolute;left:2586355;top:1170305;flip:y;height:0;width:317500;" filled="f" stroked="t" coordsize="21600,21600" o:gfxdata="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AYu4NcAAAAFAQAADwAAAAAAAAABACAAAAAiAAAAZHJzL2Rvd25yZXYueG1s&#10;UEsBAhQAFAAAAAgAh07iQK3ttz/5AQAAswMAAA4AAAAAAAAAAQAgAAAAJgEAAGRycy9lMm9Eb2Mu&#10;eG1sUEsFBgAAAAAGAAYAWQEAAJEFAAAAAA==&#10;">
                        <v:fill on="f" focussize="0,0"/>
                        <v:stroke color="#000000" joinstyle="round" endarrow="block"/>
                        <v:imagedata o:title=""/>
                        <o:lock v:ext="edit" aspectratio="f"/>
                      </v:line>
                      <v:shape id="_x0000_s1026" o:spid="_x0000_s1026" o:spt="202" type="#_x0000_t202" style="position:absolute;left:2910205;top:1036955;height:279400;width:2364740;" filled="f" stroked="t" coordsize="21600,21600" o:gfxdata="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KPLHdQAAAAFAQAADwAAAAAAAAABACAAAAAiAAAAZHJzL2Rvd25yZXYueG1sUEsB&#10;AhQAFAAAAAgAh07iQCJsYHv5AQAAzwMAAA4AAAAAAAAAAQAgAAAAIwEAAGRycy9lMm9Eb2MueG1s&#10;UEsFBgAAAAAGAAYAWQEAAI4FAAAAAA==&#10;">
                        <v:fill on="f" focussize="0,0"/>
                        <v:stroke color="#000000" joinstyle="miter"/>
                        <v:imagedata o:title=""/>
                        <o:lock v:ext="edit" aspectratio="f"/>
                        <v:textbox>
                          <w:txbxContent>
                            <w:p>
                              <w:pPr>
                                <w:rPr>
                                  <w:rFonts w:hint="eastAsia"/>
                                  <w:lang w:eastAsia="zh-CN"/>
                                </w:rPr>
                              </w:pPr>
                              <w:r>
                                <w:rPr>
                                  <w:rFonts w:hint="eastAsia" w:cs="Times New Roman"/>
                                  <w:color w:val="auto"/>
                                  <w:sz w:val="21"/>
                                  <w:szCs w:val="21"/>
                                  <w:highlight w:val="none"/>
                                  <w:lang w:eastAsia="zh-CN"/>
                                </w:rPr>
                                <w:t>交具有零星废水处理资质的单位处理</w:t>
                              </w:r>
                            </w:p>
                            <w:p>
                              <w:pPr>
                                <w:rPr>
                                  <w:rFonts w:hint="eastAsia"/>
                                  <w:lang w:eastAsia="zh-CN"/>
                                </w:rPr>
                              </w:pPr>
                            </w:p>
                          </w:txbxContent>
                        </v:textbox>
                      </v:shape>
                      <v:shape id="_x0000_s1026" o:spid="_x0000_s1026" o:spt="202" type="#_x0000_t202" style="position:absolute;left:1979930;top:684530;height:304800;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pwV9u1AAAAAUBAAAPAAAAAAAAAAEAIAAAACIA&#10;AABkcnMvZG93bnJldi54bWxQSwECFAAUAAAACACHTuJAwgkAopsBAAAOAwAADgAAAAAAAAABACAA&#10;AAAjAQAAZHJzL2Uyb0RvYy54bWxQSwUGAAAAAAYABgBZAQAAMAU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color w:val="auto"/>
                                  <w:lang w:val="en-US" w:eastAsia="zh-CN"/>
                                </w:rPr>
                                <w:t>60</w:t>
                              </w:r>
                            </w:p>
                          </w:txbxContent>
                        </v:textbox>
                      </v:shape>
                      <v:group id="_x0000_s1026" o:spid="_x0000_s1026" o:spt="203" style="position:absolute;left:1865630;top:875030;height:152400;width:177800;" coordorigin="2851,3304" coordsize="630,624" o:gfxdata="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IFZ9fXAAAABQEAAA8AAAAAAAAA&#10;AQAgAAAAIgAAAGRycy9kb3ducmV2LnhtbFBLAQIUABQAAAAIAIdO4kAqxuY7vQIAAAsJAAAOAAAA&#10;AAAAAAEAIAAAACYBAABkcnMvZTJvRG9jLnhtbFBLBQYAAAAABgAGAFkBAABVBgAAAAA=&#10;">
                        <o:lock v:ext="edit" aspectratio="f"/>
                        <v:line id="_x0000_s1026" o:spid="_x0000_s1026" o:spt="20" style="position:absolute;left:2851;top:3616;flip:y;height:312;width:210;" filled="f" stroked="t" coordsize="21600,21600" o:gfxdata="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V3gVLgAAADcAAAA&#10;DwAAAAAAAAABACAAAAAiAAAAZHJzL2Rvd25yZXYueG1sUEsBAhQAFAAAAAgAh07iQDMvBZ47AAAA&#10;OQAAABAAAAAAAAAAAQAgAAAABwEAAGRycy9zaGFwZXhtbC54bWxQSwUGAAAAAAYABgBbAQAAsQMA&#10;AAAA&#10;">
                          <v:fill on="f" focussize="0,0"/>
                          <v:stroke color="#000000" joinstyle="round" endarrowwidth="narrow"/>
                          <v:imagedata o:title=""/>
                          <o:lock v:ext="edit" aspectratio="f"/>
                        </v:line>
                        <v:line id="_x0000_s1026" o:spid="_x0000_s1026" o:spt="20" style="position:absolute;left:3061;top:3616;height:156;width:105;" filled="f" stroked="t" coordsize="21600,21600" o:gfxdata="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N9CvQAA&#10;ANwAAAAPAAAAAAAAAAEAIAAAACIAAABkcnMvZG93bnJldi54bWxQSwECFAAUAAAACACHTuJAMy8F&#10;njsAAAA5AAAAEAAAAAAAAAABACAAAAAMAQAAZHJzL3NoYXBleG1sLnhtbFBLBQYAAAAABgAGAFsB&#10;AAC2AwAAAAA=&#10;">
                          <v:fill on="f" focussize="0,0"/>
                          <v:stroke color="#000000" joinstyle="round" endarrowwidth="narrow"/>
                          <v:imagedata o:title=""/>
                          <o:lock v:ext="edit" aspectratio="f"/>
                        </v:line>
                        <v:line id="_x0000_s1026" o:spid="_x0000_s1026" o:spt="20" style="position:absolute;left:3166;top:3304;flip:y;height:468;width:315;" filled="f" stroked="t" coordsize="21600,21600" o:gfxdata="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wn5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group>
                      <v:shape id="_x0000_s1026" o:spid="_x0000_s1026" o:spt="202" type="#_x0000_t202" style="position:absolute;left:1056005;top:960755;height:317500;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cFfbtQAAAAFAQAADwAAAAAAAAABACAAAAAi&#10;AAAAZHJzL2Rvd25yZXYueG1sUEsBAhQAFAAAAAgAh07iQFZG42+cAQAADgMAAA4AAAAAAAAAAQAg&#10;AAAAIwEAAGRycy9lMm9Eb2MueG1sUEsFBgAAAAAGAAYAWQEAADEFAAAAAA==&#10;">
                        <v:fill on="f" focussize="0,0"/>
                        <v:stroke on="f"/>
                        <v:imagedata o:title=""/>
                        <o:lock v:ext="edit" aspectratio="f"/>
                        <v:textbox>
                          <w:txbxContent>
                            <w:p>
                              <w:pPr>
                                <w:rPr>
                                  <w:rFonts w:hint="default" w:ascii="Times New Roman" w:hAnsi="Times New Roman" w:eastAsia="等线"/>
                                  <w:lang w:val="en-US" w:eastAsia="zh-CN"/>
                                </w:rPr>
                              </w:pPr>
                              <w:r>
                                <w:rPr>
                                  <w:rFonts w:hint="eastAsia"/>
                                  <w:lang w:val="en-US" w:eastAsia="zh-CN"/>
                                </w:rPr>
                                <w:t>76</w:t>
                              </w:r>
                            </w:p>
                          </w:txbxContent>
                        </v:textbox>
                      </v:shape>
                      <v:shape id="_x0000_s1026" o:spid="_x0000_s1026" o:spt="202" type="#_x0000_t202" style="position:absolute;left:2532380;top:913130;height:292100;width:596900;" filled="f" stroked="f" coordsize="21600,21600" o:gfxdata="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pwV9u1AAAAAUBAAAPAAAAAAAAAAEAIAAAACIA&#10;AABkcnMvZG93bnJldi54bWxQSwECFAAUAAAACACHTuJAvOESl5sBAAAOAwAADgAAAAAAAAABACAA&#10;AAAjAQAAZHJzL2Uyb0RvYy54bWxQSwUGAAAAAAYABgBZAQAAMAUAAAAA&#10;">
                        <v:fill on="f" focussize="0,0"/>
                        <v:stroke on="f"/>
                        <v:imagedata o:title=""/>
                        <o:lock v:ext="edit" aspectratio="f"/>
                        <v:textbox>
                          <w:txbxContent>
                            <w:p>
                              <w:pPr>
                                <w:rPr>
                                  <w:rFonts w:hint="default" w:ascii="Times New Roman" w:hAnsi="Times New Roman" w:eastAsia="等线"/>
                                  <w:color w:val="auto"/>
                                  <w:lang w:val="en-US" w:eastAsia="zh-CN"/>
                                </w:rPr>
                              </w:pPr>
                              <w:r>
                                <w:rPr>
                                  <w:rFonts w:hint="eastAsia"/>
                                  <w:color w:val="auto"/>
                                  <w:lang w:val="en-US" w:eastAsia="zh-CN"/>
                                </w:rPr>
                                <w:t>16</w:t>
                              </w:r>
                            </w:p>
                          </w:txbxContent>
                        </v:textbox>
                      </v:shape>
                      <w10:wrap type="none"/>
                      <w10:anchorlock/>
                    </v:group>
                  </w:pict>
                </mc:Fallback>
              </mc:AlternateContent>
            </w:r>
            <w:bookmarkEnd w:id="121"/>
          </w:p>
          <w:p>
            <w:pPr>
              <w:spacing w:line="360" w:lineRule="auto"/>
              <w:ind w:firstLine="480" w:firstLineChars="200"/>
              <w:rPr>
                <w:color w:val="auto"/>
                <w:sz w:val="24"/>
                <w:szCs w:val="24"/>
                <w:highlight w:val="none"/>
              </w:rPr>
            </w:pPr>
            <w:r>
              <w:rPr>
                <w:rFonts w:hint="default" w:ascii="Times New Roman" w:hAnsi="Times New Roman" w:cs="Times New Roman"/>
                <w:color w:val="auto"/>
                <w:sz w:val="24"/>
                <w:szCs w:val="24"/>
                <w:highlight w:val="none"/>
              </w:rPr>
              <w:t>⑶供电：项目用电由</w:t>
            </w:r>
            <w:r>
              <w:rPr>
                <w:color w:val="auto"/>
                <w:sz w:val="24"/>
                <w:szCs w:val="24"/>
                <w:highlight w:val="none"/>
              </w:rPr>
              <w:t>市政电网供给，本项目总用电量为</w:t>
            </w:r>
            <w:r>
              <w:rPr>
                <w:rFonts w:hint="eastAsia"/>
                <w:color w:val="auto"/>
                <w:sz w:val="24"/>
                <w:szCs w:val="24"/>
                <w:highlight w:val="none"/>
                <w:lang w:val="en-US" w:eastAsia="zh-CN"/>
              </w:rPr>
              <w:t>2.4万度/年</w:t>
            </w:r>
            <w:r>
              <w:rPr>
                <w:color w:val="auto"/>
                <w:sz w:val="24"/>
                <w:szCs w:val="24"/>
                <w:highlight w:val="none"/>
              </w:rPr>
              <w:t>。项目不设备用发电机。</w:t>
            </w:r>
          </w:p>
          <w:p>
            <w:pPr>
              <w:spacing w:line="360" w:lineRule="auto"/>
              <w:ind w:firstLine="354" w:firstLineChars="147"/>
              <w:rPr>
                <w:color w:val="auto"/>
                <w:highlight w:val="none"/>
              </w:rPr>
            </w:pPr>
            <w:r>
              <w:rPr>
                <w:rFonts w:hint="eastAsia"/>
                <w:b/>
                <w:color w:val="auto"/>
                <w:sz w:val="24"/>
                <w:szCs w:val="24"/>
                <w:highlight w:val="none"/>
              </w:rPr>
              <w:t>8、产业结构合理性</w:t>
            </w:r>
          </w:p>
          <w:p>
            <w:pPr>
              <w:pStyle w:val="87"/>
              <w:ind w:firstLine="480"/>
              <w:rPr>
                <w:color w:val="auto"/>
                <w:highlight w:val="none"/>
              </w:rPr>
            </w:pPr>
            <w:r>
              <w:rPr>
                <w:rFonts w:hint="eastAsia"/>
                <w:color w:val="auto"/>
                <w:highlight w:val="none"/>
              </w:rPr>
              <w:t>项目主要从事</w:t>
            </w:r>
            <w:r>
              <w:rPr>
                <w:rFonts w:hint="eastAsia"/>
                <w:color w:val="auto"/>
                <w:sz w:val="24"/>
                <w:highlight w:val="none"/>
                <w:lang w:eastAsia="zh-CN"/>
              </w:rPr>
              <w:t>五金卫浴配件</w:t>
            </w:r>
            <w:r>
              <w:rPr>
                <w:rFonts w:hint="eastAsia"/>
                <w:color w:val="auto"/>
                <w:highlight w:val="none"/>
                <w:lang w:eastAsia="zh-CN"/>
              </w:rPr>
              <w:t>的加工生产</w:t>
            </w:r>
            <w:r>
              <w:rPr>
                <w:rFonts w:hint="eastAsia"/>
                <w:color w:val="auto"/>
                <w:highlight w:val="none"/>
              </w:rPr>
              <w:t>：</w:t>
            </w:r>
          </w:p>
          <w:p>
            <w:pPr>
              <w:pStyle w:val="87"/>
              <w:ind w:firstLine="480"/>
              <w:rPr>
                <w:color w:val="auto"/>
                <w:highlight w:val="none"/>
              </w:rPr>
            </w:pPr>
            <w:r>
              <w:rPr>
                <w:rFonts w:hint="eastAsia"/>
                <w:color w:val="auto"/>
                <w:highlight w:val="none"/>
              </w:rPr>
              <w:t>（1）根据</w:t>
            </w:r>
            <w:r>
              <w:rPr>
                <w:rFonts w:hint="eastAsia" w:cs="Times New Roman"/>
                <w:color w:val="auto"/>
                <w:highlight w:val="none"/>
                <w:lang w:eastAsia="zh-CN"/>
              </w:rPr>
              <w:t>《产业结构调整指导目录（2019年本）》中华人民共和国国家发展和改革委员会令第29号</w:t>
            </w:r>
            <w:r>
              <w:rPr>
                <w:rFonts w:hint="eastAsia"/>
                <w:color w:val="auto"/>
                <w:highlight w:val="none"/>
              </w:rPr>
              <w:t>，项目不属于限制和淘汰类。</w:t>
            </w:r>
          </w:p>
          <w:p>
            <w:pPr>
              <w:pStyle w:val="87"/>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）根据《促进产业结构调整暂行规定》（国发[2005]40号）第十三条规定，“不属于鼓励类、限制类和淘汰类，且符合国家有关法律、法规和政策规定的，为允许类”。故项目属于允许类。</w:t>
            </w:r>
          </w:p>
          <w:p>
            <w:pPr>
              <w:pStyle w:val="87"/>
              <w:ind w:firstLine="480"/>
              <w:rPr>
                <w:rFonts w:hint="default" w:ascii="Times New Roman" w:hAnsi="Times New Roman" w:cs="Times New Roman"/>
                <w:bCs/>
                <w:color w:val="auto"/>
                <w:sz w:val="24"/>
                <w:highlight w:val="none"/>
                <w:shd w:val="clear" w:color="auto" w:fill="auto"/>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项目</w:t>
            </w:r>
            <w:r>
              <w:rPr>
                <w:rFonts w:hint="default" w:ascii="Times New Roman" w:hAnsi="Times New Roman" w:cs="Times New Roman"/>
                <w:bCs/>
                <w:color w:val="auto"/>
                <w:sz w:val="24"/>
                <w:highlight w:val="none"/>
                <w:shd w:val="clear" w:color="auto" w:fill="auto"/>
                <w:lang w:val="en-US" w:eastAsia="zh-CN"/>
              </w:rPr>
              <w:t>不在</w:t>
            </w:r>
            <w:r>
              <w:rPr>
                <w:rFonts w:hint="eastAsia" w:cs="Times New Roman"/>
                <w:bCs/>
                <w:color w:val="auto"/>
                <w:sz w:val="24"/>
                <w:highlight w:val="none"/>
                <w:shd w:val="clear" w:color="auto" w:fill="auto"/>
                <w:lang w:val="en-US" w:eastAsia="zh-CN"/>
              </w:rPr>
              <w:t>《市场准入负面清单（2019年版）》发改体改[2019]1685号</w:t>
            </w:r>
            <w:r>
              <w:rPr>
                <w:rFonts w:hint="default" w:ascii="Times New Roman" w:hAnsi="Times New Roman" w:cs="Times New Roman"/>
                <w:bCs/>
                <w:color w:val="auto"/>
                <w:sz w:val="24"/>
                <w:highlight w:val="none"/>
                <w:shd w:val="clear" w:color="auto" w:fill="auto"/>
                <w:lang w:val="en-US" w:eastAsia="zh-CN"/>
              </w:rPr>
              <w:t>类目</w:t>
            </w:r>
            <w:r>
              <w:rPr>
                <w:rFonts w:hint="eastAsia" w:cs="Times New Roman"/>
                <w:bCs/>
                <w:color w:val="auto"/>
                <w:sz w:val="24"/>
                <w:highlight w:val="none"/>
                <w:shd w:val="clear" w:color="auto" w:fill="auto"/>
                <w:lang w:val="en-US" w:eastAsia="zh-CN"/>
              </w:rPr>
              <w:t>。</w:t>
            </w:r>
          </w:p>
          <w:p>
            <w:pPr>
              <w:spacing w:line="360" w:lineRule="auto"/>
              <w:ind w:firstLine="480" w:firstLineChars="200"/>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（4）与《工业炉窑大气污染综合治理方案》的相符性分析：</w:t>
            </w:r>
          </w:p>
          <w:p>
            <w:pPr>
              <w:spacing w:line="360" w:lineRule="auto"/>
              <w:ind w:firstLine="310" w:firstLineChars="147"/>
              <w:jc w:val="center"/>
              <w:rPr>
                <w:rFonts w:hint="default"/>
                <w:b/>
                <w:bCs w:val="0"/>
                <w:color w:val="auto"/>
                <w:sz w:val="21"/>
                <w:szCs w:val="21"/>
                <w:highlight w:val="none"/>
                <w:lang w:val="en-US" w:eastAsia="zh-CN"/>
              </w:rPr>
            </w:pPr>
            <w:r>
              <w:rPr>
                <w:rFonts w:hint="eastAsia"/>
                <w:b/>
                <w:bCs w:val="0"/>
                <w:color w:val="auto"/>
                <w:sz w:val="21"/>
                <w:szCs w:val="21"/>
                <w:highlight w:val="none"/>
                <w:lang w:val="en-US" w:eastAsia="zh-CN"/>
              </w:rPr>
              <w:t>表1-5  与《《工业炉窑大气污染综合治理方案》的相符性一览表</w:t>
            </w:r>
          </w:p>
          <w:tbl>
            <w:tblPr>
              <w:tblStyle w:val="35"/>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4"/>
              <w:gridCol w:w="2655"/>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vAlign w:val="center"/>
                </w:tcPr>
                <w:p>
                  <w:pPr>
                    <w:spacing w:line="360" w:lineRule="auto"/>
                    <w:jc w:val="center"/>
                    <w:rPr>
                      <w:rFonts w:hint="eastAsia"/>
                      <w:b/>
                      <w:color w:val="auto"/>
                      <w:sz w:val="21"/>
                      <w:szCs w:val="21"/>
                      <w:highlight w:val="none"/>
                      <w:vertAlign w:val="baseline"/>
                      <w:lang w:val="en-US" w:eastAsia="zh-CN"/>
                    </w:rPr>
                  </w:pPr>
                  <w:r>
                    <w:rPr>
                      <w:rFonts w:hint="eastAsia"/>
                      <w:b/>
                      <w:color w:val="auto"/>
                      <w:sz w:val="21"/>
                      <w:szCs w:val="21"/>
                      <w:highlight w:val="none"/>
                      <w:vertAlign w:val="baseline"/>
                      <w:lang w:val="en-US" w:eastAsia="zh-CN"/>
                    </w:rPr>
                    <w:t>文件要求</w:t>
                  </w:r>
                </w:p>
              </w:tc>
              <w:tc>
                <w:tcPr>
                  <w:tcW w:w="2655" w:type="dxa"/>
                  <w:vAlign w:val="center"/>
                </w:tcPr>
                <w:p>
                  <w:pPr>
                    <w:spacing w:line="360" w:lineRule="auto"/>
                    <w:jc w:val="center"/>
                    <w:rPr>
                      <w:rFonts w:hint="eastAsia"/>
                      <w:b/>
                      <w:color w:val="auto"/>
                      <w:sz w:val="21"/>
                      <w:szCs w:val="21"/>
                      <w:highlight w:val="none"/>
                      <w:vertAlign w:val="baseline"/>
                      <w:lang w:val="en-US" w:eastAsia="zh-CN"/>
                    </w:rPr>
                  </w:pPr>
                  <w:r>
                    <w:rPr>
                      <w:rFonts w:hint="eastAsia"/>
                      <w:b/>
                      <w:color w:val="auto"/>
                      <w:sz w:val="21"/>
                      <w:szCs w:val="21"/>
                      <w:highlight w:val="none"/>
                      <w:vertAlign w:val="baseline"/>
                      <w:lang w:val="en-US" w:eastAsia="zh-CN"/>
                    </w:rPr>
                    <w:t>项目情况</w:t>
                  </w:r>
                </w:p>
              </w:tc>
              <w:tc>
                <w:tcPr>
                  <w:tcW w:w="2047" w:type="dxa"/>
                  <w:vAlign w:val="center"/>
                </w:tcPr>
                <w:p>
                  <w:pPr>
                    <w:spacing w:line="360" w:lineRule="auto"/>
                    <w:jc w:val="center"/>
                    <w:rPr>
                      <w:rFonts w:hint="eastAsia"/>
                      <w:b/>
                      <w:color w:val="auto"/>
                      <w:sz w:val="21"/>
                      <w:szCs w:val="21"/>
                      <w:highlight w:val="none"/>
                      <w:vertAlign w:val="baseline"/>
                      <w:lang w:val="en-US" w:eastAsia="zh-CN"/>
                    </w:rPr>
                  </w:pPr>
                  <w:r>
                    <w:rPr>
                      <w:rFonts w:hint="eastAsia"/>
                      <w:b/>
                      <w:color w:val="auto"/>
                      <w:sz w:val="21"/>
                      <w:szCs w:val="21"/>
                      <w:highlight w:val="none"/>
                      <w:vertAlign w:val="baseline"/>
                      <w:lang w:val="en-US" w:eastAsia="zh-C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vAlign w:val="center"/>
                </w:tcPr>
                <w:p>
                  <w:pPr>
                    <w:spacing w:line="240" w:lineRule="auto"/>
                    <w:jc w:val="left"/>
                    <w:rPr>
                      <w:rFonts w:hint="eastAsia"/>
                      <w:b/>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 xml:space="preserve">  加快燃料清洁低碳化替代。对以煤、石油焦、渣油、重油等为燃料的工业炉窑，加快使用清洁低碳能源以及利用工厂余热、电厂热力等进行替代。</w:t>
                  </w:r>
                </w:p>
              </w:tc>
              <w:tc>
                <w:tcPr>
                  <w:tcW w:w="2655" w:type="dxa"/>
                  <w:vAlign w:val="center"/>
                </w:tcPr>
                <w:p>
                  <w:pPr>
                    <w:spacing w:line="240" w:lineRule="auto"/>
                    <w:jc w:val="left"/>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本项目加热使用的燃料为天然气，属于清洁能源。</w:t>
                  </w:r>
                </w:p>
              </w:tc>
              <w:tc>
                <w:tcPr>
                  <w:tcW w:w="2047" w:type="dxa"/>
                  <w:vAlign w:val="center"/>
                </w:tcPr>
                <w:p>
                  <w:pPr>
                    <w:spacing w:line="240" w:lineRule="auto"/>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vAlign w:val="center"/>
                </w:tcPr>
                <w:p>
                  <w:pPr>
                    <w:spacing w:line="240" w:lineRule="auto"/>
                    <w:jc w:val="left"/>
                    <w:rPr>
                      <w:rFonts w:hint="eastAsia"/>
                      <w:b/>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 xml:space="preserve">  实施污染深度治理。推进工业炉窑全面达标排放，已有行业排放标准的工业炉窑，严格执行行业排放标准相关规定，配套建设高效脱硫脱硝除尘设施，确保稳定达标排放；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w:t>
                  </w:r>
                </w:p>
              </w:tc>
              <w:tc>
                <w:tcPr>
                  <w:tcW w:w="2655" w:type="dxa"/>
                  <w:vAlign w:val="center"/>
                </w:tcPr>
                <w:p>
                  <w:pPr>
                    <w:spacing w:line="240" w:lineRule="auto"/>
                    <w:jc w:val="left"/>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本项目锻压废气：设置集气装置将废气进行收集后引至水喷淋塔+等离子油烟净化器处后通过15米排气筒排放；燃料废气：设置集气装置收集后经15米排气筒排放。</w:t>
                  </w:r>
                </w:p>
              </w:tc>
              <w:tc>
                <w:tcPr>
                  <w:tcW w:w="2047" w:type="dxa"/>
                  <w:vAlign w:val="center"/>
                </w:tcPr>
                <w:p>
                  <w:pPr>
                    <w:spacing w:line="240" w:lineRule="auto"/>
                    <w:jc w:val="center"/>
                    <w:rPr>
                      <w:rFonts w:hint="eastAsia"/>
                      <w:b w:val="0"/>
                      <w:bCs/>
                      <w:color w:val="auto"/>
                      <w:sz w:val="21"/>
                      <w:szCs w:val="21"/>
                      <w:highlight w:val="none"/>
                      <w:vertAlign w:val="baseline"/>
                      <w:lang w:val="en-US" w:eastAsia="zh-CN"/>
                    </w:rPr>
                  </w:pPr>
                  <w:r>
                    <w:rPr>
                      <w:rFonts w:hint="eastAsia"/>
                      <w:b w:val="0"/>
                      <w:bCs/>
                      <w:color w:val="auto"/>
                      <w:sz w:val="21"/>
                      <w:szCs w:val="21"/>
                      <w:highlight w:val="none"/>
                      <w:vertAlign w:val="baseline"/>
                      <w:lang w:val="en-US" w:eastAsia="zh-CN"/>
                    </w:rPr>
                    <w:t>符合</w:t>
                  </w:r>
                </w:p>
              </w:tc>
            </w:tr>
          </w:tbl>
          <w:p>
            <w:pPr>
              <w:pStyle w:val="87"/>
              <w:ind w:firstLine="480"/>
              <w:rPr>
                <w:rFonts w:hint="eastAsia"/>
                <w:color w:val="auto"/>
                <w:highlight w:val="none"/>
              </w:rPr>
            </w:pPr>
            <w:r>
              <w:rPr>
                <w:rFonts w:hint="eastAsia"/>
                <w:color w:val="auto"/>
                <w:highlight w:val="none"/>
              </w:rPr>
              <w:t>综上所述，项目不属于国家</w:t>
            </w:r>
            <w:r>
              <w:rPr>
                <w:rFonts w:hint="eastAsia"/>
                <w:color w:val="auto"/>
                <w:highlight w:val="none"/>
                <w:lang w:eastAsia="zh-CN"/>
              </w:rPr>
              <w:t>《产业结构调整指导目录（2019年本）》</w:t>
            </w:r>
            <w:r>
              <w:rPr>
                <w:rFonts w:hint="eastAsia"/>
                <w:color w:val="auto"/>
                <w:highlight w:val="none"/>
              </w:rPr>
              <w:t>的限制或淘汰类别，</w:t>
            </w:r>
            <w:r>
              <w:rPr>
                <w:rFonts w:hint="default" w:ascii="Times New Roman" w:hAnsi="Times New Roman" w:cs="Times New Roman"/>
                <w:bCs/>
                <w:color w:val="auto"/>
                <w:sz w:val="24"/>
                <w:highlight w:val="none"/>
                <w:shd w:val="clear" w:color="auto" w:fill="auto"/>
                <w:lang w:val="en-US" w:eastAsia="zh-CN"/>
              </w:rPr>
              <w:t>不在</w:t>
            </w:r>
            <w:r>
              <w:rPr>
                <w:rFonts w:hint="eastAsia" w:cs="Times New Roman"/>
                <w:bCs/>
                <w:color w:val="auto"/>
                <w:sz w:val="24"/>
                <w:highlight w:val="none"/>
                <w:shd w:val="clear" w:color="auto" w:fill="auto"/>
                <w:lang w:val="en-US" w:eastAsia="zh-CN"/>
              </w:rPr>
              <w:t>《市场准入负面清单（2019年版）》发改体改[2019]1685号</w:t>
            </w:r>
            <w:r>
              <w:rPr>
                <w:rFonts w:hint="default" w:ascii="Times New Roman" w:hAnsi="Times New Roman" w:cs="Times New Roman"/>
                <w:bCs/>
                <w:color w:val="auto"/>
                <w:sz w:val="24"/>
                <w:highlight w:val="none"/>
                <w:shd w:val="clear" w:color="auto" w:fill="auto"/>
                <w:lang w:val="en-US" w:eastAsia="zh-CN"/>
              </w:rPr>
              <w:t>类目</w:t>
            </w:r>
            <w:r>
              <w:rPr>
                <w:rFonts w:hint="eastAsia" w:cs="Times New Roman"/>
                <w:bCs/>
                <w:color w:val="auto"/>
                <w:sz w:val="24"/>
                <w:highlight w:val="none"/>
                <w:shd w:val="clear" w:color="auto" w:fill="auto"/>
                <w:lang w:val="en-US" w:eastAsia="zh-CN"/>
              </w:rPr>
              <w:t>，符合</w:t>
            </w:r>
            <w:r>
              <w:rPr>
                <w:rFonts w:hint="eastAsia"/>
                <w:b w:val="0"/>
                <w:bCs/>
                <w:color w:val="auto"/>
                <w:sz w:val="24"/>
                <w:szCs w:val="24"/>
                <w:highlight w:val="none"/>
                <w:lang w:val="en-US" w:eastAsia="zh-CN"/>
              </w:rPr>
              <w:t>《工业炉窑大气污染综合治理方案》要求，</w:t>
            </w:r>
            <w:r>
              <w:rPr>
                <w:rFonts w:hint="eastAsia"/>
                <w:color w:val="auto"/>
                <w:highlight w:val="none"/>
              </w:rPr>
              <w:t>因此项目符合国家、广东省的产业政策。</w:t>
            </w:r>
          </w:p>
          <w:p>
            <w:pPr>
              <w:spacing w:line="360" w:lineRule="auto"/>
              <w:ind w:firstLine="354" w:firstLineChars="147"/>
              <w:rPr>
                <w:rFonts w:hint="eastAsia"/>
                <w:b/>
                <w:color w:val="auto"/>
                <w:sz w:val="24"/>
                <w:szCs w:val="24"/>
                <w:highlight w:val="none"/>
              </w:rPr>
            </w:pPr>
            <w:r>
              <w:rPr>
                <w:rFonts w:hint="eastAsia"/>
                <w:b/>
                <w:color w:val="auto"/>
                <w:sz w:val="24"/>
                <w:szCs w:val="24"/>
                <w:highlight w:val="none"/>
                <w:lang w:val="en-US" w:eastAsia="zh-CN"/>
              </w:rPr>
              <w:t>9、</w:t>
            </w:r>
            <w:r>
              <w:rPr>
                <w:rFonts w:hint="eastAsia"/>
                <w:b/>
                <w:color w:val="auto"/>
                <w:sz w:val="24"/>
                <w:szCs w:val="24"/>
                <w:highlight w:val="none"/>
              </w:rPr>
              <w:t>规划相符性</w:t>
            </w:r>
          </w:p>
          <w:p>
            <w:pPr>
              <w:spacing w:line="360" w:lineRule="auto"/>
              <w:ind w:firstLine="480" w:firstLineChars="200"/>
              <w:rPr>
                <w:color w:val="auto"/>
                <w:sz w:val="24"/>
                <w:szCs w:val="24"/>
                <w:highlight w:val="none"/>
              </w:rPr>
            </w:pPr>
            <w:r>
              <w:rPr>
                <w:rFonts w:hint="eastAsia"/>
                <w:color w:val="auto"/>
                <w:sz w:val="24"/>
                <w:szCs w:val="24"/>
                <w:highlight w:val="none"/>
              </w:rPr>
              <w:t>本项目位于</w:t>
            </w:r>
            <w:r>
              <w:rPr>
                <w:rFonts w:hint="eastAsia"/>
                <w:b w:val="0"/>
                <w:bCs w:val="0"/>
                <w:color w:val="auto"/>
                <w:sz w:val="24"/>
                <w:szCs w:val="22"/>
                <w:highlight w:val="none"/>
                <w:lang w:eastAsia="zh-CN"/>
              </w:rPr>
              <w:t>开平市水口镇第二工业园合龙路A15-1号之一，根据建设单位提供的国土证，详见附件</w:t>
            </w:r>
            <w:r>
              <w:rPr>
                <w:rFonts w:hint="eastAsia"/>
                <w:b w:val="0"/>
                <w:bCs w:val="0"/>
                <w:color w:val="auto"/>
                <w:sz w:val="24"/>
                <w:szCs w:val="22"/>
                <w:highlight w:val="none"/>
                <w:lang w:val="en-US" w:eastAsia="zh-CN"/>
              </w:rPr>
              <w:t>4</w:t>
            </w:r>
            <w:r>
              <w:rPr>
                <w:rFonts w:hint="eastAsia"/>
                <w:b w:val="0"/>
                <w:bCs w:val="0"/>
                <w:color w:val="auto"/>
                <w:sz w:val="24"/>
                <w:szCs w:val="22"/>
                <w:highlight w:val="none"/>
                <w:lang w:eastAsia="zh-CN"/>
              </w:rPr>
              <w:t>，</w:t>
            </w:r>
            <w:r>
              <w:rPr>
                <w:rFonts w:hint="eastAsia"/>
                <w:color w:val="auto"/>
                <w:sz w:val="24"/>
                <w:szCs w:val="24"/>
                <w:highlight w:val="none"/>
              </w:rPr>
              <w:t>项目所在地属于工业用地</w:t>
            </w:r>
            <w:r>
              <w:rPr>
                <w:rFonts w:hint="eastAsia"/>
                <w:color w:val="auto"/>
                <w:sz w:val="24"/>
                <w:szCs w:val="24"/>
                <w:highlight w:val="none"/>
                <w:lang w:eastAsia="zh-CN"/>
              </w:rPr>
              <w:t>。</w:t>
            </w:r>
            <w:r>
              <w:rPr>
                <w:rFonts w:hint="eastAsia"/>
                <w:color w:val="auto"/>
                <w:sz w:val="24"/>
                <w:szCs w:val="24"/>
                <w:highlight w:val="none"/>
              </w:rPr>
              <w:t>项目所在地周围交通便利，配套设施相对齐全，用地性质为工业用地，与本项目的实际用途相符合。</w:t>
            </w:r>
            <w:r>
              <w:rPr>
                <w:color w:val="auto"/>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4890" w:hRule="atLeast"/>
          <w:jc w:val="center"/>
        </w:trPr>
        <w:tc>
          <w:tcPr>
            <w:tcW w:w="9242" w:type="dxa"/>
            <w:gridSpan w:val="7"/>
            <w:tcBorders>
              <w:bottom w:val="single" w:color="auto" w:sz="12" w:space="0"/>
            </w:tcBorders>
          </w:tcPr>
          <w:p>
            <w:pPr>
              <w:spacing w:line="360" w:lineRule="auto"/>
              <w:rPr>
                <w:b/>
                <w:color w:val="auto"/>
                <w:sz w:val="24"/>
                <w:szCs w:val="24"/>
                <w:highlight w:val="none"/>
              </w:rPr>
            </w:pPr>
            <w:r>
              <w:rPr>
                <w:b/>
                <w:color w:val="auto"/>
                <w:sz w:val="24"/>
                <w:szCs w:val="24"/>
                <w:highlight w:val="none"/>
              </w:rPr>
              <w:t>与本项目有关的原有污染情况及主要环境问题:</w:t>
            </w:r>
          </w:p>
          <w:p>
            <w:pPr>
              <w:spacing w:line="360" w:lineRule="auto"/>
              <w:ind w:firstLine="480" w:firstLineChars="200"/>
              <w:rPr>
                <w:color w:val="auto"/>
                <w:sz w:val="24"/>
                <w:szCs w:val="24"/>
                <w:highlight w:val="none"/>
              </w:rPr>
            </w:pPr>
            <w:r>
              <w:rPr>
                <w:color w:val="auto"/>
                <w:sz w:val="24"/>
                <w:szCs w:val="24"/>
                <w:highlight w:val="none"/>
              </w:rPr>
              <w:t>本项目为新建项目，租用已建成的厂房，没有原有污染问题。</w:t>
            </w:r>
          </w:p>
          <w:p>
            <w:pPr>
              <w:spacing w:line="360" w:lineRule="auto"/>
              <w:ind w:firstLine="480" w:firstLineChars="200"/>
              <w:rPr>
                <w:color w:val="auto"/>
                <w:sz w:val="24"/>
                <w:szCs w:val="24"/>
                <w:highlight w:val="none"/>
              </w:rPr>
            </w:pPr>
            <w:r>
              <w:rPr>
                <w:color w:val="auto"/>
                <w:sz w:val="24"/>
                <w:szCs w:val="24"/>
                <w:highlight w:val="none"/>
              </w:rPr>
              <w:t>本项目位于</w:t>
            </w:r>
            <w:r>
              <w:rPr>
                <w:rFonts w:hint="eastAsia"/>
                <w:b w:val="0"/>
                <w:bCs w:val="0"/>
                <w:color w:val="auto"/>
                <w:sz w:val="24"/>
                <w:szCs w:val="22"/>
                <w:highlight w:val="none"/>
                <w:lang w:eastAsia="zh-CN"/>
              </w:rPr>
              <w:t>开平市</w:t>
            </w:r>
            <w:r>
              <w:rPr>
                <w:rFonts w:hint="eastAsia"/>
                <w:color w:val="auto"/>
                <w:sz w:val="24"/>
                <w:szCs w:val="24"/>
                <w:highlight w:val="none"/>
                <w:lang w:eastAsia="zh-CN"/>
              </w:rPr>
              <w:t>水口镇第二工业园合龙路A15-1号之一</w:t>
            </w:r>
            <w:r>
              <w:rPr>
                <w:color w:val="auto"/>
                <w:sz w:val="24"/>
                <w:szCs w:val="24"/>
                <w:highlight w:val="none"/>
              </w:rPr>
              <w:t>。项目东面</w:t>
            </w:r>
            <w:r>
              <w:rPr>
                <w:rFonts w:hint="eastAsia"/>
                <w:color w:val="auto"/>
                <w:sz w:val="24"/>
                <w:szCs w:val="24"/>
                <w:highlight w:val="none"/>
                <w:lang w:eastAsia="zh-CN"/>
              </w:rPr>
              <w:t>、北面为新旺卫浴厂</w:t>
            </w:r>
            <w:r>
              <w:rPr>
                <w:rFonts w:hint="eastAsia"/>
                <w:color w:val="auto"/>
                <w:sz w:val="24"/>
                <w:szCs w:val="24"/>
                <w:highlight w:val="none"/>
              </w:rPr>
              <w:t>、</w:t>
            </w:r>
            <w:r>
              <w:rPr>
                <w:rFonts w:hint="eastAsia"/>
                <w:color w:val="auto"/>
                <w:sz w:val="24"/>
                <w:szCs w:val="24"/>
                <w:highlight w:val="none"/>
                <w:lang w:eastAsia="zh-CN"/>
              </w:rPr>
              <w:t>南</w:t>
            </w:r>
            <w:r>
              <w:rPr>
                <w:color w:val="auto"/>
                <w:sz w:val="24"/>
                <w:szCs w:val="24"/>
                <w:highlight w:val="none"/>
              </w:rPr>
              <w:t>面</w:t>
            </w:r>
            <w:r>
              <w:rPr>
                <w:rFonts w:hint="eastAsia"/>
                <w:color w:val="auto"/>
                <w:sz w:val="24"/>
                <w:szCs w:val="24"/>
                <w:highlight w:val="none"/>
                <w:lang w:eastAsia="zh-CN"/>
              </w:rPr>
              <w:t>三新锻压厂</w:t>
            </w:r>
            <w:r>
              <w:rPr>
                <w:color w:val="auto"/>
                <w:sz w:val="24"/>
                <w:szCs w:val="24"/>
                <w:highlight w:val="none"/>
              </w:rPr>
              <w:t>、</w:t>
            </w:r>
            <w:r>
              <w:rPr>
                <w:rFonts w:hint="eastAsia"/>
                <w:color w:val="auto"/>
                <w:sz w:val="24"/>
                <w:szCs w:val="24"/>
                <w:highlight w:val="none"/>
                <w:lang w:eastAsia="zh-CN"/>
              </w:rPr>
              <w:t>西</w:t>
            </w:r>
            <w:r>
              <w:rPr>
                <w:color w:val="auto"/>
                <w:sz w:val="24"/>
                <w:szCs w:val="24"/>
                <w:highlight w:val="none"/>
              </w:rPr>
              <w:t>面为</w:t>
            </w:r>
            <w:r>
              <w:rPr>
                <w:rFonts w:hint="eastAsia"/>
                <w:color w:val="auto"/>
                <w:sz w:val="24"/>
                <w:szCs w:val="24"/>
                <w:highlight w:val="none"/>
                <w:lang w:eastAsia="zh-CN"/>
              </w:rPr>
              <w:t>一诺卫浴厂</w:t>
            </w:r>
            <w:r>
              <w:rPr>
                <w:color w:val="auto"/>
                <w:sz w:val="24"/>
                <w:szCs w:val="24"/>
                <w:highlight w:val="none"/>
              </w:rPr>
              <w:t>。（项目四周环境现场图见附图</w:t>
            </w:r>
            <w:r>
              <w:rPr>
                <w:rFonts w:hint="eastAsia"/>
                <w:color w:val="auto"/>
                <w:sz w:val="24"/>
                <w:szCs w:val="24"/>
                <w:highlight w:val="none"/>
              </w:rPr>
              <w:t>4</w:t>
            </w:r>
            <w:r>
              <w:rPr>
                <w:color w:val="auto"/>
                <w:sz w:val="24"/>
                <w:szCs w:val="24"/>
                <w:highlight w:val="none"/>
              </w:rPr>
              <w:t>）</w:t>
            </w:r>
          </w:p>
          <w:p>
            <w:pPr>
              <w:spacing w:line="360" w:lineRule="auto"/>
              <w:ind w:firstLine="480" w:firstLineChars="200"/>
              <w:rPr>
                <w:rFonts w:hint="eastAsia"/>
                <w:color w:val="auto"/>
                <w:sz w:val="24"/>
                <w:szCs w:val="24"/>
                <w:highlight w:val="none"/>
                <w:lang w:val="en-US" w:eastAsia="zh-CN"/>
              </w:rPr>
            </w:pPr>
            <w:r>
              <w:rPr>
                <w:color w:val="auto"/>
                <w:sz w:val="24"/>
                <w:szCs w:val="24"/>
                <w:highlight w:val="none"/>
              </w:rPr>
              <w:t>项目所在地周围无重污染的大型企业或重工业，工业企业主要为五金机械厂等，存在主要污染物为附近企业在生产运营过程中产生的废气、噪声、固废等以及附近道路车辆行驶噪声和扬尘等。</w:t>
            </w:r>
            <w:r>
              <w:rPr>
                <w:rFonts w:hint="eastAsia"/>
                <w:color w:val="auto"/>
                <w:sz w:val="24"/>
                <w:szCs w:val="24"/>
                <w:highlight w:val="none"/>
                <w:lang w:val="en-US" w:eastAsia="zh-CN"/>
              </w:rPr>
              <w:t xml:space="preserve"> </w:t>
            </w: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pStyle w:val="2"/>
              <w:rPr>
                <w:rFonts w:hint="eastAsia"/>
                <w:color w:val="auto"/>
                <w:sz w:val="24"/>
                <w:szCs w:val="24"/>
                <w:highlight w:val="none"/>
                <w:lang w:val="en-US" w:eastAsia="zh-CN"/>
              </w:rPr>
            </w:pPr>
          </w:p>
          <w:p>
            <w:pPr>
              <w:pStyle w:val="2"/>
              <w:rPr>
                <w:rFonts w:hint="eastAsia"/>
                <w:color w:val="auto"/>
                <w:sz w:val="24"/>
                <w:szCs w:val="24"/>
                <w:highlight w:val="none"/>
                <w:lang w:val="en-US" w:eastAsia="zh-CN"/>
              </w:rPr>
            </w:pPr>
          </w:p>
          <w:p>
            <w:pPr>
              <w:pStyle w:val="2"/>
              <w:rPr>
                <w:rFonts w:hint="eastAsia"/>
                <w:color w:val="auto"/>
                <w:sz w:val="24"/>
                <w:szCs w:val="24"/>
                <w:highlight w:val="none"/>
                <w:lang w:val="en-US" w:eastAsia="zh-CN"/>
              </w:rPr>
            </w:pPr>
          </w:p>
          <w:p>
            <w:pPr>
              <w:spacing w:line="360" w:lineRule="auto"/>
              <w:rPr>
                <w:color w:val="auto"/>
                <w:sz w:val="24"/>
                <w:szCs w:val="24"/>
                <w:highlight w:val="none"/>
              </w:rPr>
            </w:pPr>
          </w:p>
        </w:tc>
      </w:tr>
    </w:tbl>
    <w:p>
      <w:pPr>
        <w:spacing w:line="360" w:lineRule="auto"/>
        <w:rPr>
          <w:b/>
          <w:color w:val="auto"/>
          <w:sz w:val="24"/>
          <w:szCs w:val="24"/>
          <w:highlight w:val="none"/>
        </w:rPr>
        <w:sectPr>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6"/>
        <w:spacing w:before="0" w:after="0" w:line="240" w:lineRule="auto"/>
        <w:rPr>
          <w:color w:val="auto"/>
          <w:sz w:val="28"/>
          <w:szCs w:val="28"/>
          <w:highlight w:val="none"/>
        </w:rPr>
      </w:pPr>
      <w:bookmarkStart w:id="10" w:name="_Toc26584"/>
      <w:bookmarkStart w:id="11" w:name="_Toc17304"/>
      <w:bookmarkStart w:id="12" w:name="_Toc451440902"/>
      <w:bookmarkStart w:id="13" w:name="_Toc421053059"/>
      <w:bookmarkStart w:id="14" w:name="_Toc419969242"/>
      <w:bookmarkStart w:id="15" w:name="_Toc429307984"/>
      <w:bookmarkStart w:id="16" w:name="_Toc420709129"/>
      <w:bookmarkStart w:id="17" w:name="_Toc423079055"/>
      <w:bookmarkStart w:id="18" w:name="_Toc421087969"/>
      <w:bookmarkStart w:id="19" w:name="_Toc21937"/>
      <w:r>
        <w:rPr>
          <w:color w:val="auto"/>
          <w:sz w:val="28"/>
          <w:szCs w:val="28"/>
          <w:highlight w:val="none"/>
        </w:rPr>
        <w:t>二、建设项目所在地自然环境简况</w:t>
      </w:r>
      <w:bookmarkEnd w:id="10"/>
      <w:bookmarkEnd w:id="11"/>
      <w:bookmarkEnd w:id="12"/>
      <w:bookmarkEnd w:id="13"/>
      <w:bookmarkEnd w:id="14"/>
      <w:bookmarkEnd w:id="15"/>
      <w:bookmarkEnd w:id="16"/>
      <w:bookmarkEnd w:id="17"/>
      <w:bookmarkEnd w:id="18"/>
      <w:bookmarkEnd w:id="19"/>
    </w:p>
    <w:tbl>
      <w:tblPr>
        <w:tblStyle w:val="34"/>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6837" w:hRule="atLeast"/>
          <w:jc w:val="center"/>
        </w:trPr>
        <w:tc>
          <w:tcPr>
            <w:tcW w:w="9242" w:type="dxa"/>
            <w:tcBorders>
              <w:top w:val="single" w:color="auto" w:sz="12" w:space="0"/>
              <w:bottom w:val="single" w:color="auto" w:sz="12" w:space="0"/>
            </w:tcBorders>
          </w:tcPr>
          <w:p>
            <w:pPr>
              <w:spacing w:line="360" w:lineRule="auto"/>
              <w:rPr>
                <w:b/>
                <w:color w:val="auto"/>
                <w:sz w:val="24"/>
                <w:szCs w:val="24"/>
                <w:highlight w:val="none"/>
              </w:rPr>
            </w:pPr>
            <w:r>
              <w:rPr>
                <w:b/>
                <w:color w:val="auto"/>
                <w:sz w:val="24"/>
                <w:szCs w:val="24"/>
                <w:highlight w:val="none"/>
              </w:rPr>
              <w:t>自然环境简况（地形、地貌、地质、气候、气象、水文、植被、生物多样性等）：</w:t>
            </w:r>
          </w:p>
          <w:p>
            <w:pPr>
              <w:spacing w:line="360" w:lineRule="auto"/>
              <w:ind w:firstLine="482" w:firstLineChars="200"/>
              <w:rPr>
                <w:color w:val="auto"/>
                <w:sz w:val="24"/>
                <w:szCs w:val="24"/>
                <w:highlight w:val="none"/>
              </w:rPr>
            </w:pPr>
            <w:r>
              <w:rPr>
                <w:b/>
                <w:bCs/>
                <w:iCs/>
                <w:color w:val="auto"/>
                <w:sz w:val="24"/>
                <w:szCs w:val="24"/>
                <w:highlight w:val="none"/>
              </w:rPr>
              <w:t>1、地理位置</w:t>
            </w:r>
          </w:p>
          <w:p>
            <w:pPr>
              <w:pStyle w:val="19"/>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开平市位于广东省中南部，东经112°45'47" ，北纬22°28'02"；东北连新会，正北靠鹤山， 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年被国家定为二类市。现辖13个镇和三埠、长沙2个办事处以及1个省示范性产业转移工业园。</w:t>
            </w:r>
          </w:p>
          <w:p>
            <w:pPr>
              <w:pStyle w:val="19"/>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水口镇地处珠江三角洲、潭江北岸平原区，位于广东省开平市东郊，距三埠市区10公里，总面积33.1平方公里，水口镇地理环境优越，水陆交通方便，是台山、新会、鹤山、开平的交汇处，设有对外开放口岸，325国道、佛开高速公路、开阳高速公路、江开公路贯通全境，东通香港、澳门和广州、深圳、珠海，西至湛江、海南岛。</w:t>
            </w:r>
          </w:p>
          <w:p>
            <w:pPr>
              <w:spacing w:line="360" w:lineRule="auto"/>
              <w:ind w:firstLine="482" w:firstLineChars="200"/>
              <w:rPr>
                <w:b/>
                <w:bCs/>
                <w:iCs/>
                <w:color w:val="auto"/>
                <w:sz w:val="24"/>
                <w:szCs w:val="24"/>
                <w:highlight w:val="none"/>
              </w:rPr>
            </w:pPr>
            <w:r>
              <w:rPr>
                <w:b/>
                <w:bCs/>
                <w:iCs/>
                <w:color w:val="auto"/>
                <w:sz w:val="24"/>
                <w:szCs w:val="24"/>
                <w:highlight w:val="none"/>
              </w:rPr>
              <w:t>2、</w:t>
            </w:r>
            <w:r>
              <w:rPr>
                <w:rFonts w:hint="eastAsia"/>
                <w:b/>
                <w:bCs/>
                <w:iCs/>
                <w:color w:val="auto"/>
                <w:sz w:val="24"/>
                <w:szCs w:val="24"/>
                <w:highlight w:val="none"/>
              </w:rPr>
              <w:t>地貌、地质特征</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29%，山地面积占2%。</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spacing w:line="360" w:lineRule="auto"/>
              <w:ind w:firstLine="482" w:firstLineChars="200"/>
              <w:rPr>
                <w:b/>
                <w:bCs/>
                <w:iCs/>
                <w:color w:val="auto"/>
                <w:sz w:val="24"/>
                <w:szCs w:val="24"/>
                <w:highlight w:val="none"/>
              </w:rPr>
            </w:pPr>
            <w:r>
              <w:rPr>
                <w:rFonts w:hint="eastAsia"/>
                <w:b/>
                <w:bCs/>
                <w:iCs/>
                <w:color w:val="auto"/>
                <w:sz w:val="24"/>
                <w:szCs w:val="24"/>
                <w:highlight w:val="none"/>
                <w:lang w:val="en-US" w:eastAsia="zh-CN"/>
              </w:rPr>
              <w:t>3、</w:t>
            </w:r>
            <w:r>
              <w:rPr>
                <w:b/>
                <w:bCs/>
                <w:iCs/>
                <w:color w:val="auto"/>
                <w:sz w:val="24"/>
                <w:szCs w:val="24"/>
                <w:highlight w:val="none"/>
              </w:rPr>
              <w:t>气候、气象</w:t>
            </w:r>
          </w:p>
          <w:p>
            <w:pPr>
              <w:pStyle w:val="24"/>
              <w:spacing w:line="360" w:lineRule="auto"/>
              <w:ind w:firstLine="480" w:firstLineChars="200"/>
              <w:rPr>
                <w:rFonts w:hint="eastAsia"/>
                <w:color w:val="auto"/>
                <w:sz w:val="24"/>
                <w:szCs w:val="24"/>
                <w:highlight w:val="none"/>
              </w:rPr>
            </w:pPr>
            <w:r>
              <w:rPr>
                <w:rFonts w:hint="eastAsia"/>
                <w:color w:val="auto"/>
                <w:sz w:val="24"/>
                <w:szCs w:val="24"/>
                <w:highlight w:val="none"/>
              </w:rPr>
              <w:t>开平市地处北回归线以南，属南亚热带海洋性季风气候，濒临南海，有海洋风调节，</w:t>
            </w:r>
          </w:p>
          <w:p>
            <w:pPr>
              <w:pStyle w:val="24"/>
              <w:spacing w:line="360" w:lineRule="auto"/>
              <w:rPr>
                <w:rFonts w:hint="default" w:ascii="Times New Roman" w:hAnsi="Times New Roman" w:cs="Times New Roman"/>
                <w:color w:val="auto"/>
                <w:sz w:val="24"/>
                <w:szCs w:val="24"/>
                <w:highlight w:val="none"/>
              </w:rPr>
            </w:pPr>
            <w:r>
              <w:rPr>
                <w:rFonts w:hint="eastAsia"/>
                <w:color w:val="auto"/>
                <w:sz w:val="24"/>
                <w:szCs w:val="24"/>
                <w:highlight w:val="none"/>
              </w:rPr>
              <w:t>常年气候温和湿润，日照充分，雨量充沛</w:t>
            </w:r>
            <w:r>
              <w:rPr>
                <w:rFonts w:hint="default" w:ascii="Times New Roman" w:hAnsi="Times New Roman" w:cs="Times New Roman"/>
                <w:color w:val="auto"/>
                <w:sz w:val="24"/>
                <w:szCs w:val="24"/>
                <w:highlight w:val="none"/>
              </w:rPr>
              <w:t>。全年主导风向为东北风，其中6～8月份以偏南风为主。全年 80%以上的降水出现在4～9月，7～9月是台风活动的频发期。根据开平市气象部门 1997～2016 年的气象观测资料统计，全年主导风向为东北风，开平市</w:t>
            </w:r>
          </w:p>
          <w:p>
            <w:pPr>
              <w:pStyle w:val="2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1997～2016 年气象要素统计见表2-1。</w:t>
            </w:r>
          </w:p>
          <w:p>
            <w:pPr>
              <w:pStyle w:val="24"/>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表2-1 开平市1997-2016年的气象要素统计表</w:t>
            </w:r>
          </w:p>
          <w:tbl>
            <w:tblPr>
              <w:tblStyle w:val="35"/>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2256"/>
              <w:gridCol w:w="2257"/>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序号</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气象要素</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单位</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平均（极值）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年平均气温</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hPa</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年平均温度</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极端最高气温</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4</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极端最低气温</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年平均相对湿度</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全年降雨量</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mm</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1844.7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7</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最大日降水量</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mm</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8</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雨日</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day</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9</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年平均风速</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m/s</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最大风速</w:t>
                  </w:r>
                </w:p>
              </w:tc>
              <w:tc>
                <w:tcPr>
                  <w:tcW w:w="2257" w:type="dxa"/>
                </w:tcPr>
                <w:p>
                  <w:pPr>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b w:val="0"/>
                      <w:bCs w:val="0"/>
                      <w:color w:val="auto"/>
                      <w:sz w:val="21"/>
                      <w:szCs w:val="21"/>
                      <w:highlight w:val="none"/>
                    </w:rPr>
                    <w:t>m/s</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11</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年日照时数</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hPa</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1696.8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12</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年蒸发量</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mm</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1721.6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13</w:t>
                  </w:r>
                </w:p>
              </w:tc>
              <w:tc>
                <w:tcPr>
                  <w:tcW w:w="2256"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最近五年平均风速</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m/s</w:t>
                  </w:r>
                </w:p>
              </w:tc>
              <w:tc>
                <w:tcPr>
                  <w:tcW w:w="2257" w:type="dxa"/>
                </w:tcPr>
                <w:p>
                  <w:pPr>
                    <w:pStyle w:val="24"/>
                    <w:spacing w:line="36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1.9</w:t>
                  </w:r>
                </w:p>
              </w:tc>
            </w:tr>
          </w:tbl>
          <w:p>
            <w:pPr>
              <w:spacing w:line="360" w:lineRule="auto"/>
              <w:ind w:firstLine="482" w:firstLineChars="200"/>
              <w:rPr>
                <w:b/>
                <w:bCs/>
                <w:iCs/>
                <w:color w:val="auto"/>
                <w:sz w:val="24"/>
                <w:szCs w:val="24"/>
                <w:highlight w:val="none"/>
              </w:rPr>
            </w:pPr>
            <w:r>
              <w:rPr>
                <w:rFonts w:hint="eastAsia"/>
                <w:b/>
                <w:bCs/>
                <w:iCs/>
                <w:color w:val="auto"/>
                <w:sz w:val="24"/>
                <w:szCs w:val="24"/>
                <w:highlight w:val="none"/>
                <w:lang w:val="en-US" w:eastAsia="zh-CN"/>
              </w:rPr>
              <w:t>4</w:t>
            </w:r>
            <w:r>
              <w:rPr>
                <w:b/>
                <w:bCs/>
                <w:iCs/>
                <w:color w:val="auto"/>
                <w:sz w:val="24"/>
                <w:szCs w:val="24"/>
                <w:highlight w:val="none"/>
              </w:rPr>
              <w:t>、</w:t>
            </w:r>
            <w:r>
              <w:rPr>
                <w:rFonts w:hint="eastAsia"/>
                <w:b/>
                <w:bCs/>
                <w:iCs/>
                <w:color w:val="auto"/>
                <w:sz w:val="24"/>
                <w:szCs w:val="24"/>
                <w:highlight w:val="none"/>
              </w:rPr>
              <w:t>水文水系特征</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开平市内主要水系为潭江。潭江是珠三角水系的Ⅰ级支流，主流发源于阳江市阳东县牛围岭，与莲塘水汇合入境，经百合、三埠、水口入新会市境，直泻珠江三角河口区，向崖门奔注南海。潭江全长248km，流域面积5068km</w:t>
            </w:r>
            <w:r>
              <w:rPr>
                <w:rFonts w:hint="eastAsia"/>
                <w:color w:val="auto"/>
                <w:sz w:val="24"/>
                <w:szCs w:val="24"/>
                <w:highlight w:val="none"/>
                <w:vertAlign w:val="superscript"/>
              </w:rPr>
              <w:t>2</w:t>
            </w:r>
            <w:r>
              <w:rPr>
                <w:rFonts w:hint="eastAsia"/>
                <w:color w:val="auto"/>
                <w:sz w:val="24"/>
                <w:szCs w:val="24"/>
                <w:highlight w:val="none"/>
              </w:rPr>
              <w:t>；在开平境内河长56km，流域面积1580km</w:t>
            </w:r>
            <w:r>
              <w:rPr>
                <w:rFonts w:hint="eastAsia"/>
                <w:color w:val="auto"/>
                <w:sz w:val="24"/>
                <w:szCs w:val="24"/>
                <w:highlight w:val="none"/>
                <w:vertAlign w:val="superscript"/>
              </w:rPr>
              <w:t>2</w:t>
            </w:r>
            <w:r>
              <w:rPr>
                <w:rFonts w:hint="eastAsia"/>
                <w:color w:val="auto"/>
                <w:sz w:val="24"/>
                <w:szCs w:val="24"/>
                <w:highlight w:val="none"/>
              </w:rPr>
              <w:t>，全河平均坡降为0.45％。上游多高山峻岭，坡急流，山林较茂密，植被较好；中下游地势较为平坦开阔，坡度平缓，河道较为弯曲，低水时河沿沙洲毕露，从赤坎到三埠，比较大的江心洲有河南洲、羊咩洲、滘堤洲、祥龙洲、海心洲、长沙洲、沙皇洲等。</w:t>
            </w:r>
          </w:p>
          <w:p>
            <w:pPr>
              <w:spacing w:line="360" w:lineRule="auto"/>
              <w:ind w:firstLine="480" w:firstLineChars="200"/>
              <w:rPr>
                <w:color w:val="auto"/>
                <w:sz w:val="24"/>
                <w:szCs w:val="24"/>
                <w:highlight w:val="none"/>
              </w:rPr>
            </w:pPr>
            <w:r>
              <w:rPr>
                <w:rFonts w:hint="eastAsia"/>
                <w:color w:val="auto"/>
                <w:sz w:val="24"/>
                <w:szCs w:val="24"/>
                <w:highlight w:val="none"/>
              </w:rPr>
              <w:t>潭江常年受潮汐影响，属弱径流强潮流的河道。据长沙、石咀、三江口、黄冲四水位站资料统计分析，潭江潮汐作用较强，而径流影响亦不可忽略。四站历年平均潮差依次为，涨潮：2.96m、3.09m、2.94m、2.59m，落潮：2.76m、2.88m、2.85m、2.75m，上游大于下游。潭江地处暴雨区，汛期洪水峰高量大；枯水期则因径流量不大，河床逐年淤积，通航能力较差。三埠镇以下可通航600吨的机动船，可直通广州、江门、香港和澳门。潭江干流水位变幅一般在2米到9米之间。据潢步水文站1956年到1959年实测资料统计，多年平均年径流量为21.29亿m³，最大洪峰流量2870m³/s（1968年5月）。最小枯水流量为0.003m³/s（1960年3月），多年平均含沙量0.108kg/m³，多年平均悬移质输沙量23万吨，多年平均枯水量4.37m³/s，最高水位9.88m，最低水量0.95m。开平境内潭江的主要支流包括镇海水、新昌水、新桥水、公益水、白沙水和蚬岗水等。</w:t>
            </w:r>
          </w:p>
          <w:p>
            <w:pPr>
              <w:spacing w:line="360" w:lineRule="auto"/>
              <w:ind w:firstLine="482" w:firstLineChars="200"/>
              <w:rPr>
                <w:b/>
                <w:bCs/>
                <w:iCs/>
                <w:color w:val="auto"/>
                <w:sz w:val="24"/>
                <w:szCs w:val="24"/>
                <w:highlight w:val="none"/>
              </w:rPr>
            </w:pPr>
            <w:r>
              <w:rPr>
                <w:rFonts w:hint="eastAsia"/>
                <w:b/>
                <w:bCs/>
                <w:iCs/>
                <w:color w:val="auto"/>
                <w:sz w:val="24"/>
                <w:szCs w:val="24"/>
                <w:highlight w:val="none"/>
                <w:lang w:val="en-US" w:eastAsia="zh-CN"/>
              </w:rPr>
              <w:t>5</w:t>
            </w:r>
            <w:r>
              <w:rPr>
                <w:b/>
                <w:bCs/>
                <w:iCs/>
                <w:color w:val="auto"/>
                <w:sz w:val="24"/>
                <w:szCs w:val="24"/>
                <w:highlight w:val="none"/>
              </w:rPr>
              <w:t>、植被</w:t>
            </w:r>
          </w:p>
          <w:p>
            <w:pPr>
              <w:widowControl/>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据现场调查，项目所在地厂房已建成，地表植被为人工种植风景树。地表植被项目周围区域树种多为人工种植风景树为主。区域未发现重点保护的野生植物种类和古树名木。</w:t>
            </w:r>
          </w:p>
          <w:p>
            <w:pPr>
              <w:pStyle w:val="24"/>
              <w:numPr>
                <w:ilvl w:val="0"/>
                <w:numId w:val="2"/>
              </w:numPr>
              <w:spacing w:line="360" w:lineRule="auto"/>
              <w:ind w:firstLine="482" w:firstLineChars="200"/>
              <w:rPr>
                <w:rFonts w:hint="eastAsia" w:ascii="Times New Roman" w:hAnsi="Times New Roman" w:eastAsia="宋体" w:cs="Times New Roman"/>
                <w:b/>
                <w:bCs/>
                <w:iCs/>
                <w:color w:val="auto"/>
                <w:kern w:val="2"/>
                <w:sz w:val="24"/>
                <w:szCs w:val="24"/>
                <w:highlight w:val="none"/>
                <w:lang w:val="en-US" w:eastAsia="zh-CN" w:bidi="ar-SA"/>
              </w:rPr>
            </w:pPr>
            <w:r>
              <w:rPr>
                <w:rFonts w:hint="eastAsia" w:ascii="Times New Roman" w:hAnsi="Times New Roman" w:eastAsia="宋体" w:cs="Times New Roman"/>
                <w:b/>
                <w:bCs/>
                <w:iCs/>
                <w:color w:val="auto"/>
                <w:kern w:val="2"/>
                <w:sz w:val="24"/>
                <w:szCs w:val="24"/>
                <w:highlight w:val="none"/>
                <w:lang w:val="en-US" w:eastAsia="zh-CN" w:bidi="ar-SA"/>
              </w:rPr>
              <w:t>矿产资源</w:t>
            </w:r>
          </w:p>
          <w:p>
            <w:pPr>
              <w:widowControl/>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开平市矿产资源丰富，矿产资源已探明和开采的有铁、锰、铜、锡、金、铀、煤、独居石、耐火石、钾长石等 33 种。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widowControl/>
              <w:adjustRightInd w:val="0"/>
              <w:snapToGrid w:val="0"/>
              <w:spacing w:line="360" w:lineRule="auto"/>
              <w:ind w:firstLine="482" w:firstLineChars="200"/>
              <w:rPr>
                <w:rFonts w:hint="eastAsia" w:ascii="Times New Roman" w:hAnsi="Times New Roman" w:eastAsia="宋体" w:cs="Times New Roman"/>
                <w:b/>
                <w:bCs/>
                <w:iCs/>
                <w:color w:val="auto"/>
                <w:kern w:val="2"/>
                <w:sz w:val="24"/>
                <w:szCs w:val="24"/>
                <w:highlight w:val="none"/>
                <w:lang w:val="en-US" w:eastAsia="zh-CN" w:bidi="ar-SA"/>
              </w:rPr>
            </w:pPr>
            <w:r>
              <w:rPr>
                <w:rFonts w:hint="eastAsia" w:ascii="Times New Roman" w:hAnsi="Times New Roman" w:eastAsia="宋体" w:cs="Times New Roman"/>
                <w:b/>
                <w:bCs/>
                <w:iCs/>
                <w:color w:val="auto"/>
                <w:kern w:val="2"/>
                <w:sz w:val="24"/>
                <w:szCs w:val="24"/>
                <w:highlight w:val="none"/>
                <w:lang w:val="en-US" w:eastAsia="zh-CN" w:bidi="ar-SA"/>
              </w:rPr>
              <w:t>7、土地、土壤资源</w:t>
            </w:r>
          </w:p>
          <w:p>
            <w:pPr>
              <w:widowControl/>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潭江及其支流沿岸是河流冲积物，而丘陵区成土母质则是岩石风化物的残积、坡积、洪积或宽谷冲积物。母质以水成岩、变质岩居多，火成岩较少。不同类型成土母质发育的土壤，性质上有很大的差异，河流冲积物发育的土壤飞丽较高，宽谷、峡谷冲积则次之，山坡残积、坡积较差，粗晶花岗岩发育的土壤砂粒粗。有花岗岩母质发育的土壤主要分布在百合、苍城、赤水、金鸡、沙塘、塘口、蚬岗和月山等镇，水稻土则主要分布在潭江沿岸的平原地带。</w:t>
            </w:r>
          </w:p>
          <w:p>
            <w:pPr>
              <w:widowControl/>
              <w:adjustRightInd w:val="0"/>
              <w:snapToGrid w:val="0"/>
              <w:spacing w:before="120" w:line="360" w:lineRule="auto"/>
              <w:rPr>
                <w:b/>
                <w:color w:val="auto"/>
                <w:highlight w:val="none"/>
              </w:rPr>
            </w:pPr>
          </w:p>
          <w:p>
            <w:pPr>
              <w:pStyle w:val="41"/>
              <w:rPr>
                <w:b/>
                <w:color w:val="auto"/>
                <w:highlight w:val="none"/>
              </w:rPr>
            </w:pPr>
          </w:p>
          <w:p>
            <w:pPr>
              <w:pStyle w:val="41"/>
              <w:rPr>
                <w:b/>
                <w:color w:val="auto"/>
                <w:highlight w:val="none"/>
              </w:rPr>
            </w:pPr>
          </w:p>
          <w:p>
            <w:pPr>
              <w:pStyle w:val="41"/>
              <w:rPr>
                <w:b/>
                <w:color w:val="auto"/>
                <w:highlight w:val="none"/>
              </w:rPr>
            </w:pPr>
          </w:p>
          <w:p>
            <w:pPr>
              <w:pStyle w:val="41"/>
              <w:rPr>
                <w:b/>
                <w:color w:val="auto"/>
                <w:highlight w:val="none"/>
              </w:rPr>
            </w:pPr>
          </w:p>
          <w:p>
            <w:pPr>
              <w:pStyle w:val="41"/>
              <w:rPr>
                <w:b/>
                <w:color w:val="auto"/>
                <w:highlight w:val="none"/>
              </w:rPr>
            </w:pPr>
          </w:p>
          <w:p>
            <w:pPr>
              <w:adjustRightInd w:val="0"/>
              <w:snapToGrid w:val="0"/>
              <w:spacing w:line="360" w:lineRule="auto"/>
              <w:rPr>
                <w:color w:val="auto"/>
                <w:sz w:val="24"/>
                <w:highlight w:val="none"/>
              </w:rPr>
            </w:pPr>
          </w:p>
        </w:tc>
      </w:tr>
    </w:tbl>
    <w:p>
      <w:pPr>
        <w:pStyle w:val="16"/>
        <w:spacing w:before="0" w:after="0" w:line="240" w:lineRule="auto"/>
        <w:rPr>
          <w:color w:val="auto"/>
          <w:sz w:val="28"/>
          <w:szCs w:val="28"/>
          <w:highlight w:val="none"/>
        </w:rPr>
      </w:pPr>
      <w:bookmarkStart w:id="20" w:name="_Toc419969243"/>
      <w:bookmarkStart w:id="21" w:name="_Toc10784"/>
      <w:bookmarkStart w:id="22" w:name="_Toc19866"/>
      <w:bookmarkStart w:id="23" w:name="_Toc7163"/>
      <w:bookmarkStart w:id="24" w:name="_Toc429307985"/>
      <w:bookmarkStart w:id="25" w:name="_Toc421087970"/>
      <w:bookmarkStart w:id="26" w:name="_Toc420709130"/>
      <w:bookmarkStart w:id="27" w:name="_Toc451440903"/>
      <w:bookmarkStart w:id="28" w:name="_Toc421053060"/>
      <w:bookmarkStart w:id="29" w:name="_Toc423079056"/>
      <w:r>
        <w:rPr>
          <w:color w:val="auto"/>
          <w:sz w:val="28"/>
          <w:szCs w:val="28"/>
          <w:highlight w:val="none"/>
        </w:rPr>
        <w:t>三、环境质量现状</w:t>
      </w:r>
      <w:bookmarkEnd w:id="20"/>
      <w:bookmarkEnd w:id="21"/>
      <w:bookmarkEnd w:id="22"/>
      <w:bookmarkEnd w:id="23"/>
      <w:bookmarkEnd w:id="24"/>
      <w:bookmarkEnd w:id="25"/>
      <w:bookmarkEnd w:id="26"/>
      <w:bookmarkEnd w:id="27"/>
      <w:bookmarkEnd w:id="28"/>
      <w:bookmarkEnd w:id="29"/>
    </w:p>
    <w:tbl>
      <w:tblPr>
        <w:tblStyle w:val="34"/>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102"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102" w:type="dxa"/>
            <w:right w:w="108" w:type="dxa"/>
          </w:tblCellMar>
        </w:tblPrEx>
        <w:trPr>
          <w:trHeight w:val="13051" w:hRule="atLeast"/>
          <w:jc w:val="center"/>
        </w:trPr>
        <w:tc>
          <w:tcPr>
            <w:tcW w:w="9286" w:type="dxa"/>
            <w:tcBorders>
              <w:top w:val="single" w:color="auto" w:sz="12" w:space="0"/>
              <w:bottom w:val="single" w:color="auto" w:sz="12" w:space="0"/>
            </w:tcBorders>
            <w:vAlign w:val="center"/>
          </w:tcPr>
          <w:p>
            <w:pPr>
              <w:autoSpaceDE w:val="0"/>
              <w:autoSpaceDN w:val="0"/>
              <w:adjustRightInd w:val="0"/>
              <w:spacing w:line="360" w:lineRule="auto"/>
              <w:jc w:val="left"/>
              <w:rPr>
                <w:b/>
                <w:color w:val="auto"/>
                <w:kern w:val="0"/>
                <w:sz w:val="24"/>
                <w:szCs w:val="24"/>
                <w:highlight w:val="none"/>
              </w:rPr>
            </w:pPr>
            <w:r>
              <w:rPr>
                <w:b/>
                <w:color w:val="auto"/>
                <w:kern w:val="0"/>
                <w:sz w:val="24"/>
                <w:szCs w:val="24"/>
                <w:highlight w:val="none"/>
              </w:rPr>
              <w:t>建设项目所在地区域环境质量现状及主要环境问题（环境空气、地面水、地下水、声环境、生态环境等）</w:t>
            </w:r>
          </w:p>
          <w:p>
            <w:pPr>
              <w:adjustRightInd w:val="0"/>
              <w:snapToGrid w:val="0"/>
              <w:spacing w:line="360" w:lineRule="auto"/>
              <w:jc w:val="center"/>
              <w:rPr>
                <w:rFonts w:ascii="Times New Roman" w:hAnsi="Times New Roman"/>
                <w:b/>
                <w:color w:val="auto"/>
                <w:szCs w:val="21"/>
                <w:highlight w:val="none"/>
              </w:rPr>
            </w:pPr>
            <w:r>
              <w:rPr>
                <w:rFonts w:hint="eastAsia" w:ascii="Times New Roman" w:hAnsi="Times New Roman"/>
                <w:b/>
                <w:color w:val="auto"/>
                <w:szCs w:val="21"/>
                <w:highlight w:val="none"/>
              </w:rPr>
              <w:t>表</w:t>
            </w:r>
            <w:r>
              <w:rPr>
                <w:rFonts w:ascii="Times New Roman" w:hAnsi="Times New Roman"/>
                <w:b/>
                <w:color w:val="auto"/>
                <w:szCs w:val="21"/>
                <w:highlight w:val="none"/>
              </w:rPr>
              <w:t xml:space="preserve">3-1 </w:t>
            </w:r>
            <w:r>
              <w:rPr>
                <w:rFonts w:hint="eastAsia" w:ascii="Times New Roman" w:hAnsi="Times New Roman"/>
                <w:b/>
                <w:color w:val="auto"/>
                <w:szCs w:val="21"/>
                <w:highlight w:val="none"/>
              </w:rPr>
              <w:t>建设项目所属功能区</w:t>
            </w:r>
          </w:p>
          <w:tbl>
            <w:tblPr>
              <w:tblStyle w:val="34"/>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410"/>
              <w:gridCol w:w="5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编号</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功能区区划</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建设项目所属类别及执行标准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1</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地表水功能区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color w:val="auto"/>
                      <w:sz w:val="21"/>
                      <w:szCs w:val="21"/>
                      <w:highlight w:val="none"/>
                      <w:shd w:val="clear" w:color="auto" w:fill="auto"/>
                      <w:lang w:val="en-US" w:eastAsia="zh-CN"/>
                    </w:rPr>
                    <w:t>项目受纳水体为</w:t>
                  </w:r>
                  <w:r>
                    <w:rPr>
                      <w:rFonts w:hint="eastAsia"/>
                      <w:color w:val="auto"/>
                      <w:sz w:val="21"/>
                      <w:szCs w:val="21"/>
                      <w:highlight w:val="none"/>
                      <w:shd w:val="clear" w:color="auto" w:fill="auto"/>
                    </w:rPr>
                    <w:t>潭江</w:t>
                  </w:r>
                  <w:r>
                    <w:rPr>
                      <w:rFonts w:hint="eastAsia"/>
                      <w:color w:val="auto"/>
                      <w:sz w:val="21"/>
                      <w:szCs w:val="21"/>
                      <w:highlight w:val="none"/>
                      <w:shd w:val="clear" w:color="auto" w:fill="auto"/>
                      <w:lang w:eastAsia="zh-CN"/>
                    </w:rPr>
                    <w:t>，根据《关于印发&lt;广东省地表水环境功能区划&gt;的通知》（粤环[2011]14号）以及</w:t>
                  </w:r>
                  <w:r>
                    <w:rPr>
                      <w:rFonts w:hint="eastAsia" w:ascii="Times New Roman" w:hAnsi="Times New Roman" w:eastAsia="宋体"/>
                      <w:b w:val="0"/>
                      <w:bCs/>
                      <w:color w:val="auto"/>
                      <w:szCs w:val="24"/>
                      <w:highlight w:val="none"/>
                      <w:shd w:val="clear" w:color="auto" w:fill="auto"/>
                      <w:lang w:eastAsia="zh-CN"/>
                    </w:rPr>
                    <w:t>《开平市水口污水处理厂提标改造工程项目》环境影响评价报告表与其批复</w:t>
                  </w:r>
                  <w:r>
                    <w:rPr>
                      <w:rFonts w:hint="eastAsia" w:ascii="Times New Roman" w:hAnsi="Times New Roman" w:eastAsia="宋体"/>
                      <w:b w:val="0"/>
                      <w:bCs/>
                      <w:color w:val="auto"/>
                      <w:szCs w:val="24"/>
                      <w:highlight w:val="none"/>
                      <w:shd w:val="clear" w:color="auto" w:fill="auto"/>
                    </w:rPr>
                    <w:t>（</w:t>
                  </w:r>
                  <w:r>
                    <w:rPr>
                      <w:rFonts w:hint="eastAsia" w:ascii="Times New Roman" w:hAnsi="Times New Roman" w:eastAsia="宋体"/>
                      <w:b w:val="0"/>
                      <w:bCs/>
                      <w:color w:val="auto"/>
                      <w:szCs w:val="24"/>
                      <w:highlight w:val="none"/>
                      <w:shd w:val="clear" w:color="auto" w:fill="auto"/>
                      <w:lang w:eastAsia="zh-CN"/>
                    </w:rPr>
                    <w:t>开环批</w:t>
                  </w:r>
                  <w:r>
                    <w:rPr>
                      <w:rFonts w:hint="eastAsia" w:ascii="Times New Roman" w:hAnsi="Times New Roman" w:eastAsia="宋体"/>
                      <w:b w:val="0"/>
                      <w:bCs/>
                      <w:color w:val="auto"/>
                      <w:szCs w:val="24"/>
                      <w:highlight w:val="none"/>
                      <w:shd w:val="clear" w:color="auto" w:fill="auto"/>
                    </w:rPr>
                    <w:t>[201</w:t>
                  </w:r>
                  <w:r>
                    <w:rPr>
                      <w:rFonts w:hint="eastAsia" w:ascii="Times New Roman" w:hAnsi="Times New Roman" w:eastAsia="宋体"/>
                      <w:b w:val="0"/>
                      <w:bCs/>
                      <w:color w:val="auto"/>
                      <w:szCs w:val="24"/>
                      <w:highlight w:val="none"/>
                      <w:shd w:val="clear" w:color="auto" w:fill="auto"/>
                      <w:lang w:val="en-US" w:eastAsia="zh-CN"/>
                    </w:rPr>
                    <w:t>8</w:t>
                  </w:r>
                  <w:r>
                    <w:rPr>
                      <w:rFonts w:hint="eastAsia" w:ascii="Times New Roman" w:hAnsi="Times New Roman" w:eastAsia="宋体"/>
                      <w:b w:val="0"/>
                      <w:bCs/>
                      <w:color w:val="auto"/>
                      <w:szCs w:val="24"/>
                      <w:highlight w:val="none"/>
                      <w:shd w:val="clear" w:color="auto" w:fill="auto"/>
                    </w:rPr>
                    <w:t>]1</w:t>
                  </w:r>
                  <w:r>
                    <w:rPr>
                      <w:rFonts w:hint="eastAsia" w:ascii="Times New Roman" w:hAnsi="Times New Roman" w:eastAsia="宋体"/>
                      <w:b w:val="0"/>
                      <w:bCs/>
                      <w:color w:val="auto"/>
                      <w:szCs w:val="24"/>
                      <w:highlight w:val="none"/>
                      <w:shd w:val="clear" w:color="auto" w:fill="auto"/>
                      <w:lang w:val="en-US" w:eastAsia="zh-CN"/>
                    </w:rPr>
                    <w:t>68</w:t>
                  </w:r>
                  <w:r>
                    <w:rPr>
                      <w:rFonts w:hint="eastAsia" w:ascii="Times New Roman" w:hAnsi="Times New Roman" w:eastAsia="宋体"/>
                      <w:b w:val="0"/>
                      <w:bCs/>
                      <w:color w:val="auto"/>
                      <w:szCs w:val="24"/>
                      <w:highlight w:val="none"/>
                      <w:shd w:val="clear" w:color="auto" w:fill="auto"/>
                    </w:rPr>
                    <w:t>号）</w:t>
                  </w:r>
                  <w:r>
                    <w:rPr>
                      <w:rFonts w:hint="eastAsia" w:ascii="Times New Roman" w:hAnsi="Times New Roman"/>
                      <w:color w:val="auto"/>
                      <w:szCs w:val="21"/>
                      <w:highlight w:val="none"/>
                      <w:lang w:eastAsia="zh-CN"/>
                    </w:rPr>
                    <w:t>，</w:t>
                  </w:r>
                  <w:r>
                    <w:rPr>
                      <w:rFonts w:hint="eastAsia"/>
                      <w:color w:val="auto"/>
                      <w:szCs w:val="21"/>
                      <w:highlight w:val="none"/>
                      <w:lang w:eastAsia="zh-CN"/>
                    </w:rPr>
                    <w:t>潭江</w:t>
                  </w:r>
                  <w:r>
                    <w:rPr>
                      <w:rFonts w:hint="eastAsia" w:ascii="Times New Roman" w:hAnsi="Times New Roman"/>
                      <w:color w:val="auto"/>
                      <w:szCs w:val="21"/>
                      <w:highlight w:val="none"/>
                      <w:lang w:eastAsia="zh-CN"/>
                    </w:rPr>
                    <w:t>执行《地表水环境质量标准》（GB3838-2002）中的II类标准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2</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大气环境功能区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kern w:val="2"/>
                      <w:sz w:val="21"/>
                      <w:szCs w:val="21"/>
                      <w:highlight w:val="none"/>
                    </w:rPr>
                    <w:t>根据《江门市环境保护规划》（2006-2020年），项目</w:t>
                  </w:r>
                  <w:r>
                    <w:rPr>
                      <w:rFonts w:ascii="Times New Roman" w:hAnsi="Times New Roman"/>
                      <w:color w:val="auto"/>
                      <w:kern w:val="2"/>
                      <w:sz w:val="21"/>
                      <w:szCs w:val="21"/>
                      <w:highlight w:val="none"/>
                    </w:rPr>
                    <w:t>属</w:t>
                  </w:r>
                  <w:r>
                    <w:rPr>
                      <w:rFonts w:hint="eastAsia" w:ascii="Times New Roman" w:hAnsi="Times New Roman"/>
                      <w:color w:val="auto"/>
                      <w:szCs w:val="21"/>
                      <w:highlight w:val="none"/>
                    </w:rPr>
                    <w:t>二类区，执行《环境空气质量标准》（</w:t>
                  </w:r>
                  <w:r>
                    <w:rPr>
                      <w:rFonts w:ascii="Times New Roman" w:hAnsi="Times New Roman"/>
                      <w:color w:val="auto"/>
                      <w:szCs w:val="21"/>
                      <w:highlight w:val="none"/>
                    </w:rPr>
                    <w:t>GB3095-2012</w:t>
                  </w:r>
                  <w:r>
                    <w:rPr>
                      <w:rFonts w:hint="eastAsia" w:ascii="Times New Roman" w:hAnsi="Times New Roman"/>
                      <w:color w:val="auto"/>
                      <w:szCs w:val="21"/>
                      <w:highlight w:val="none"/>
                    </w:rPr>
                    <w:t>）及其修改单中的二级标准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hint="eastAsia" w:ascii="Times New Roman" w:hAnsi="Times New Roman" w:eastAsia="宋体"/>
                      <w:color w:val="auto"/>
                      <w:szCs w:val="21"/>
                      <w:highlight w:val="none"/>
                      <w:lang w:val="en-US" w:eastAsia="zh-CN"/>
                    </w:rPr>
                  </w:pPr>
                  <w:r>
                    <w:rPr>
                      <w:rFonts w:hint="eastAsia"/>
                      <w:color w:val="auto"/>
                      <w:szCs w:val="21"/>
                      <w:highlight w:val="none"/>
                      <w:lang w:val="en-US" w:eastAsia="zh-CN"/>
                    </w:rPr>
                    <w:t>3</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声环境功能区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kern w:val="2"/>
                      <w:sz w:val="21"/>
                      <w:szCs w:val="21"/>
                      <w:highlight w:val="none"/>
                    </w:rPr>
                    <w:t>根据</w:t>
                  </w:r>
                  <w:r>
                    <w:rPr>
                      <w:rFonts w:hint="eastAsia"/>
                      <w:color w:val="auto"/>
                      <w:kern w:val="2"/>
                      <w:sz w:val="21"/>
                      <w:szCs w:val="21"/>
                      <w:highlight w:val="none"/>
                      <w:lang w:eastAsia="zh-CN"/>
                    </w:rPr>
                    <w:t>《关于印发&lt;江门市声环境功能区划&gt;的通知》（江环（2019）378号）</w:t>
                  </w:r>
                  <w:r>
                    <w:rPr>
                      <w:rFonts w:hint="eastAsia" w:ascii="Times New Roman" w:hAnsi="Times New Roman"/>
                      <w:color w:val="auto"/>
                      <w:kern w:val="2"/>
                      <w:sz w:val="21"/>
                      <w:szCs w:val="21"/>
                      <w:highlight w:val="none"/>
                    </w:rPr>
                    <w:t>的相关规定，</w:t>
                  </w:r>
                  <w:r>
                    <w:rPr>
                      <w:rFonts w:hint="eastAsia" w:ascii="Times New Roman" w:hAnsi="Times New Roman"/>
                      <w:color w:val="auto"/>
                      <w:kern w:val="2"/>
                      <w:sz w:val="21"/>
                      <w:szCs w:val="21"/>
                      <w:highlight w:val="none"/>
                      <w:shd w:val="clear" w:color="auto" w:fill="auto"/>
                      <w:lang w:eastAsia="zh-CN"/>
                    </w:rPr>
                    <w:t>项目</w:t>
                  </w:r>
                  <w:r>
                    <w:rPr>
                      <w:rFonts w:hint="eastAsia"/>
                      <w:color w:val="auto"/>
                      <w:kern w:val="2"/>
                      <w:sz w:val="21"/>
                      <w:szCs w:val="21"/>
                      <w:highlight w:val="none"/>
                      <w:shd w:val="clear" w:color="auto" w:fill="auto"/>
                      <w:lang w:eastAsia="zh-CN"/>
                    </w:rPr>
                    <w:t>西面相邻为合龙</w:t>
                  </w:r>
                  <w:r>
                    <w:rPr>
                      <w:rFonts w:hint="eastAsia" w:ascii="Times New Roman" w:hAnsi="Times New Roman"/>
                      <w:color w:val="auto"/>
                      <w:kern w:val="2"/>
                      <w:sz w:val="21"/>
                      <w:szCs w:val="21"/>
                      <w:highlight w:val="none"/>
                      <w:shd w:val="clear" w:color="auto" w:fill="auto"/>
                      <w:lang w:eastAsia="zh-CN"/>
                    </w:rPr>
                    <w:t>路，该道路</w:t>
                  </w:r>
                  <w:r>
                    <w:rPr>
                      <w:rFonts w:hint="eastAsia"/>
                      <w:color w:val="auto"/>
                      <w:kern w:val="2"/>
                      <w:sz w:val="21"/>
                      <w:szCs w:val="21"/>
                      <w:highlight w:val="none"/>
                      <w:shd w:val="clear" w:color="auto" w:fill="auto"/>
                      <w:lang w:eastAsia="zh-CN"/>
                    </w:rPr>
                    <w:t>为园区内道路，</w:t>
                  </w:r>
                  <w:r>
                    <w:rPr>
                      <w:rFonts w:hint="eastAsia" w:ascii="Times New Roman" w:hAnsi="Times New Roman"/>
                      <w:color w:val="auto"/>
                      <w:kern w:val="2"/>
                      <w:sz w:val="21"/>
                      <w:szCs w:val="21"/>
                      <w:highlight w:val="none"/>
                      <w:shd w:val="clear" w:color="auto" w:fill="auto"/>
                      <w:lang w:eastAsia="zh-CN"/>
                    </w:rPr>
                    <w:t>不属于4a类声环境功能区类别，因此</w:t>
                  </w:r>
                  <w:r>
                    <w:rPr>
                      <w:rFonts w:hint="eastAsia"/>
                      <w:color w:val="auto"/>
                      <w:kern w:val="2"/>
                      <w:sz w:val="21"/>
                      <w:szCs w:val="21"/>
                      <w:highlight w:val="none"/>
                      <w:shd w:val="clear" w:color="auto" w:fill="auto"/>
                      <w:lang w:eastAsia="zh-CN"/>
                    </w:rPr>
                    <w:t>本项目属</w:t>
                  </w:r>
                  <w:r>
                    <w:rPr>
                      <w:rFonts w:hint="eastAsia" w:ascii="Times New Roman" w:hAnsi="Times New Roman"/>
                      <w:color w:val="auto"/>
                      <w:szCs w:val="21"/>
                      <w:highlight w:val="none"/>
                      <w:lang w:val="en-US" w:eastAsia="zh-CN"/>
                    </w:rPr>
                    <w:t>2</w:t>
                  </w:r>
                  <w:r>
                    <w:rPr>
                      <w:rFonts w:hint="eastAsia" w:ascii="Times New Roman" w:hAnsi="Times New Roman"/>
                      <w:color w:val="auto"/>
                      <w:szCs w:val="21"/>
                      <w:highlight w:val="none"/>
                    </w:rPr>
                    <w:t>类声功能区，执行《声环境质量标准》（</w:t>
                  </w:r>
                  <w:r>
                    <w:rPr>
                      <w:rFonts w:ascii="Times New Roman" w:hAnsi="Times New Roman"/>
                      <w:color w:val="auto"/>
                      <w:szCs w:val="21"/>
                      <w:highlight w:val="none"/>
                    </w:rPr>
                    <w:t>GB3096-2008</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2</w:t>
                  </w:r>
                  <w:r>
                    <w:rPr>
                      <w:rFonts w:hint="eastAsia" w:ascii="Times New Roman" w:hAnsi="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4</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基本农田保护区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5</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水库库区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6</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水源保护区</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ascii="Times New Roman" w:hAnsi="Times New Roman"/>
                      <w:color w:val="auto"/>
                      <w:szCs w:val="21"/>
                      <w:highlight w:val="none"/>
                    </w:rPr>
                    <w:t>7</w:t>
                  </w:r>
                </w:p>
              </w:tc>
              <w:tc>
                <w:tcPr>
                  <w:tcW w:w="2410"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城市污水集水范围</w:t>
                  </w:r>
                </w:p>
              </w:tc>
              <w:tc>
                <w:tcPr>
                  <w:tcW w:w="5671"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 w:firstLineChars="10"/>
                    <w:jc w:val="center"/>
                    <w:rPr>
                      <w:rFonts w:ascii="Times New Roman" w:hAnsi="Times New Roman"/>
                      <w:color w:val="auto"/>
                      <w:szCs w:val="21"/>
                      <w:highlight w:val="none"/>
                    </w:rPr>
                  </w:pPr>
                  <w:r>
                    <w:rPr>
                      <w:rFonts w:hint="eastAsia" w:ascii="Times New Roman" w:hAnsi="Times New Roman"/>
                      <w:color w:val="auto"/>
                      <w:szCs w:val="21"/>
                      <w:highlight w:val="none"/>
                    </w:rPr>
                    <w:t>是，属</w:t>
                  </w:r>
                  <w:r>
                    <w:rPr>
                      <w:rFonts w:hint="eastAsia"/>
                      <w:color w:val="auto"/>
                      <w:highlight w:val="none"/>
                      <w:lang w:eastAsia="zh-CN"/>
                    </w:rPr>
                    <w:t>开平市水口污水处理厂</w:t>
                  </w:r>
                  <w:r>
                    <w:rPr>
                      <w:rFonts w:hint="eastAsia" w:ascii="Times New Roman" w:hAnsi="Times New Roman"/>
                      <w:color w:val="auto"/>
                      <w:szCs w:val="21"/>
                      <w:highlight w:val="none"/>
                    </w:rPr>
                    <w:t>纳污范围</w:t>
                  </w:r>
                </w:p>
              </w:tc>
            </w:tr>
          </w:tbl>
          <w:p>
            <w:pPr>
              <w:pStyle w:val="25"/>
              <w:spacing w:line="360" w:lineRule="auto"/>
              <w:ind w:firstLine="480" w:firstLineChars="200"/>
              <w:rPr>
                <w:b/>
                <w:bCs/>
                <w:color w:val="auto"/>
                <w:sz w:val="28"/>
                <w:highlight w:val="none"/>
                <w:shd w:val="clear" w:color="auto" w:fill="auto"/>
              </w:rPr>
            </w:pPr>
            <w:r>
              <w:rPr>
                <w:color w:val="auto"/>
                <w:szCs w:val="24"/>
                <w:highlight w:val="none"/>
              </w:rPr>
              <w:t>根据《建设项目环境影响评价技术导则—地下水环境》（HJ610-2016）附录A地下水环境影响评价行业分类表，本项目属于“</w:t>
            </w:r>
            <w:r>
              <w:rPr>
                <w:rFonts w:hint="eastAsia"/>
                <w:color w:val="auto"/>
                <w:szCs w:val="24"/>
                <w:highlight w:val="none"/>
                <w:lang w:val="en-US" w:eastAsia="zh-CN"/>
              </w:rPr>
              <w:t>53</w:t>
            </w:r>
            <w:r>
              <w:rPr>
                <w:color w:val="auto"/>
                <w:szCs w:val="24"/>
                <w:highlight w:val="none"/>
              </w:rPr>
              <w:t>、</w:t>
            </w:r>
            <w:r>
              <w:rPr>
                <w:rFonts w:hint="eastAsia"/>
                <w:color w:val="auto"/>
                <w:szCs w:val="24"/>
                <w:highlight w:val="none"/>
                <w:lang w:eastAsia="zh-CN"/>
              </w:rPr>
              <w:t>金属制品加工</w:t>
            </w:r>
            <w:r>
              <w:rPr>
                <w:color w:val="auto"/>
                <w:szCs w:val="24"/>
                <w:highlight w:val="none"/>
              </w:rPr>
              <w:t>制造”中的报告表类别，对应的是Ⅳ类项目，不开展地下水环境影响评价。</w:t>
            </w:r>
          </w:p>
          <w:p>
            <w:pPr>
              <w:numPr>
                <w:ilvl w:val="0"/>
                <w:numId w:val="3"/>
              </w:numPr>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kern w:val="0"/>
                <w:sz w:val="24"/>
                <w:highlight w:val="none"/>
              </w:rPr>
              <w:t>环境空气质量现状</w:t>
            </w:r>
          </w:p>
          <w:p>
            <w:pPr>
              <w:adjustRightInd w:val="0"/>
              <w:snapToGrid w:val="0"/>
              <w:spacing w:line="360" w:lineRule="auto"/>
              <w:ind w:firstLine="480" w:firstLineChars="200"/>
              <w:rPr>
                <w:rFonts w:hint="eastAsia" w:ascii="Times New Roman" w:hAnsi="Times New Roman" w:eastAsia="宋体"/>
                <w:color w:val="auto"/>
                <w:kern w:val="0"/>
                <w:sz w:val="24"/>
                <w:highlight w:val="none"/>
                <w:lang w:eastAsia="zh-CN"/>
              </w:rPr>
            </w:pPr>
            <w:r>
              <w:rPr>
                <w:rFonts w:hint="eastAsia"/>
                <w:color w:val="auto"/>
                <w:kern w:val="0"/>
                <w:sz w:val="24"/>
                <w:highlight w:val="none"/>
                <w:lang w:eastAsia="zh-CN"/>
              </w:rPr>
              <w:t>（</w:t>
            </w:r>
            <w:r>
              <w:rPr>
                <w:rFonts w:hint="eastAsia"/>
                <w:color w:val="auto"/>
                <w:kern w:val="0"/>
                <w:sz w:val="24"/>
                <w:highlight w:val="none"/>
                <w:lang w:val="en-US" w:eastAsia="zh-CN"/>
              </w:rPr>
              <w:t>1</w:t>
            </w:r>
            <w:r>
              <w:rPr>
                <w:rFonts w:hint="eastAsia"/>
                <w:color w:val="auto"/>
                <w:kern w:val="0"/>
                <w:sz w:val="24"/>
                <w:highlight w:val="none"/>
                <w:lang w:eastAsia="zh-CN"/>
              </w:rPr>
              <w:t>）空气质量达标区判定</w:t>
            </w:r>
          </w:p>
          <w:p>
            <w:pPr>
              <w:adjustRightInd w:val="0"/>
              <w:snapToGrid w:val="0"/>
              <w:spacing w:line="360" w:lineRule="auto"/>
              <w:ind w:firstLine="480" w:firstLineChars="200"/>
              <w:rPr>
                <w:rFonts w:hint="eastAsia"/>
                <w:color w:val="auto"/>
                <w:highlight w:val="none"/>
              </w:rPr>
            </w:pPr>
            <w:r>
              <w:rPr>
                <w:rFonts w:hint="eastAsia" w:cs="Times New Roman"/>
                <w:color w:val="auto"/>
                <w:sz w:val="24"/>
                <w:szCs w:val="24"/>
                <w:highlight w:val="none"/>
                <w:lang w:eastAsia="zh-CN"/>
              </w:rPr>
              <w:t>根据《江门市环境保护规划》（2006-2020年），</w:t>
            </w:r>
            <w:r>
              <w:rPr>
                <w:rFonts w:hint="eastAsia" w:ascii="Times New Roman" w:hAnsi="Times New Roman"/>
                <w:color w:val="auto"/>
                <w:kern w:val="0"/>
                <w:sz w:val="24"/>
                <w:highlight w:val="none"/>
              </w:rPr>
              <w:t>本项目所在地属环境空气质量二类区域，执行《环境空气质量标准》（GB3095-2012）中的二级标准。根据《2018年江门市环境质量状况（公报）》，</w:t>
            </w:r>
            <w:r>
              <w:rPr>
                <w:rFonts w:hint="eastAsia"/>
                <w:color w:val="auto"/>
                <w:kern w:val="0"/>
                <w:sz w:val="24"/>
                <w:highlight w:val="none"/>
                <w:lang w:eastAsia="zh-CN"/>
              </w:rPr>
              <w:t>江门市</w:t>
            </w:r>
            <w:r>
              <w:rPr>
                <w:rFonts w:hint="eastAsia"/>
                <w:color w:val="auto"/>
                <w:kern w:val="0"/>
                <w:sz w:val="24"/>
                <w:highlight w:val="none"/>
                <w:lang w:val="en-US" w:eastAsia="zh-CN"/>
              </w:rPr>
              <w:t>2018年环境空气质量情况见下表。</w:t>
            </w:r>
          </w:p>
          <w:p>
            <w:pPr>
              <w:pStyle w:val="41"/>
              <w:jc w:val="center"/>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表3-</w:t>
            </w:r>
            <w:r>
              <w:rPr>
                <w:rFonts w:hint="eastAsia" w:cs="Times New Roman"/>
                <w:b/>
                <w:color w:val="auto"/>
                <w:kern w:val="2"/>
                <w:sz w:val="21"/>
                <w:szCs w:val="21"/>
                <w:highlight w:val="none"/>
                <w:lang w:val="en-US" w:eastAsia="zh-CN" w:bidi="ar-SA"/>
              </w:rPr>
              <w:t>2</w:t>
            </w:r>
            <w:r>
              <w:rPr>
                <w:rFonts w:hint="eastAsia" w:ascii="Times New Roman" w:hAnsi="Times New Roman" w:eastAsia="宋体" w:cs="Times New Roman"/>
                <w:b/>
                <w:color w:val="auto"/>
                <w:kern w:val="2"/>
                <w:sz w:val="21"/>
                <w:szCs w:val="21"/>
                <w:highlight w:val="none"/>
                <w:lang w:val="en-US" w:eastAsia="zh-CN" w:bidi="ar-SA"/>
              </w:rPr>
              <w:t xml:space="preserve"> 区域环境空气现状评价表</w:t>
            </w:r>
          </w:p>
          <w:tbl>
            <w:tblPr>
              <w:tblStyle w:val="35"/>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30"/>
              <w:gridCol w:w="1740"/>
              <w:gridCol w:w="873"/>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序号</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污染物</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年评价指标</w:t>
                  </w:r>
                </w:p>
              </w:tc>
              <w:tc>
                <w:tcPr>
                  <w:tcW w:w="873"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单位</w:t>
                  </w:r>
                </w:p>
              </w:tc>
              <w:tc>
                <w:tcPr>
                  <w:tcW w:w="1134"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现状</w:t>
                  </w:r>
                </w:p>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浓度</w:t>
                  </w:r>
                </w:p>
              </w:tc>
              <w:tc>
                <w:tcPr>
                  <w:tcW w:w="1134"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标准值</w:t>
                  </w:r>
                </w:p>
              </w:tc>
              <w:tc>
                <w:tcPr>
                  <w:tcW w:w="1134"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占标率</w:t>
                  </w:r>
                </w:p>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134"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达标</w:t>
                  </w:r>
                </w:p>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二氧化硫（SO</w:t>
                  </w:r>
                  <w:r>
                    <w:rPr>
                      <w:rFonts w:hint="eastAsia" w:ascii="Times New Roman" w:hAnsi="Times New Roman" w:eastAsia="宋体" w:cs="Times New Roman"/>
                      <w:b w:val="0"/>
                      <w:bCs/>
                      <w:color w:val="auto"/>
                      <w:kern w:val="2"/>
                      <w:sz w:val="21"/>
                      <w:szCs w:val="21"/>
                      <w:highlight w:val="none"/>
                      <w:vertAlign w:val="subscript"/>
                      <w:lang w:val="en-US" w:eastAsia="zh-CN" w:bidi="ar-SA"/>
                    </w:rPr>
                    <w:t>2</w:t>
                  </w: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年平均质量浓度</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μg/m³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9</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60</w:t>
                  </w:r>
                </w:p>
              </w:tc>
              <w:tc>
                <w:tcPr>
                  <w:tcW w:w="1134" w:type="dxa"/>
                  <w:vAlign w:val="center"/>
                </w:tcPr>
                <w:p>
                  <w:pPr>
                    <w:pStyle w:val="41"/>
                    <w:ind w:left="0" w:lef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15.00</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二氧化氮（NO</w:t>
                  </w:r>
                  <w:r>
                    <w:rPr>
                      <w:rFonts w:hint="eastAsia" w:ascii="Times New Roman" w:hAnsi="Times New Roman" w:eastAsia="宋体" w:cs="Times New Roman"/>
                      <w:b w:val="0"/>
                      <w:bCs/>
                      <w:color w:val="auto"/>
                      <w:kern w:val="2"/>
                      <w:sz w:val="21"/>
                      <w:szCs w:val="21"/>
                      <w:highlight w:val="none"/>
                      <w:vertAlign w:val="subscript"/>
                      <w:lang w:val="en-US" w:eastAsia="zh-CN" w:bidi="ar-SA"/>
                    </w:rPr>
                    <w:t>2</w:t>
                  </w: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年平均质量浓度</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μg/m³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35</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40</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87.50</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可吸入颗粒物</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年平均质量浓度</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μg/m³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56</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70</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80.00</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4</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细颗粒物（PM</w:t>
                  </w:r>
                  <w:r>
                    <w:rPr>
                      <w:rFonts w:hint="eastAsia" w:ascii="Times New Roman" w:hAnsi="Times New Roman" w:eastAsia="宋体" w:cs="Times New Roman"/>
                      <w:b w:val="0"/>
                      <w:bCs/>
                      <w:color w:val="auto"/>
                      <w:kern w:val="2"/>
                      <w:sz w:val="21"/>
                      <w:szCs w:val="21"/>
                      <w:highlight w:val="none"/>
                      <w:vertAlign w:val="subscript"/>
                      <w:lang w:val="en-US" w:eastAsia="zh-CN" w:bidi="ar-SA"/>
                    </w:rPr>
                    <w:t>2.5</w:t>
                  </w: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年平均质量浓</w:t>
                  </w:r>
                  <w:r>
                    <w:rPr>
                      <w:rFonts w:hint="eastAsia" w:cs="Times New Roman"/>
                      <w:b w:val="0"/>
                      <w:bCs/>
                      <w:color w:val="auto"/>
                      <w:kern w:val="2"/>
                      <w:sz w:val="21"/>
                      <w:szCs w:val="21"/>
                      <w:highlight w:val="none"/>
                      <w:vertAlign w:val="baseline"/>
                      <w:lang w:val="en-US" w:eastAsia="zh-CN" w:bidi="ar-SA"/>
                    </w:rPr>
                    <w:t>度</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μg/m³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31</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35</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88.57</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5</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一氧化碳</w:t>
                  </w:r>
                </w:p>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（CO）</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24 小时平均的第95 百分位数</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mg/m³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1.2</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4</w:t>
                  </w:r>
                </w:p>
              </w:tc>
              <w:tc>
                <w:tcPr>
                  <w:tcW w:w="1134" w:type="dxa"/>
                  <w:vAlign w:val="center"/>
                </w:tcPr>
                <w:p>
                  <w:pPr>
                    <w:pStyle w:val="41"/>
                    <w:ind w:left="0" w:lef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30.00</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6</w:t>
                  </w:r>
                </w:p>
              </w:tc>
              <w:tc>
                <w:tcPr>
                  <w:tcW w:w="123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臭氧（O</w:t>
                  </w:r>
                  <w:r>
                    <w:rPr>
                      <w:rFonts w:hint="eastAsia" w:ascii="Times New Roman" w:hAnsi="Times New Roman" w:eastAsia="宋体" w:cs="Times New Roman"/>
                      <w:b w:val="0"/>
                      <w:bCs/>
                      <w:color w:val="auto"/>
                      <w:kern w:val="2"/>
                      <w:sz w:val="21"/>
                      <w:szCs w:val="21"/>
                      <w:highlight w:val="none"/>
                      <w:vertAlign w:val="subscript"/>
                      <w:lang w:val="en-US" w:eastAsia="zh-CN" w:bidi="ar-SA"/>
                    </w:rPr>
                    <w:t>3</w:t>
                  </w: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c>
                <w:tcPr>
                  <w:tcW w:w="1740" w:type="dxa"/>
                  <w:vAlign w:val="center"/>
                </w:tcPr>
                <w:p>
                  <w:pPr>
                    <w:pStyle w:val="41"/>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日最大8小时平均浓度的第90百分位数</w:t>
                  </w:r>
                </w:p>
              </w:tc>
              <w:tc>
                <w:tcPr>
                  <w:tcW w:w="873"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μg/m³</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184</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Arial" w:hAnsi="Arial" w:cs="Arial"/>
                      <w:b w:val="0"/>
                      <w:bCs/>
                      <w:color w:val="auto"/>
                      <w:kern w:val="2"/>
                      <w:sz w:val="21"/>
                      <w:szCs w:val="21"/>
                      <w:highlight w:val="none"/>
                      <w:vertAlign w:val="baseline"/>
                      <w:lang w:val="en-US" w:eastAsia="zh-CN" w:bidi="ar-SA"/>
                    </w:rPr>
                    <w:t>≤</w:t>
                  </w:r>
                  <w:r>
                    <w:rPr>
                      <w:rFonts w:hint="eastAsia" w:cs="Times New Roman"/>
                      <w:b w:val="0"/>
                      <w:bCs/>
                      <w:color w:val="auto"/>
                      <w:kern w:val="2"/>
                      <w:sz w:val="21"/>
                      <w:szCs w:val="21"/>
                      <w:highlight w:val="none"/>
                      <w:vertAlign w:val="baseline"/>
                      <w:lang w:val="en-US" w:eastAsia="zh-CN" w:bidi="ar-SA"/>
                    </w:rPr>
                    <w:t>160</w:t>
                  </w:r>
                </w:p>
              </w:tc>
              <w:tc>
                <w:tcPr>
                  <w:tcW w:w="1134" w:type="dxa"/>
                  <w:vAlign w:val="center"/>
                </w:tcPr>
                <w:p>
                  <w:pPr>
                    <w:pStyle w:val="41"/>
                    <w:ind w:left="0" w:leftChars="0" w:firstLine="0" w:firstLine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115.00</w:t>
                  </w:r>
                </w:p>
              </w:tc>
              <w:tc>
                <w:tcPr>
                  <w:tcW w:w="1134" w:type="dxa"/>
                  <w:vAlign w:val="center"/>
                </w:tcPr>
                <w:p>
                  <w:pPr>
                    <w:ind w:left="0" w:leftChars="0" w:firstLine="0" w:firstLine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b w:val="0"/>
                      <w:bCs/>
                      <w:color w:val="auto"/>
                      <w:highlight w:val="none"/>
                      <w:lang w:eastAsia="zh-CN"/>
                    </w:rPr>
                    <w:t>不</w:t>
                  </w:r>
                  <w:r>
                    <w:rPr>
                      <w:rFonts w:hint="eastAsia"/>
                      <w:b w:val="0"/>
                      <w:bCs/>
                      <w:color w:val="auto"/>
                      <w:highlight w:val="none"/>
                    </w:rPr>
                    <w:t>达标</w:t>
                  </w:r>
                </w:p>
              </w:tc>
            </w:tr>
          </w:tbl>
          <w:p>
            <w:pPr>
              <w:pStyle w:val="41"/>
              <w:spacing w:line="360" w:lineRule="auto"/>
              <w:jc w:val="both"/>
              <w:rPr>
                <w:rFonts w:hint="eastAsia" w:cs="Times New Roman"/>
                <w:b w:val="0"/>
                <w:bCs/>
                <w:color w:val="auto"/>
                <w:kern w:val="2"/>
                <w:sz w:val="24"/>
                <w:szCs w:val="24"/>
                <w:highlight w:val="none"/>
                <w:vertAlign w:val="baseline"/>
                <w:lang w:val="en-US" w:eastAsia="zh-CN" w:bidi="ar-SA"/>
              </w:rPr>
            </w:pPr>
            <w:r>
              <w:rPr>
                <w:rFonts w:hint="eastAsia" w:cs="Times New Roman"/>
                <w:color w:val="auto"/>
                <w:kern w:val="2"/>
                <w:sz w:val="24"/>
                <w:szCs w:val="24"/>
                <w:highlight w:val="none"/>
                <w:lang w:val="en-US" w:eastAsia="zh-CN" w:bidi="ar-SA"/>
              </w:rPr>
              <w:t>由上表可见，该地区</w:t>
            </w:r>
            <w:r>
              <w:rPr>
                <w:rFonts w:hint="eastAsia" w:ascii="Times New Roman" w:hAnsi="Times New Roman" w:eastAsia="宋体" w:cs="Times New Roman"/>
                <w:b w:val="0"/>
                <w:bCs/>
                <w:color w:val="auto"/>
                <w:kern w:val="2"/>
                <w:sz w:val="24"/>
                <w:szCs w:val="24"/>
                <w:highlight w:val="none"/>
                <w:vertAlign w:val="baseline"/>
                <w:lang w:val="en-US" w:eastAsia="zh-CN" w:bidi="ar-SA"/>
              </w:rPr>
              <w:t>SO</w:t>
            </w:r>
            <w:r>
              <w:rPr>
                <w:rFonts w:hint="eastAsia" w:ascii="Times New Roman" w:hAnsi="Times New Roman" w:eastAsia="宋体" w:cs="Times New Roman"/>
                <w:b w:val="0"/>
                <w:bCs/>
                <w:color w:val="auto"/>
                <w:kern w:val="2"/>
                <w:sz w:val="24"/>
                <w:szCs w:val="24"/>
                <w:highlight w:val="none"/>
                <w:vertAlign w:val="subscript"/>
                <w:lang w:val="en-US" w:eastAsia="zh-CN" w:bidi="ar-SA"/>
              </w:rPr>
              <w:t>2</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NO</w:t>
            </w:r>
            <w:r>
              <w:rPr>
                <w:rFonts w:hint="eastAsia" w:ascii="Times New Roman" w:hAnsi="Times New Roman" w:eastAsia="宋体" w:cs="Times New Roman"/>
                <w:b w:val="0"/>
                <w:bCs/>
                <w:color w:val="auto"/>
                <w:kern w:val="2"/>
                <w:sz w:val="24"/>
                <w:szCs w:val="24"/>
                <w:highlight w:val="none"/>
                <w:vertAlign w:val="subscript"/>
                <w:lang w:val="en-US" w:eastAsia="zh-CN" w:bidi="ar-SA"/>
              </w:rPr>
              <w:t>2</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PM</w:t>
            </w:r>
            <w:r>
              <w:rPr>
                <w:rFonts w:hint="eastAsia" w:ascii="Times New Roman" w:hAnsi="Times New Roman" w:eastAsia="宋体" w:cs="Times New Roman"/>
                <w:b w:val="0"/>
                <w:bCs/>
                <w:color w:val="auto"/>
                <w:kern w:val="2"/>
                <w:sz w:val="24"/>
                <w:szCs w:val="24"/>
                <w:highlight w:val="none"/>
                <w:vertAlign w:val="subscript"/>
                <w:lang w:val="en-US" w:eastAsia="zh-CN" w:bidi="ar-SA"/>
              </w:rPr>
              <w:t>2.5</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PM</w:t>
            </w:r>
            <w:r>
              <w:rPr>
                <w:rFonts w:hint="eastAsia" w:cs="Times New Roman"/>
                <w:b w:val="0"/>
                <w:bCs/>
                <w:color w:val="auto"/>
                <w:kern w:val="2"/>
                <w:sz w:val="24"/>
                <w:szCs w:val="24"/>
                <w:highlight w:val="none"/>
                <w:vertAlign w:val="subscript"/>
                <w:lang w:val="en-US" w:eastAsia="zh-CN" w:bidi="ar-SA"/>
              </w:rPr>
              <w:t>10</w:t>
            </w:r>
            <w:r>
              <w:rPr>
                <w:rFonts w:hint="eastAsia" w:cs="Times New Roman"/>
                <w:b w:val="0"/>
                <w:bCs/>
                <w:color w:val="auto"/>
                <w:kern w:val="2"/>
                <w:sz w:val="24"/>
                <w:szCs w:val="24"/>
                <w:highlight w:val="none"/>
                <w:vertAlign w:val="baseline"/>
                <w:lang w:val="en-US" w:eastAsia="zh-CN" w:bidi="ar-SA"/>
              </w:rPr>
              <w:t>年平均质量浓度以及CO日均值第95百分位数浓度均满足《环境空气质量标准》（GB3095-2012）及2018年修改单二级标准要求，O</w:t>
            </w:r>
            <w:r>
              <w:rPr>
                <w:rFonts w:hint="eastAsia" w:cs="Times New Roman"/>
                <w:b w:val="0"/>
                <w:bCs/>
                <w:color w:val="auto"/>
                <w:kern w:val="2"/>
                <w:sz w:val="24"/>
                <w:szCs w:val="24"/>
                <w:highlight w:val="none"/>
                <w:vertAlign w:val="subscript"/>
                <w:lang w:val="en-US" w:eastAsia="zh-CN" w:bidi="ar-SA"/>
              </w:rPr>
              <w:t>3</w:t>
            </w:r>
            <w:r>
              <w:rPr>
                <w:rFonts w:hint="eastAsia" w:cs="Times New Roman"/>
                <w:b w:val="0"/>
                <w:bCs/>
                <w:color w:val="auto"/>
                <w:kern w:val="2"/>
                <w:sz w:val="24"/>
                <w:szCs w:val="24"/>
                <w:highlight w:val="none"/>
                <w:vertAlign w:val="baseline"/>
                <w:lang w:val="en-US" w:eastAsia="zh-CN" w:bidi="ar-SA"/>
              </w:rPr>
              <w:t>日最大8小时平均第90百分位数不能满足《环境空气质量标准》（GB3095-2012）及2018年修改单二级标准要求，故该区域为环境空气质量不达标区域。</w:t>
            </w:r>
          </w:p>
          <w:p>
            <w:pPr>
              <w:pStyle w:val="41"/>
              <w:spacing w:line="360" w:lineRule="auto"/>
              <w:jc w:val="both"/>
              <w:rPr>
                <w:rFonts w:hint="eastAsia" w:ascii="Times New Roman" w:hAnsi="Times New Roman" w:eastAsia="宋体" w:cs="Times New Roman"/>
                <w:color w:val="auto"/>
                <w:kern w:val="2"/>
                <w:sz w:val="24"/>
                <w:szCs w:val="22"/>
                <w:highlight w:val="none"/>
                <w:lang w:val="en-US" w:eastAsia="zh-CN" w:bidi="ar-SA"/>
              </w:rPr>
            </w:pPr>
            <w:r>
              <w:rPr>
                <w:rFonts w:hint="eastAsia"/>
                <w:color w:val="auto"/>
                <w:sz w:val="24"/>
                <w:highlight w:val="none"/>
              </w:rPr>
              <w:t>为改善环境质量，江门市已印发《江门市环境空气质量限期达标规划（2018-2020年）》，通过调整产业结构、优化工业布局；优化能源结构，提高清洁能源使用率；强化环境监管，加大工业园减排力度；调整运输结构，强化移动原污染防治；加强精细化管理，深化面源污染治理；强化能力建设，提高环境管理水平；健全法律法规体系，完善 环境管理政策等大气污染防治强化措施，实行区域内2020年环境空气质量全面达标，环境空气质量指标能稳定达到</w:t>
            </w:r>
            <w:r>
              <w:rPr>
                <w:color w:val="auto"/>
                <w:sz w:val="24"/>
                <w:highlight w:val="none"/>
              </w:rPr>
              <w:t>《环境空气质量标准》（</w:t>
            </w:r>
            <w:r>
              <w:rPr>
                <w:rFonts w:eastAsia="TimesNewRomanPSMT"/>
                <w:color w:val="auto"/>
                <w:sz w:val="24"/>
                <w:highlight w:val="none"/>
              </w:rPr>
              <w:t>GB3095-2012</w:t>
            </w:r>
            <w:r>
              <w:rPr>
                <w:color w:val="auto"/>
                <w:sz w:val="24"/>
                <w:highlight w:val="none"/>
              </w:rPr>
              <w:t>）及</w:t>
            </w:r>
            <w:r>
              <w:rPr>
                <w:rFonts w:eastAsia="TimesNewRomanPSMT"/>
                <w:color w:val="auto"/>
                <w:sz w:val="24"/>
                <w:highlight w:val="none"/>
              </w:rPr>
              <w:t>2018</w:t>
            </w:r>
            <w:r>
              <w:rPr>
                <w:rFonts w:hint="eastAsia" w:eastAsia="宋体"/>
                <w:color w:val="auto"/>
                <w:sz w:val="24"/>
                <w:highlight w:val="none"/>
                <w:lang w:eastAsia="zh-CN"/>
              </w:rPr>
              <w:t>年</w:t>
            </w:r>
            <w:r>
              <w:rPr>
                <w:color w:val="auto"/>
                <w:sz w:val="24"/>
                <w:highlight w:val="none"/>
              </w:rPr>
              <w:t>修改单二级标准要求</w:t>
            </w:r>
            <w:r>
              <w:rPr>
                <w:rFonts w:hint="eastAsia"/>
                <w:color w:val="auto"/>
                <w:sz w:val="24"/>
                <w:highlight w:val="none"/>
              </w:rPr>
              <w:t>。</w:t>
            </w:r>
          </w:p>
          <w:p>
            <w:pPr>
              <w:pStyle w:val="41"/>
              <w:spacing w:line="360" w:lineRule="auto"/>
              <w:jc w:val="both"/>
              <w:rPr>
                <w:rFonts w:hint="eastAsia" w:ascii="Times New Roman" w:hAnsi="Times New Roman" w:eastAsia="宋体"/>
                <w:b w:val="0"/>
                <w:bCs/>
                <w:color w:val="auto"/>
                <w:szCs w:val="24"/>
                <w:highlight w:val="none"/>
                <w:shd w:val="clear" w:color="auto" w:fill="auto"/>
              </w:rPr>
            </w:pPr>
            <w:r>
              <w:rPr>
                <w:rFonts w:hint="eastAsia" w:ascii="Times New Roman" w:hAnsi="Times New Roman" w:eastAsia="宋体" w:cs="Times New Roman"/>
                <w:color w:val="auto"/>
                <w:kern w:val="2"/>
                <w:sz w:val="24"/>
                <w:szCs w:val="22"/>
                <w:highlight w:val="none"/>
                <w:lang w:val="en-US" w:eastAsia="zh-CN" w:bidi="ar-SA"/>
              </w:rPr>
              <w:t xml:space="preserve">2、地表水环境质量现状 </w:t>
            </w:r>
          </w:p>
          <w:p>
            <w:pPr>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eastAsia="宋体" w:cs="Times New Roman"/>
                <w:color w:val="auto"/>
                <w:kern w:val="2"/>
                <w:sz w:val="24"/>
                <w:szCs w:val="22"/>
                <w:highlight w:val="none"/>
                <w:lang w:val="en-US" w:eastAsia="zh-CN" w:bidi="ar-SA"/>
              </w:rPr>
              <w:t>项目所在地属</w:t>
            </w:r>
            <w:r>
              <w:rPr>
                <w:rFonts w:hint="eastAsia" w:cs="Times New Roman"/>
                <w:color w:val="auto"/>
                <w:kern w:val="2"/>
                <w:sz w:val="24"/>
                <w:szCs w:val="22"/>
                <w:highlight w:val="none"/>
                <w:lang w:val="en-US" w:eastAsia="zh-CN" w:bidi="ar-SA"/>
              </w:rPr>
              <w:t>开平市水口污水处理厂</w:t>
            </w:r>
            <w:r>
              <w:rPr>
                <w:rFonts w:hint="eastAsia" w:ascii="Times New Roman" w:hAnsi="Times New Roman" w:eastAsia="宋体" w:cs="Times New Roman"/>
                <w:color w:val="auto"/>
                <w:kern w:val="2"/>
                <w:sz w:val="24"/>
                <w:szCs w:val="22"/>
                <w:highlight w:val="none"/>
                <w:lang w:val="en-US" w:eastAsia="zh-CN" w:bidi="ar-SA"/>
              </w:rPr>
              <w:t>纳污范围，根据《开平市水口污水处理厂提标改造工程项目》环境影响评价报告表与其批复（开环批[2018]168号），污水处理厂处理后排入污水处理厂</w:t>
            </w:r>
            <w:r>
              <w:rPr>
                <w:rFonts w:hint="eastAsia" w:cs="Times New Roman"/>
                <w:color w:val="auto"/>
                <w:kern w:val="2"/>
                <w:sz w:val="24"/>
                <w:szCs w:val="22"/>
                <w:highlight w:val="none"/>
                <w:lang w:val="en-US" w:eastAsia="zh-CN" w:bidi="ar-SA"/>
              </w:rPr>
              <w:t>最终</w:t>
            </w:r>
            <w:r>
              <w:rPr>
                <w:rFonts w:hint="eastAsia" w:ascii="Times New Roman" w:hAnsi="Times New Roman" w:eastAsia="宋体" w:cs="Times New Roman"/>
                <w:color w:val="auto"/>
                <w:kern w:val="2"/>
                <w:sz w:val="24"/>
                <w:szCs w:val="22"/>
                <w:highlight w:val="none"/>
                <w:lang w:val="en-US" w:eastAsia="zh-CN" w:bidi="ar-SA"/>
              </w:rPr>
              <w:t>进入潭江。纳污水体</w:t>
            </w:r>
            <w:r>
              <w:rPr>
                <w:rFonts w:hint="eastAsia" w:ascii="Times New Roman" w:hAnsi="Times New Roman"/>
                <w:color w:val="auto"/>
                <w:kern w:val="0"/>
                <w:sz w:val="24"/>
                <w:highlight w:val="none"/>
              </w:rPr>
              <w:t>潭江执行《地表水环境质量标准》（GB3838-2002）中的 II 类标准。</w:t>
            </w:r>
          </w:p>
          <w:p>
            <w:pPr>
              <w:pStyle w:val="17"/>
              <w:spacing w:before="0" w:after="0" w:line="360" w:lineRule="auto"/>
              <w:ind w:firstLine="470" w:firstLineChars="196"/>
              <w:rPr>
                <w:rFonts w:ascii="Times New Roman" w:hAnsi="Times New Roman" w:eastAsia="宋体"/>
                <w:b w:val="0"/>
                <w:bCs/>
                <w:color w:val="auto"/>
                <w:szCs w:val="24"/>
                <w:highlight w:val="none"/>
                <w:shd w:val="clear" w:color="auto" w:fill="auto"/>
              </w:rPr>
            </w:pPr>
            <w:r>
              <w:rPr>
                <w:rFonts w:ascii="Times New Roman" w:hAnsi="Times New Roman" w:eastAsia="宋体"/>
                <w:b w:val="0"/>
                <w:bCs/>
                <w:color w:val="auto"/>
                <w:szCs w:val="24"/>
                <w:highlight w:val="none"/>
                <w:shd w:val="clear" w:color="auto" w:fill="auto"/>
              </w:rPr>
              <w:t>根据江门市生态环境局发布的《2018年11月江门市江河水水质月报》，潭江干流牛湾（退潮）断面地表水水质未能达到《地表水环境质量标准》（GB3838-2002）中的</w:t>
            </w:r>
            <w:r>
              <w:rPr>
                <w:rFonts w:hint="eastAsia" w:ascii="Times New Roman" w:hAnsi="Times New Roman" w:eastAsia="宋体"/>
                <w:b w:val="0"/>
                <w:bCs/>
                <w:color w:val="auto"/>
                <w:szCs w:val="24"/>
                <w:highlight w:val="none"/>
                <w:shd w:val="clear" w:color="auto" w:fill="auto"/>
                <w:lang w:eastAsia="zh-CN"/>
              </w:rPr>
              <w:t>Ⅱ</w:t>
            </w:r>
            <w:r>
              <w:rPr>
                <w:rFonts w:ascii="Times New Roman" w:hAnsi="Times New Roman" w:eastAsia="宋体"/>
                <w:b w:val="0"/>
                <w:bCs/>
                <w:color w:val="auto"/>
                <w:szCs w:val="24"/>
                <w:highlight w:val="none"/>
                <w:shd w:val="clear" w:color="auto" w:fill="auto"/>
              </w:rPr>
              <w:t>类标准，主要超标项目为溶解氧，</w:t>
            </w:r>
            <w:r>
              <w:rPr>
                <w:rFonts w:hint="eastAsia" w:ascii="Times New Roman" w:hAnsi="Times New Roman" w:eastAsia="宋体"/>
                <w:b w:val="0"/>
                <w:bCs/>
                <w:color w:val="auto"/>
                <w:szCs w:val="24"/>
                <w:highlight w:val="none"/>
                <w:shd w:val="clear" w:color="auto" w:fill="auto"/>
                <w:lang w:eastAsia="zh-CN"/>
              </w:rPr>
              <w:t>月报数据详见下表和附件</w:t>
            </w:r>
            <w:r>
              <w:rPr>
                <w:rFonts w:hint="eastAsia" w:ascii="Times New Roman" w:hAnsi="Times New Roman" w:eastAsia="宋体"/>
                <w:b w:val="0"/>
                <w:bCs/>
                <w:color w:val="auto"/>
                <w:szCs w:val="24"/>
                <w:highlight w:val="none"/>
                <w:shd w:val="clear" w:color="auto" w:fill="auto"/>
                <w:lang w:val="en-US" w:eastAsia="zh-CN"/>
              </w:rPr>
              <w:t>8。</w:t>
            </w:r>
            <w:r>
              <w:rPr>
                <w:rFonts w:ascii="Times New Roman" w:hAnsi="Times New Roman" w:eastAsia="宋体"/>
                <w:b w:val="0"/>
                <w:bCs/>
                <w:color w:val="auto"/>
                <w:szCs w:val="24"/>
                <w:highlight w:val="none"/>
                <w:shd w:val="clear" w:color="auto" w:fill="auto"/>
              </w:rPr>
              <w:t>该断面位于污水处理厂下游约6.2km处，说明本项目地表水环境质量一般</w:t>
            </w:r>
            <w:r>
              <w:rPr>
                <w:rFonts w:hint="eastAsia" w:ascii="Times New Roman" w:hAnsi="Times New Roman" w:eastAsia="宋体"/>
                <w:b w:val="0"/>
                <w:bCs/>
                <w:color w:val="auto"/>
                <w:szCs w:val="24"/>
                <w:highlight w:val="none"/>
                <w:shd w:val="clear" w:color="auto" w:fill="auto"/>
                <w:lang w:eastAsia="zh-CN"/>
              </w:rPr>
              <w:t>，</w:t>
            </w:r>
            <w:r>
              <w:rPr>
                <w:rFonts w:hint="eastAsia" w:ascii="宋体" w:hAnsi="宋体" w:eastAsia="宋体"/>
                <w:b w:val="0"/>
                <w:bCs/>
                <w:color w:val="auto"/>
                <w:sz w:val="24"/>
                <w:highlight w:val="none"/>
              </w:rPr>
              <w:t>故该区域为</w:t>
            </w:r>
            <w:r>
              <w:rPr>
                <w:rFonts w:hint="eastAsia" w:hAnsi="宋体" w:eastAsia="宋体"/>
                <w:b w:val="0"/>
                <w:bCs/>
                <w:color w:val="auto"/>
                <w:sz w:val="24"/>
                <w:highlight w:val="none"/>
                <w:lang w:eastAsia="zh-CN"/>
              </w:rPr>
              <w:t>地表水环境</w:t>
            </w:r>
            <w:r>
              <w:rPr>
                <w:rFonts w:hint="eastAsia" w:ascii="宋体" w:hAnsi="宋体" w:eastAsia="宋体"/>
                <w:b w:val="0"/>
                <w:bCs/>
                <w:color w:val="auto"/>
                <w:sz w:val="24"/>
                <w:highlight w:val="none"/>
              </w:rPr>
              <w:t>质量不达标区域</w:t>
            </w:r>
            <w:r>
              <w:rPr>
                <w:rFonts w:ascii="Times New Roman" w:hAnsi="Times New Roman" w:eastAsia="宋体"/>
                <w:b w:val="0"/>
                <w:bCs/>
                <w:color w:val="auto"/>
                <w:szCs w:val="24"/>
                <w:highlight w:val="none"/>
                <w:shd w:val="clear" w:color="auto" w:fill="auto"/>
              </w:rPr>
              <w:t>。</w:t>
            </w:r>
          </w:p>
          <w:p>
            <w:pPr>
              <w:rPr>
                <w:rFonts w:ascii="Times New Roman" w:hAnsi="Times New Roman" w:eastAsia="宋体"/>
                <w:b w:val="0"/>
                <w:bCs/>
                <w:color w:val="auto"/>
                <w:szCs w:val="24"/>
                <w:highlight w:val="none"/>
                <w:shd w:val="clear" w:color="auto" w:fill="auto"/>
              </w:rPr>
            </w:pPr>
          </w:p>
          <w:p>
            <w:pPr>
              <w:pStyle w:val="2"/>
              <w:rPr>
                <w:rFonts w:ascii="Times New Roman" w:hAnsi="Times New Roman" w:eastAsia="宋体"/>
                <w:b w:val="0"/>
                <w:bCs/>
                <w:color w:val="auto"/>
                <w:szCs w:val="24"/>
                <w:highlight w:val="none"/>
                <w:shd w:val="clear" w:color="auto" w:fill="auto"/>
              </w:rPr>
            </w:pPr>
          </w:p>
          <w:p>
            <w:pPr>
              <w:pStyle w:val="4"/>
              <w:rPr>
                <w:color w:val="auto"/>
                <w:highlight w:val="none"/>
              </w:rPr>
            </w:pPr>
          </w:p>
          <w:p>
            <w:pPr>
              <w:pStyle w:val="88"/>
              <w:numPr>
                <w:ilvl w:val="0"/>
                <w:numId w:val="0"/>
              </w:numPr>
              <w:tabs>
                <w:tab w:val="left" w:pos="420"/>
              </w:tabs>
              <w:spacing w:line="360" w:lineRule="auto"/>
              <w:ind w:left="471" w:leftChars="0"/>
              <w:jc w:val="center"/>
              <w:rPr>
                <w:rFonts w:hint="eastAsia" w:eastAsia="宋体" w:cs="Times New Roman"/>
                <w:b/>
                <w:color w:val="auto"/>
                <w:sz w:val="21"/>
                <w:szCs w:val="21"/>
                <w:highlight w:val="none"/>
                <w:shd w:val="clear" w:color="auto" w:fill="auto"/>
              </w:rPr>
            </w:pPr>
            <w:r>
              <w:rPr>
                <w:rFonts w:hint="eastAsia" w:ascii="Times New Roman" w:hAnsi="Times New Roman" w:eastAsia="宋体" w:cs="Times New Roman"/>
                <w:b/>
                <w:color w:val="auto"/>
                <w:kern w:val="2"/>
                <w:sz w:val="21"/>
                <w:szCs w:val="21"/>
                <w:highlight w:val="none"/>
                <w:lang w:val="en-US" w:eastAsia="zh-CN" w:bidi="ar-SA"/>
              </w:rPr>
              <w:t>表3-</w:t>
            </w:r>
            <w:r>
              <w:rPr>
                <w:rFonts w:hint="eastAsia" w:eastAsia="宋体" w:cs="Times New Roman"/>
                <w:b/>
                <w:color w:val="auto"/>
                <w:kern w:val="2"/>
                <w:sz w:val="21"/>
                <w:szCs w:val="21"/>
                <w:highlight w:val="none"/>
                <w:lang w:val="en-US" w:eastAsia="zh-CN" w:bidi="ar-SA"/>
              </w:rPr>
              <w:t xml:space="preserve">3  </w:t>
            </w:r>
            <w:r>
              <w:rPr>
                <w:rFonts w:hint="eastAsia" w:eastAsia="宋体" w:cs="Times New Roman"/>
                <w:b/>
                <w:color w:val="auto"/>
                <w:sz w:val="21"/>
                <w:szCs w:val="21"/>
                <w:highlight w:val="none"/>
                <w:shd w:val="clear" w:color="auto" w:fill="auto"/>
              </w:rPr>
              <w:t>2018年11月江门市</w:t>
            </w:r>
            <w:r>
              <w:rPr>
                <w:rFonts w:hint="eastAsia" w:eastAsia="宋体" w:cs="Times New Roman"/>
                <w:b/>
                <w:color w:val="auto"/>
                <w:sz w:val="21"/>
                <w:szCs w:val="21"/>
                <w:highlight w:val="none"/>
                <w:shd w:val="clear" w:color="auto" w:fill="auto"/>
                <w:lang w:eastAsia="zh-CN"/>
              </w:rPr>
              <w:t>主要</w:t>
            </w:r>
            <w:r>
              <w:rPr>
                <w:rFonts w:hint="eastAsia" w:eastAsia="宋体" w:cs="Times New Roman"/>
                <w:b/>
                <w:color w:val="auto"/>
                <w:sz w:val="21"/>
                <w:szCs w:val="21"/>
                <w:highlight w:val="none"/>
                <w:shd w:val="clear" w:color="auto" w:fill="auto"/>
              </w:rPr>
              <w:t>江河水水质月报</w:t>
            </w:r>
          </w:p>
          <w:tbl>
            <w:tblPr>
              <w:tblStyle w:val="34"/>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3"/>
              <w:gridCol w:w="1170"/>
              <w:gridCol w:w="1380"/>
              <w:gridCol w:w="1365"/>
              <w:gridCol w:w="1305"/>
              <w:gridCol w:w="1127"/>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序号</w:t>
                  </w:r>
                </w:p>
              </w:tc>
              <w:tc>
                <w:tcPr>
                  <w:tcW w:w="1170" w:type="dxa"/>
                  <w:shd w:val="clear" w:color="auto" w:fill="auto"/>
                  <w:vAlign w:val="center"/>
                </w:tcPr>
                <w:p>
                  <w:pPr>
                    <w:spacing w:line="360" w:lineRule="auto"/>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水系</w:t>
                  </w:r>
                </w:p>
              </w:tc>
              <w:tc>
                <w:tcPr>
                  <w:tcW w:w="1380" w:type="dxa"/>
                  <w:shd w:val="clear" w:color="auto" w:fill="auto"/>
                  <w:vAlign w:val="center"/>
                </w:tcPr>
                <w:p>
                  <w:pPr>
                    <w:spacing w:line="360" w:lineRule="auto"/>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监测断面</w:t>
                  </w:r>
                </w:p>
              </w:tc>
              <w:tc>
                <w:tcPr>
                  <w:tcW w:w="1365"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水质目标</w:t>
                  </w:r>
                </w:p>
              </w:tc>
              <w:tc>
                <w:tcPr>
                  <w:tcW w:w="1305"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水质现状</w:t>
                  </w:r>
                </w:p>
              </w:tc>
              <w:tc>
                <w:tcPr>
                  <w:tcW w:w="1127" w:type="dxa"/>
                  <w:shd w:val="clear" w:color="auto" w:fill="auto"/>
                  <w:vAlign w:val="center"/>
                </w:tcPr>
                <w:p>
                  <w:pPr>
                    <w:spacing w:line="24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达标情况</w:t>
                  </w:r>
                </w:p>
              </w:tc>
              <w:tc>
                <w:tcPr>
                  <w:tcW w:w="1795" w:type="dxa"/>
                  <w:shd w:val="clear" w:color="auto" w:fill="auto"/>
                  <w:vAlign w:val="center"/>
                </w:tcPr>
                <w:p>
                  <w:pPr>
                    <w:spacing w:line="24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主要超标项目（超标倍数）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3" w:type="dxa"/>
                  <w:shd w:val="clear" w:color="auto" w:fill="auto"/>
                  <w:vAlign w:val="center"/>
                </w:tcPr>
                <w:p>
                  <w:pPr>
                    <w:spacing w:line="360" w:lineRule="auto"/>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1</w:t>
                  </w:r>
                </w:p>
              </w:tc>
              <w:tc>
                <w:tcPr>
                  <w:tcW w:w="1170"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潭江干流</w:t>
                  </w:r>
                </w:p>
              </w:tc>
              <w:tc>
                <w:tcPr>
                  <w:tcW w:w="1380"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牛湾（退潮）</w:t>
                  </w:r>
                </w:p>
              </w:tc>
              <w:tc>
                <w:tcPr>
                  <w:tcW w:w="1365" w:type="dxa"/>
                  <w:shd w:val="clear" w:color="auto" w:fill="auto"/>
                  <w:vAlign w:val="center"/>
                </w:tcPr>
                <w:p>
                  <w:pPr>
                    <w:spacing w:line="360" w:lineRule="auto"/>
                    <w:jc w:val="center"/>
                    <w:rPr>
                      <w:rFonts w:hint="default"/>
                      <w:b/>
                      <w:bCs/>
                      <w:color w:val="auto"/>
                      <w:sz w:val="21"/>
                      <w:szCs w:val="21"/>
                      <w:highlight w:val="none"/>
                      <w:lang w:val="en-US" w:eastAsia="zh-CN"/>
                    </w:rPr>
                  </w:pPr>
                  <w:r>
                    <w:rPr>
                      <w:rFonts w:hint="default"/>
                      <w:b/>
                      <w:bCs/>
                      <w:color w:val="auto"/>
                      <w:sz w:val="21"/>
                      <w:szCs w:val="21"/>
                      <w:highlight w:val="none"/>
                      <w:lang w:val="en-US" w:eastAsia="zh-CN"/>
                    </w:rPr>
                    <w:t>Ⅱ</w:t>
                  </w:r>
                </w:p>
              </w:tc>
              <w:tc>
                <w:tcPr>
                  <w:tcW w:w="1305" w:type="dxa"/>
                  <w:shd w:val="clear" w:color="auto" w:fill="auto"/>
                  <w:vAlign w:val="center"/>
                </w:tcPr>
                <w:p>
                  <w:pPr>
                    <w:spacing w:line="360" w:lineRule="auto"/>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IV</w:t>
                  </w:r>
                </w:p>
              </w:tc>
              <w:tc>
                <w:tcPr>
                  <w:tcW w:w="1127"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不达标</w:t>
                  </w:r>
                </w:p>
              </w:tc>
              <w:tc>
                <w:tcPr>
                  <w:tcW w:w="1795" w:type="dxa"/>
                  <w:shd w:val="clear" w:color="auto" w:fill="auto"/>
                  <w:vAlign w:val="center"/>
                </w:tcPr>
                <w:p>
                  <w:pPr>
                    <w:spacing w:line="360" w:lineRule="auto"/>
                    <w:jc w:val="center"/>
                    <w:rPr>
                      <w:rFonts w:hint="eastAsia"/>
                      <w:b/>
                      <w:bCs/>
                      <w:color w:val="auto"/>
                      <w:sz w:val="21"/>
                      <w:szCs w:val="21"/>
                      <w:highlight w:val="none"/>
                      <w:lang w:eastAsia="zh-CN"/>
                    </w:rPr>
                  </w:pPr>
                  <w:r>
                    <w:rPr>
                      <w:rFonts w:hint="eastAsia"/>
                      <w:b/>
                      <w:bCs/>
                      <w:color w:val="auto"/>
                      <w:sz w:val="21"/>
                      <w:szCs w:val="21"/>
                      <w:highlight w:val="none"/>
                      <w:lang w:eastAsia="zh-CN"/>
                    </w:rPr>
                    <w:t>溶解氧</w:t>
                  </w:r>
                </w:p>
              </w:tc>
            </w:tr>
          </w:tbl>
          <w:p>
            <w:pPr>
              <w:pStyle w:val="17"/>
              <w:spacing w:before="0" w:after="0" w:line="360" w:lineRule="auto"/>
              <w:ind w:firstLine="470" w:firstLineChars="196"/>
              <w:rPr>
                <w:rFonts w:hint="eastAsia"/>
                <w:b/>
                <w:bCs/>
                <w:color w:val="auto"/>
                <w:highlight w:val="none"/>
              </w:rPr>
            </w:pPr>
            <w:r>
              <w:rPr>
                <w:rFonts w:hint="eastAsia" w:ascii="Times New Roman" w:hAnsi="Times New Roman" w:eastAsia="宋体"/>
                <w:b w:val="0"/>
                <w:bCs/>
                <w:color w:val="auto"/>
                <w:szCs w:val="24"/>
                <w:highlight w:val="none"/>
                <w:shd w:val="clear" w:color="auto" w:fill="auto"/>
              </w:rPr>
              <w:t>根据《江门市未达标水体达标方案》，潭江流域的污染源主要为农业畜禽养殖污染源，其次是生活污染源，而工业污染源占比并不高；因此江门市根据其污染特点提出对潭江流域的蓄禽养殖、生活污染源、工业源等进行大力整治，以此减少污染物入河量，达到削减量目标要求；预计到2020年潭江流域距离本项目最近的牛湾断面，可以达到《地表水环境质量标准》（GB3838-2002）Ⅱ类标准。</w:t>
            </w:r>
          </w:p>
          <w:p>
            <w:pPr>
              <w:autoSpaceDE w:val="0"/>
              <w:autoSpaceDN w:val="0"/>
              <w:adjustRightInd w:val="0"/>
              <w:spacing w:line="360" w:lineRule="auto"/>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3</w:t>
            </w:r>
            <w:r>
              <w:rPr>
                <w:rFonts w:hint="eastAsia" w:ascii="Times New Roman" w:hAnsi="Times New Roman"/>
                <w:color w:val="auto"/>
                <w:kern w:val="0"/>
                <w:sz w:val="24"/>
                <w:highlight w:val="none"/>
              </w:rPr>
              <w:t>、声环境质量现状</w:t>
            </w:r>
          </w:p>
          <w:p>
            <w:pPr>
              <w:spacing w:line="360" w:lineRule="auto"/>
              <w:ind w:firstLine="480" w:firstLineChars="200"/>
              <w:rPr>
                <w:rFonts w:hint="eastAsia" w:eastAsia="宋体"/>
                <w:color w:val="auto"/>
                <w:sz w:val="24"/>
                <w:highlight w:val="none"/>
                <w:lang w:eastAsia="zh-CN"/>
              </w:rPr>
            </w:pPr>
            <w:r>
              <w:rPr>
                <w:rFonts w:hint="eastAsia"/>
                <w:color w:val="auto"/>
                <w:sz w:val="24"/>
                <w:szCs w:val="24"/>
                <w:highlight w:val="none"/>
              </w:rPr>
              <w:t>根据</w:t>
            </w:r>
            <w:r>
              <w:rPr>
                <w:rFonts w:hint="eastAsia"/>
                <w:color w:val="auto"/>
                <w:sz w:val="24"/>
                <w:szCs w:val="24"/>
                <w:highlight w:val="none"/>
                <w:lang w:eastAsia="zh-CN"/>
              </w:rPr>
              <w:t>《关于印发&lt;江门市声环境功能区划&gt;的通知》（江环（2019）378号）</w:t>
            </w:r>
            <w:r>
              <w:rPr>
                <w:rFonts w:hint="eastAsia"/>
                <w:color w:val="auto"/>
                <w:sz w:val="24"/>
                <w:szCs w:val="24"/>
                <w:highlight w:val="none"/>
              </w:rPr>
              <w:t>的相关规定，项目西面相邻为合龙路，该道路为园区内道路，不属于4a类声环境功能区类别，因此本项目属2类声功能区，执行《声环境质量标准》（GB3096-2008）2类标准</w:t>
            </w:r>
            <w:r>
              <w:rPr>
                <w:rFonts w:hint="eastAsia"/>
                <w:color w:val="auto"/>
                <w:sz w:val="24"/>
                <w:szCs w:val="24"/>
                <w:highlight w:val="none"/>
                <w:lang w:eastAsia="zh-CN"/>
              </w:rPr>
              <w:t>。</w:t>
            </w:r>
            <w:r>
              <w:rPr>
                <w:rFonts w:hint="eastAsia"/>
                <w:color w:val="auto"/>
                <w:sz w:val="24"/>
                <w:highlight w:val="none"/>
              </w:rPr>
              <w:t>为了了解项目所在地噪声环境质量现状，</w:t>
            </w:r>
            <w:r>
              <w:rPr>
                <w:rFonts w:hint="eastAsia"/>
                <w:color w:val="auto"/>
                <w:sz w:val="24"/>
                <w:highlight w:val="none"/>
                <w:lang w:eastAsia="zh-CN"/>
              </w:rPr>
              <w:t>项目委托</w:t>
            </w:r>
            <w:r>
              <w:rPr>
                <w:rFonts w:hint="eastAsia" w:cs="Times New Roman"/>
                <w:color w:val="auto"/>
                <w:sz w:val="24"/>
                <w:highlight w:val="none"/>
                <w:lang w:eastAsia="zh-CN"/>
              </w:rPr>
              <w:t>云浮市盈安检测技术有限公司</w:t>
            </w:r>
            <w:r>
              <w:rPr>
                <w:rFonts w:hint="eastAsia"/>
                <w:color w:val="auto"/>
                <w:sz w:val="24"/>
                <w:highlight w:val="none"/>
                <w:shd w:val="clear" w:color="auto" w:fill="auto"/>
              </w:rPr>
              <w:t>对项目四周进行声环境质量现状监测，</w:t>
            </w:r>
            <w:r>
              <w:rPr>
                <w:rFonts w:hint="eastAsia"/>
                <w:color w:val="auto"/>
                <w:sz w:val="24"/>
                <w:highlight w:val="none"/>
                <w:shd w:val="clear" w:color="auto" w:fill="auto"/>
                <w:lang w:eastAsia="zh-CN"/>
              </w:rPr>
              <w:t>检测报告见附件</w:t>
            </w:r>
            <w:r>
              <w:rPr>
                <w:rFonts w:hint="eastAsia"/>
                <w:color w:val="auto"/>
                <w:sz w:val="24"/>
                <w:highlight w:val="none"/>
                <w:shd w:val="clear" w:color="auto" w:fill="auto"/>
                <w:lang w:val="en-US" w:eastAsia="zh-CN"/>
              </w:rPr>
              <w:t>6</w:t>
            </w:r>
            <w:r>
              <w:rPr>
                <w:rFonts w:hint="eastAsia"/>
                <w:color w:val="auto"/>
                <w:sz w:val="24"/>
                <w:highlight w:val="none"/>
              </w:rPr>
              <w:t>。根据本项目的特点，本环评在项目周边各设置了</w:t>
            </w:r>
            <w:r>
              <w:rPr>
                <w:rFonts w:hint="eastAsia"/>
                <w:color w:val="auto"/>
                <w:sz w:val="24"/>
                <w:highlight w:val="none"/>
                <w:lang w:val="en-US" w:eastAsia="zh-CN"/>
              </w:rPr>
              <w:t>3</w:t>
            </w:r>
            <w:r>
              <w:rPr>
                <w:rFonts w:hint="eastAsia"/>
                <w:color w:val="auto"/>
                <w:sz w:val="24"/>
                <w:highlight w:val="none"/>
              </w:rPr>
              <w:t>个监测点位</w:t>
            </w:r>
            <w:r>
              <w:rPr>
                <w:rFonts w:hint="eastAsia"/>
                <w:color w:val="auto"/>
                <w:highlight w:val="none"/>
                <w:lang w:eastAsia="zh-CN"/>
              </w:rPr>
              <w:t>。</w:t>
            </w:r>
          </w:p>
          <w:p>
            <w:pPr>
              <w:spacing w:line="360" w:lineRule="auto"/>
              <w:ind w:firstLine="480" w:firstLineChars="200"/>
              <w:rPr>
                <w:color w:val="auto"/>
                <w:sz w:val="24"/>
                <w:highlight w:val="none"/>
              </w:rPr>
            </w:pPr>
            <w:r>
              <w:rPr>
                <w:rFonts w:hint="eastAsia"/>
                <w:color w:val="auto"/>
                <w:sz w:val="24"/>
                <w:highlight w:val="none"/>
              </w:rPr>
              <w:t>监测时间：</w:t>
            </w:r>
            <w:r>
              <w:rPr>
                <w:color w:val="auto"/>
                <w:sz w:val="24"/>
                <w:highlight w:val="none"/>
              </w:rPr>
              <w:t>2019</w:t>
            </w:r>
            <w:r>
              <w:rPr>
                <w:rFonts w:hint="eastAsia"/>
                <w:color w:val="auto"/>
                <w:sz w:val="24"/>
                <w:highlight w:val="none"/>
              </w:rPr>
              <w:t>年</w:t>
            </w:r>
            <w:r>
              <w:rPr>
                <w:color w:val="auto"/>
                <w:sz w:val="24"/>
                <w:highlight w:val="none"/>
              </w:rPr>
              <w:t>8</w:t>
            </w:r>
            <w:r>
              <w:rPr>
                <w:rFonts w:hint="eastAsia"/>
                <w:color w:val="auto"/>
                <w:sz w:val="24"/>
                <w:highlight w:val="none"/>
              </w:rPr>
              <w:t>月</w:t>
            </w:r>
            <w:r>
              <w:rPr>
                <w:color w:val="auto"/>
                <w:sz w:val="24"/>
                <w:highlight w:val="none"/>
              </w:rPr>
              <w:t>28</w:t>
            </w:r>
            <w:r>
              <w:rPr>
                <w:rFonts w:hint="eastAsia"/>
                <w:color w:val="auto"/>
                <w:sz w:val="24"/>
                <w:highlight w:val="none"/>
              </w:rPr>
              <w:t>日</w:t>
            </w:r>
            <w:r>
              <w:rPr>
                <w:color w:val="auto"/>
                <w:sz w:val="24"/>
                <w:highlight w:val="none"/>
              </w:rPr>
              <w:t>~8</w:t>
            </w:r>
            <w:r>
              <w:rPr>
                <w:rFonts w:hint="eastAsia"/>
                <w:color w:val="auto"/>
                <w:sz w:val="24"/>
                <w:highlight w:val="none"/>
              </w:rPr>
              <w:t>月</w:t>
            </w:r>
            <w:r>
              <w:rPr>
                <w:color w:val="auto"/>
                <w:sz w:val="24"/>
                <w:highlight w:val="none"/>
              </w:rPr>
              <w:t>29</w:t>
            </w:r>
            <w:r>
              <w:rPr>
                <w:rFonts w:hint="eastAsia"/>
                <w:color w:val="auto"/>
                <w:sz w:val="24"/>
                <w:highlight w:val="none"/>
              </w:rPr>
              <w:t>日。</w:t>
            </w:r>
          </w:p>
          <w:p>
            <w:pPr>
              <w:spacing w:line="360" w:lineRule="auto"/>
              <w:ind w:firstLine="480" w:firstLineChars="200"/>
              <w:rPr>
                <w:color w:val="auto"/>
                <w:sz w:val="24"/>
                <w:highlight w:val="none"/>
              </w:rPr>
            </w:pPr>
            <w:r>
              <w:rPr>
                <w:rFonts w:hint="eastAsia"/>
                <w:color w:val="auto"/>
                <w:sz w:val="24"/>
                <w:highlight w:val="none"/>
              </w:rPr>
              <w:t>监测频次：昼间、夜间各一次。</w:t>
            </w:r>
          </w:p>
          <w:p>
            <w:pPr>
              <w:spacing w:line="360" w:lineRule="auto"/>
              <w:ind w:firstLine="480" w:firstLineChars="200"/>
              <w:rPr>
                <w:color w:val="auto"/>
                <w:kern w:val="0"/>
                <w:sz w:val="24"/>
                <w:highlight w:val="none"/>
              </w:rPr>
            </w:pPr>
            <w:r>
              <w:rPr>
                <w:rFonts w:hint="eastAsia"/>
                <w:color w:val="auto"/>
                <w:sz w:val="24"/>
                <w:highlight w:val="none"/>
              </w:rPr>
              <w:t>监测结果统计见下表。</w:t>
            </w:r>
          </w:p>
          <w:p>
            <w:pPr>
              <w:pStyle w:val="24"/>
              <w:jc w:val="center"/>
              <w:rPr>
                <w:rFonts w:ascii="Times New Roman" w:hAnsi="Times New Roman"/>
                <w:color w:val="auto"/>
                <w:kern w:val="0"/>
                <w:sz w:val="24"/>
                <w:szCs w:val="24"/>
                <w:highlight w:val="none"/>
              </w:rPr>
            </w:pPr>
            <w:r>
              <w:rPr>
                <w:rFonts w:hint="eastAsia" w:ascii="Times New Roman" w:hAnsi="Times New Roman"/>
                <w:b/>
                <w:color w:val="auto"/>
                <w:sz w:val="21"/>
                <w:highlight w:val="none"/>
              </w:rPr>
              <w:t>表</w:t>
            </w:r>
            <w:r>
              <w:rPr>
                <w:rFonts w:ascii="Times New Roman" w:hAnsi="Times New Roman"/>
                <w:b/>
                <w:color w:val="auto"/>
                <w:sz w:val="21"/>
                <w:highlight w:val="none"/>
              </w:rPr>
              <w:t xml:space="preserve">3-4  </w:t>
            </w:r>
            <w:r>
              <w:rPr>
                <w:rFonts w:hint="eastAsia" w:ascii="Times New Roman" w:hAnsi="Times New Roman"/>
                <w:b/>
                <w:color w:val="auto"/>
                <w:sz w:val="21"/>
                <w:highlight w:val="none"/>
              </w:rPr>
              <w:t>环境噪声现状监测结果统计表</w:t>
            </w:r>
          </w:p>
          <w:tbl>
            <w:tblPr>
              <w:tblStyle w:val="34"/>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88"/>
              <w:gridCol w:w="1522"/>
              <w:gridCol w:w="1600"/>
              <w:gridCol w:w="1390"/>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编号</w:t>
                  </w:r>
                </w:p>
              </w:tc>
              <w:tc>
                <w:tcPr>
                  <w:tcW w:w="1788" w:type="dxa"/>
                  <w:vMerge w:val="restart"/>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测点位置</w:t>
                  </w:r>
                </w:p>
              </w:tc>
              <w:tc>
                <w:tcPr>
                  <w:tcW w:w="3122"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ascii="Times New Roman" w:hAnsi="Times New Roman"/>
                      <w:color w:val="auto"/>
                      <w:kern w:val="0"/>
                      <w:sz w:val="21"/>
                      <w:highlight w:val="none"/>
                    </w:rPr>
                    <w:t>8</w:t>
                  </w:r>
                  <w:r>
                    <w:rPr>
                      <w:rFonts w:hint="eastAsia" w:ascii="Times New Roman" w:hAnsi="Times New Roman"/>
                      <w:color w:val="auto"/>
                      <w:kern w:val="0"/>
                      <w:sz w:val="21"/>
                      <w:highlight w:val="none"/>
                    </w:rPr>
                    <w:t>月</w:t>
                  </w:r>
                  <w:r>
                    <w:rPr>
                      <w:rFonts w:ascii="Times New Roman" w:hAnsi="Times New Roman"/>
                      <w:color w:val="auto"/>
                      <w:kern w:val="0"/>
                      <w:sz w:val="21"/>
                      <w:highlight w:val="none"/>
                    </w:rPr>
                    <w:t>28</w:t>
                  </w:r>
                  <w:r>
                    <w:rPr>
                      <w:rFonts w:hint="eastAsia" w:ascii="Times New Roman" w:hAnsi="Times New Roman"/>
                      <w:color w:val="auto"/>
                      <w:kern w:val="0"/>
                      <w:sz w:val="21"/>
                      <w:highlight w:val="none"/>
                    </w:rPr>
                    <w:t>日</w:t>
                  </w:r>
                </w:p>
              </w:tc>
              <w:tc>
                <w:tcPr>
                  <w:tcW w:w="2788"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ascii="Times New Roman" w:hAnsi="Times New Roman"/>
                      <w:color w:val="auto"/>
                      <w:kern w:val="0"/>
                      <w:sz w:val="21"/>
                      <w:highlight w:val="none"/>
                    </w:rPr>
                    <w:t>8</w:t>
                  </w:r>
                  <w:r>
                    <w:rPr>
                      <w:rFonts w:hint="eastAsia" w:ascii="Times New Roman" w:hAnsi="Times New Roman"/>
                      <w:color w:val="auto"/>
                      <w:kern w:val="0"/>
                      <w:sz w:val="21"/>
                      <w:highlight w:val="none"/>
                    </w:rPr>
                    <w:t>月</w:t>
                  </w:r>
                  <w:r>
                    <w:rPr>
                      <w:rFonts w:ascii="Times New Roman" w:hAnsi="Times New Roman"/>
                      <w:color w:val="auto"/>
                      <w:kern w:val="0"/>
                      <w:sz w:val="21"/>
                      <w:highlight w:val="none"/>
                    </w:rPr>
                    <w:t>29</w:t>
                  </w:r>
                  <w:r>
                    <w:rPr>
                      <w:rFonts w:hint="eastAsia" w:ascii="Times New Roman" w:hAnsi="Times New Roman"/>
                      <w:color w:val="auto"/>
                      <w:kern w:val="0"/>
                      <w:sz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p>
              </w:tc>
              <w:tc>
                <w:tcPr>
                  <w:tcW w:w="1788" w:type="dxa"/>
                  <w:vMerge w:val="continue"/>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p>
              </w:tc>
              <w:tc>
                <w:tcPr>
                  <w:tcW w:w="1522"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昼间</w:t>
                  </w:r>
                </w:p>
              </w:tc>
              <w:tc>
                <w:tcPr>
                  <w:tcW w:w="1600"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夜间</w:t>
                  </w:r>
                </w:p>
              </w:tc>
              <w:tc>
                <w:tcPr>
                  <w:tcW w:w="1390"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昼间</w:t>
                  </w:r>
                </w:p>
              </w:tc>
              <w:tc>
                <w:tcPr>
                  <w:tcW w:w="1398"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1</w:t>
                  </w:r>
                  <w:r>
                    <w:rPr>
                      <w:rFonts w:ascii="Times New Roman" w:hAnsi="Times New Roman"/>
                      <w:color w:val="auto"/>
                      <w:kern w:val="0"/>
                      <w:sz w:val="21"/>
                      <w:highlight w:val="none"/>
                    </w:rPr>
                    <w:t>#</w:t>
                  </w:r>
                </w:p>
              </w:tc>
              <w:tc>
                <w:tcPr>
                  <w:tcW w:w="1788"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项目东侧外</w:t>
                  </w:r>
                  <w:r>
                    <w:rPr>
                      <w:rFonts w:ascii="Times New Roman" w:hAnsi="Times New Roman"/>
                      <w:color w:val="auto"/>
                      <w:kern w:val="0"/>
                      <w:sz w:val="21"/>
                      <w:highlight w:val="none"/>
                    </w:rPr>
                    <w:t>1m</w:t>
                  </w:r>
                </w:p>
              </w:tc>
              <w:tc>
                <w:tcPr>
                  <w:tcW w:w="1522"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58.6</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48.9</w:t>
                  </w:r>
                </w:p>
              </w:tc>
              <w:tc>
                <w:tcPr>
                  <w:tcW w:w="139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58.8</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2</w:t>
                  </w:r>
                  <w:r>
                    <w:rPr>
                      <w:rFonts w:ascii="Times New Roman" w:hAnsi="Times New Roman"/>
                      <w:color w:val="auto"/>
                      <w:kern w:val="0"/>
                      <w:sz w:val="21"/>
                      <w:highlight w:val="none"/>
                    </w:rPr>
                    <w:t>#</w:t>
                  </w:r>
                </w:p>
              </w:tc>
              <w:tc>
                <w:tcPr>
                  <w:tcW w:w="1788"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项目南侧外</w:t>
                  </w:r>
                  <w:r>
                    <w:rPr>
                      <w:rFonts w:ascii="Times New Roman" w:hAnsi="Times New Roman"/>
                      <w:color w:val="auto"/>
                      <w:kern w:val="0"/>
                      <w:sz w:val="21"/>
                      <w:highlight w:val="none"/>
                    </w:rPr>
                    <w:t>1m</w:t>
                  </w:r>
                </w:p>
              </w:tc>
              <w:tc>
                <w:tcPr>
                  <w:tcW w:w="1522"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57.7</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highlight w:val="none"/>
                      <w:lang w:val="en-US" w:eastAsia="zh-CN"/>
                    </w:rPr>
                  </w:pPr>
                  <w:r>
                    <w:rPr>
                      <w:rFonts w:hint="eastAsia"/>
                      <w:color w:val="auto"/>
                      <w:highlight w:val="none"/>
                      <w:lang w:val="en-US" w:eastAsia="zh-CN"/>
                    </w:rPr>
                    <w:t>47.9</w:t>
                  </w:r>
                </w:p>
              </w:tc>
              <w:tc>
                <w:tcPr>
                  <w:tcW w:w="1390" w:type="dxa"/>
                  <w:tcBorders>
                    <w:top w:val="single" w:color="auto" w:sz="4" w:space="0"/>
                    <w:left w:val="single" w:color="auto" w:sz="4" w:space="0"/>
                    <w:bottom w:val="single" w:color="auto" w:sz="4" w:space="0"/>
                    <w:right w:val="single" w:color="auto" w:sz="4" w:space="0"/>
                  </w:tcBorders>
                  <w:vAlign w:val="center"/>
                </w:tcPr>
                <w:p>
                  <w:pPr>
                    <w:jc w:val="center"/>
                    <w:rPr>
                      <w:rFonts w:hint="default"/>
                      <w:color w:val="auto"/>
                      <w:highlight w:val="none"/>
                      <w:lang w:val="en-US" w:eastAsia="zh-CN"/>
                    </w:rPr>
                  </w:pPr>
                  <w:r>
                    <w:rPr>
                      <w:rFonts w:hint="eastAsia"/>
                      <w:color w:val="auto"/>
                      <w:highlight w:val="none"/>
                      <w:lang w:val="en-US" w:eastAsia="zh-CN"/>
                    </w:rPr>
                    <w:t>57</w:t>
                  </w:r>
                  <w:r>
                    <w:rPr>
                      <w:rFonts w:hint="eastAsia"/>
                      <w:color w:val="auto"/>
                      <w:kern w:val="0"/>
                      <w:szCs w:val="21"/>
                      <w:highlight w:val="none"/>
                      <w:lang w:val="en-US" w:eastAsia="zh-CN"/>
                    </w:rPr>
                    <w:t>.7</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3#</w:t>
                  </w:r>
                </w:p>
              </w:tc>
              <w:tc>
                <w:tcPr>
                  <w:tcW w:w="1788" w:type="dxa"/>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olor w:val="auto"/>
                      <w:kern w:val="0"/>
                      <w:sz w:val="21"/>
                      <w:highlight w:val="none"/>
                    </w:rPr>
                  </w:pPr>
                  <w:r>
                    <w:rPr>
                      <w:rFonts w:hint="eastAsia" w:ascii="Times New Roman" w:hAnsi="Times New Roman"/>
                      <w:color w:val="auto"/>
                      <w:kern w:val="0"/>
                      <w:sz w:val="21"/>
                      <w:highlight w:val="none"/>
                    </w:rPr>
                    <w:t>项目西侧外</w:t>
                  </w:r>
                  <w:r>
                    <w:rPr>
                      <w:rFonts w:ascii="Times New Roman" w:hAnsi="Times New Roman"/>
                      <w:color w:val="auto"/>
                      <w:kern w:val="0"/>
                      <w:sz w:val="21"/>
                      <w:highlight w:val="none"/>
                    </w:rPr>
                    <w:t>1m</w:t>
                  </w:r>
                </w:p>
              </w:tc>
              <w:tc>
                <w:tcPr>
                  <w:tcW w:w="1522"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58.5</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46.9</w:t>
                  </w:r>
                </w:p>
              </w:tc>
              <w:tc>
                <w:tcPr>
                  <w:tcW w:w="139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57.5</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25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left"/>
                    <w:rPr>
                      <w:color w:val="auto"/>
                      <w:kern w:val="0"/>
                      <w:szCs w:val="21"/>
                      <w:highlight w:val="none"/>
                    </w:rPr>
                  </w:pPr>
                  <w:r>
                    <w:rPr>
                      <w:color w:val="auto"/>
                      <w:kern w:val="0"/>
                      <w:szCs w:val="21"/>
                      <w:highlight w:val="none"/>
                    </w:rPr>
                    <w:t>《声环境质量标准》</w:t>
                  </w:r>
                </w:p>
                <w:p>
                  <w:pPr>
                    <w:pStyle w:val="24"/>
                    <w:jc w:val="center"/>
                    <w:rPr>
                      <w:rFonts w:ascii="Times New Roman" w:hAnsi="Times New Roman"/>
                      <w:color w:val="auto"/>
                      <w:kern w:val="0"/>
                      <w:sz w:val="21"/>
                      <w:highlight w:val="none"/>
                    </w:rPr>
                  </w:pPr>
                  <w:r>
                    <w:rPr>
                      <w:rFonts w:ascii="Times New Roman" w:hAnsi="Times New Roman"/>
                      <w:color w:val="auto"/>
                      <w:kern w:val="0"/>
                      <w:sz w:val="21"/>
                      <w:highlight w:val="none"/>
                    </w:rPr>
                    <w:t>(GB3096-2008)2 类标准</w:t>
                  </w:r>
                </w:p>
              </w:tc>
              <w:tc>
                <w:tcPr>
                  <w:tcW w:w="1522"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highlight w:val="none"/>
                    </w:rPr>
                  </w:pPr>
                  <w:r>
                    <w:rPr>
                      <w:rFonts w:hint="eastAsia"/>
                      <w:color w:val="auto"/>
                      <w:kern w:val="0"/>
                      <w:szCs w:val="21"/>
                      <w:highlight w:val="none"/>
                    </w:rPr>
                    <w:t>6</w:t>
                  </w:r>
                  <w:r>
                    <w:rPr>
                      <w:color w:val="auto"/>
                      <w:kern w:val="0"/>
                      <w:szCs w:val="21"/>
                      <w:highlight w:val="none"/>
                    </w:rPr>
                    <w:t>0</w:t>
                  </w:r>
                </w:p>
              </w:tc>
              <w:tc>
                <w:tcPr>
                  <w:tcW w:w="1600"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highlight w:val="none"/>
                    </w:rPr>
                  </w:pPr>
                  <w:r>
                    <w:rPr>
                      <w:rFonts w:hint="eastAsia"/>
                      <w:color w:val="auto"/>
                      <w:kern w:val="0"/>
                      <w:szCs w:val="21"/>
                      <w:highlight w:val="none"/>
                    </w:rPr>
                    <w:t>5</w:t>
                  </w:r>
                  <w:r>
                    <w:rPr>
                      <w:color w:val="auto"/>
                      <w:kern w:val="0"/>
                      <w:szCs w:val="21"/>
                      <w:highlight w:val="none"/>
                    </w:rPr>
                    <w:t>0</w:t>
                  </w:r>
                </w:p>
              </w:tc>
              <w:tc>
                <w:tcPr>
                  <w:tcW w:w="1390"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highlight w:val="none"/>
                    </w:rPr>
                  </w:pPr>
                  <w:r>
                    <w:rPr>
                      <w:rFonts w:hint="eastAsia"/>
                      <w:color w:val="auto"/>
                      <w:kern w:val="0"/>
                      <w:szCs w:val="21"/>
                      <w:highlight w:val="none"/>
                    </w:rPr>
                    <w:t>6</w:t>
                  </w:r>
                  <w:r>
                    <w:rPr>
                      <w:color w:val="auto"/>
                      <w:kern w:val="0"/>
                      <w:szCs w:val="21"/>
                      <w:highlight w:val="none"/>
                    </w:rPr>
                    <w:t>0</w:t>
                  </w:r>
                </w:p>
              </w:tc>
              <w:tc>
                <w:tcPr>
                  <w:tcW w:w="1398"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highlight w:val="none"/>
                    </w:rPr>
                  </w:pPr>
                  <w:r>
                    <w:rPr>
                      <w:rFonts w:hint="eastAsia"/>
                      <w:color w:val="auto"/>
                      <w:kern w:val="0"/>
                      <w:szCs w:val="21"/>
                      <w:highlight w:val="none"/>
                    </w:rPr>
                    <w:t>5</w:t>
                  </w:r>
                  <w:r>
                    <w:rPr>
                      <w:color w:val="auto"/>
                      <w:kern w:val="0"/>
                      <w:szCs w:val="21"/>
                      <w:highlight w:val="none"/>
                    </w:rPr>
                    <w:t>0</w:t>
                  </w:r>
                </w:p>
              </w:tc>
            </w:tr>
          </w:tbl>
          <w:p>
            <w:pPr>
              <w:tabs>
                <w:tab w:val="left" w:pos="3240"/>
              </w:tabs>
              <w:spacing w:before="120" w:beforeLines="50" w:line="360" w:lineRule="auto"/>
              <w:ind w:firstLine="480" w:firstLineChars="200"/>
              <w:rPr>
                <w:rFonts w:ascii="Times New Roman" w:hAnsi="Times New Roman"/>
                <w:color w:val="auto"/>
                <w:kern w:val="0"/>
                <w:sz w:val="24"/>
                <w:highlight w:val="none"/>
              </w:rPr>
            </w:pPr>
            <w:r>
              <w:rPr>
                <w:rFonts w:hint="eastAsia"/>
                <w:color w:val="auto"/>
                <w:kern w:val="0"/>
                <w:sz w:val="24"/>
                <w:highlight w:val="none"/>
              </w:rPr>
              <w:t>从监测结果可知，</w:t>
            </w:r>
            <w:r>
              <w:rPr>
                <w:rFonts w:hint="eastAsia"/>
                <w:color w:val="auto"/>
                <w:sz w:val="24"/>
                <w:highlight w:val="none"/>
              </w:rPr>
              <w:t>项目</w:t>
            </w:r>
            <w:r>
              <w:rPr>
                <w:rFonts w:hint="eastAsia"/>
                <w:color w:val="auto"/>
                <w:kern w:val="0"/>
                <w:sz w:val="24"/>
                <w:highlight w:val="none"/>
              </w:rPr>
              <w:t>厂界达到《声环境质量标准》（</w:t>
            </w:r>
            <w:r>
              <w:rPr>
                <w:color w:val="auto"/>
                <w:kern w:val="0"/>
                <w:sz w:val="24"/>
                <w:highlight w:val="none"/>
              </w:rPr>
              <w:t>GB3096-2008</w:t>
            </w:r>
            <w:r>
              <w:rPr>
                <w:rFonts w:hint="eastAsia"/>
                <w:color w:val="auto"/>
                <w:kern w:val="0"/>
                <w:sz w:val="24"/>
                <w:highlight w:val="none"/>
              </w:rPr>
              <w:t>）2类标准的要求，说明项目所在地声环境质量良好。</w:t>
            </w:r>
          </w:p>
          <w:p>
            <w:pPr>
              <w:spacing w:before="120" w:beforeLines="50" w:line="360" w:lineRule="auto"/>
              <w:rPr>
                <w:rFonts w:ascii="Times New Roman" w:hAnsi="Times New Roman"/>
                <w:b/>
                <w:bCs/>
                <w:color w:val="auto"/>
                <w:kern w:val="0"/>
                <w:sz w:val="24"/>
                <w:highlight w:val="none"/>
              </w:rPr>
            </w:pPr>
            <w:r>
              <w:rPr>
                <w:rFonts w:hint="eastAsia" w:ascii="Times New Roman" w:hAnsi="Times New Roman"/>
                <w:b/>
                <w:bCs/>
                <w:color w:val="auto"/>
                <w:kern w:val="0"/>
                <w:sz w:val="24"/>
                <w:highlight w:val="none"/>
              </w:rPr>
              <w:t>主要环境保护目标：</w:t>
            </w:r>
          </w:p>
          <w:p>
            <w:pPr>
              <w:keepNext w:val="0"/>
              <w:keepLines w:val="0"/>
              <w:pageBreakBefore w:val="0"/>
              <w:widowControl w:val="0"/>
              <w:tabs>
                <w:tab w:val="left" w:pos="1770"/>
              </w:tabs>
              <w:kinsoku/>
              <w:wordWrap/>
              <w:overflowPunct/>
              <w:topLinePunct w:val="0"/>
              <w:bidi w:val="0"/>
              <w:adjustRightInd w:val="0"/>
              <w:snapToGrid w:val="0"/>
              <w:spacing w:line="336"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本项目的主要环境保护目标是保护好项目所在地附近评价区域的环境质量。要采取有效的环保措施，使本项目的建设和生产过程中保持项目所在地区域原有的环境空气质量、水环境质量和声环境质量。</w:t>
            </w:r>
          </w:p>
          <w:p>
            <w:pPr>
              <w:keepNext w:val="0"/>
              <w:keepLines w:val="0"/>
              <w:pageBreakBefore w:val="0"/>
              <w:widowControl w:val="0"/>
              <w:tabs>
                <w:tab w:val="left" w:pos="360"/>
              </w:tabs>
              <w:kinsoku/>
              <w:wordWrap/>
              <w:overflowPunct/>
              <w:topLinePunct w:val="0"/>
              <w:bidi w:val="0"/>
              <w:snapToGrid w:val="0"/>
              <w:spacing w:line="336" w:lineRule="auto"/>
              <w:ind w:left="269" w:leftChars="128" w:firstLine="241" w:firstLineChars="100"/>
              <w:rPr>
                <w:color w:val="auto"/>
                <w:sz w:val="24"/>
                <w:highlight w:val="none"/>
                <w:shd w:val="clear" w:color="auto" w:fill="auto"/>
              </w:rPr>
            </w:pPr>
            <w:r>
              <w:rPr>
                <w:b/>
                <w:color w:val="auto"/>
                <w:sz w:val="24"/>
                <w:highlight w:val="none"/>
                <w:shd w:val="clear" w:color="auto" w:fill="auto"/>
              </w:rPr>
              <w:t>1、水环境保护目标</w:t>
            </w:r>
          </w:p>
          <w:p>
            <w:pPr>
              <w:keepNext w:val="0"/>
              <w:keepLines w:val="0"/>
              <w:pageBreakBefore w:val="0"/>
              <w:widowControl w:val="0"/>
              <w:tabs>
                <w:tab w:val="left" w:pos="360"/>
              </w:tabs>
              <w:kinsoku/>
              <w:wordWrap/>
              <w:overflowPunct/>
              <w:topLinePunct w:val="0"/>
              <w:bidi w:val="0"/>
              <w:snapToGrid w:val="0"/>
              <w:spacing w:line="336" w:lineRule="auto"/>
              <w:ind w:left="4" w:firstLine="480" w:firstLineChars="200"/>
              <w:rPr>
                <w:rFonts w:hint="eastAsia" w:eastAsia="宋体"/>
                <w:color w:val="auto"/>
                <w:sz w:val="24"/>
                <w:highlight w:val="none"/>
                <w:shd w:val="clear" w:color="auto" w:fill="auto"/>
                <w:lang w:eastAsia="zh-CN"/>
              </w:rPr>
            </w:pPr>
            <w:r>
              <w:rPr>
                <w:color w:val="auto"/>
                <w:sz w:val="24"/>
                <w:highlight w:val="none"/>
                <w:shd w:val="clear" w:color="auto" w:fill="auto"/>
              </w:rPr>
              <w:t>水环境保护目标是在该建设项目</w:t>
            </w:r>
            <w:r>
              <w:rPr>
                <w:rFonts w:hint="eastAsia"/>
                <w:color w:val="auto"/>
                <w:sz w:val="24"/>
                <w:highlight w:val="none"/>
                <w:shd w:val="clear" w:color="auto" w:fill="auto"/>
              </w:rPr>
              <w:t>营业期间</w:t>
            </w:r>
            <w:r>
              <w:rPr>
                <w:color w:val="auto"/>
                <w:sz w:val="24"/>
                <w:highlight w:val="none"/>
                <w:shd w:val="clear" w:color="auto" w:fill="auto"/>
              </w:rPr>
              <w:t>周围的河流水质不受明显的影响</w:t>
            </w:r>
            <w:r>
              <w:rPr>
                <w:rFonts w:hint="eastAsia"/>
                <w:color w:val="auto"/>
                <w:sz w:val="24"/>
                <w:highlight w:val="none"/>
                <w:shd w:val="clear" w:color="auto" w:fill="auto"/>
              </w:rPr>
              <w:t>，</w:t>
            </w:r>
            <w:r>
              <w:rPr>
                <w:color w:val="auto"/>
                <w:sz w:val="24"/>
                <w:highlight w:val="none"/>
                <w:shd w:val="clear" w:color="auto" w:fill="auto"/>
              </w:rPr>
              <w:t>控制</w:t>
            </w:r>
            <w:r>
              <w:rPr>
                <w:rFonts w:hint="eastAsia"/>
                <w:color w:val="auto"/>
                <w:sz w:val="24"/>
                <w:highlight w:val="none"/>
                <w:shd w:val="clear" w:color="auto" w:fill="auto"/>
              </w:rPr>
              <w:t>废水</w:t>
            </w:r>
            <w:r>
              <w:rPr>
                <w:color w:val="auto"/>
                <w:sz w:val="24"/>
                <w:highlight w:val="none"/>
                <w:shd w:val="clear" w:color="auto" w:fill="auto"/>
              </w:rPr>
              <w:t>排放对附近水环境</w:t>
            </w:r>
            <w:r>
              <w:rPr>
                <w:rFonts w:hint="eastAsia"/>
                <w:color w:val="auto"/>
                <w:sz w:val="24"/>
                <w:highlight w:val="none"/>
                <w:shd w:val="clear" w:color="auto" w:fill="auto"/>
              </w:rPr>
              <w:t>的</w:t>
            </w:r>
            <w:r>
              <w:rPr>
                <w:color w:val="auto"/>
                <w:sz w:val="24"/>
                <w:highlight w:val="none"/>
                <w:shd w:val="clear" w:color="auto" w:fill="auto"/>
              </w:rPr>
              <w:t>影响</w:t>
            </w:r>
            <w:r>
              <w:rPr>
                <w:rFonts w:hint="eastAsia"/>
                <w:color w:val="auto"/>
                <w:sz w:val="24"/>
                <w:highlight w:val="none"/>
                <w:shd w:val="clear" w:color="auto" w:fill="auto"/>
              </w:rPr>
              <w:t>，使得</w:t>
            </w:r>
            <w:r>
              <w:rPr>
                <w:rFonts w:hint="eastAsia"/>
                <w:color w:val="auto"/>
                <w:sz w:val="24"/>
                <w:highlight w:val="none"/>
                <w:shd w:val="clear" w:color="auto" w:fill="auto"/>
                <w:lang w:eastAsia="zh-CN"/>
              </w:rPr>
              <w:t>潭江</w:t>
            </w:r>
            <w:r>
              <w:rPr>
                <w:rFonts w:hint="eastAsia"/>
                <w:color w:val="auto"/>
                <w:sz w:val="24"/>
                <w:highlight w:val="none"/>
                <w:shd w:val="clear" w:color="auto" w:fill="auto"/>
              </w:rPr>
              <w:t>水环境质量</w:t>
            </w:r>
            <w:r>
              <w:rPr>
                <w:rFonts w:hint="eastAsia" w:hAnsi="宋体"/>
                <w:color w:val="auto"/>
                <w:sz w:val="24"/>
                <w:highlight w:val="none"/>
                <w:shd w:val="clear" w:color="auto" w:fill="auto"/>
              </w:rPr>
              <w:t>达到</w:t>
            </w:r>
            <w:r>
              <w:rPr>
                <w:rFonts w:hint="eastAsia"/>
                <w:color w:val="auto"/>
                <w:kern w:val="24"/>
                <w:sz w:val="24"/>
                <w:szCs w:val="20"/>
                <w:highlight w:val="none"/>
                <w:shd w:val="clear" w:color="auto" w:fill="auto"/>
              </w:rPr>
              <w:t>《地表水环境质量标准》</w:t>
            </w:r>
            <w:r>
              <w:rPr>
                <w:color w:val="auto"/>
                <w:sz w:val="24"/>
                <w:highlight w:val="none"/>
                <w:shd w:val="clear" w:color="auto" w:fill="auto"/>
              </w:rPr>
              <w:t>(GB3838-2002)</w:t>
            </w:r>
            <w:r>
              <w:rPr>
                <w:rFonts w:hint="eastAsia"/>
                <w:color w:val="auto"/>
                <w:sz w:val="24"/>
                <w:highlight w:val="none"/>
                <w:shd w:val="clear" w:color="auto" w:fill="auto"/>
                <w:lang w:eastAsia="zh-CN"/>
              </w:rPr>
              <w:t>Ⅱ类</w:t>
            </w:r>
            <w:r>
              <w:rPr>
                <w:rFonts w:hint="eastAsia"/>
                <w:color w:val="auto"/>
                <w:kern w:val="24"/>
                <w:sz w:val="24"/>
                <w:szCs w:val="20"/>
                <w:highlight w:val="none"/>
                <w:shd w:val="clear" w:color="auto" w:fill="auto"/>
              </w:rPr>
              <w:t>水质标准的保护要求</w:t>
            </w:r>
            <w:r>
              <w:rPr>
                <w:color w:val="auto"/>
                <w:sz w:val="24"/>
                <w:highlight w:val="none"/>
                <w:shd w:val="clear" w:color="auto" w:fill="auto"/>
              </w:rPr>
              <w:t>。</w:t>
            </w:r>
            <w:r>
              <w:rPr>
                <w:rFonts w:hint="eastAsia" w:ascii="Times New Roman" w:hAnsi="Times New Roman"/>
                <w:bCs/>
                <w:color w:val="auto"/>
                <w:kern w:val="0"/>
                <w:sz w:val="24"/>
                <w:highlight w:val="none"/>
              </w:rPr>
              <w:t>根据《环境影响评价技术导则</w:t>
            </w:r>
            <w:r>
              <w:rPr>
                <w:rFonts w:ascii="Times New Roman" w:hAnsi="Times New Roman"/>
                <w:bCs/>
                <w:color w:val="auto"/>
                <w:kern w:val="0"/>
                <w:sz w:val="24"/>
                <w:highlight w:val="none"/>
              </w:rPr>
              <w:t xml:space="preserve"> </w:t>
            </w:r>
            <w:r>
              <w:rPr>
                <w:rFonts w:hint="eastAsia" w:ascii="Times New Roman" w:hAnsi="Times New Roman"/>
                <w:bCs/>
                <w:color w:val="auto"/>
                <w:kern w:val="0"/>
                <w:sz w:val="24"/>
                <w:highlight w:val="none"/>
              </w:rPr>
              <w:t>地表水环境》（</w:t>
            </w:r>
            <w:r>
              <w:rPr>
                <w:rFonts w:ascii="Times New Roman" w:hAnsi="Times New Roman"/>
                <w:bCs/>
                <w:color w:val="auto"/>
                <w:kern w:val="0"/>
                <w:sz w:val="24"/>
                <w:highlight w:val="none"/>
              </w:rPr>
              <w:t>HJ2.3-2018</w:t>
            </w:r>
            <w:r>
              <w:rPr>
                <w:rFonts w:hint="eastAsia" w:ascii="Times New Roman" w:hAnsi="Times New Roman"/>
                <w:bCs/>
                <w:color w:val="auto"/>
                <w:kern w:val="0"/>
                <w:sz w:val="24"/>
                <w:highlight w:val="none"/>
              </w:rPr>
              <w:t>）</w:t>
            </w:r>
            <w:r>
              <w:rPr>
                <w:rFonts w:hint="eastAsia"/>
                <w:bCs/>
                <w:color w:val="auto"/>
                <w:kern w:val="0"/>
                <w:sz w:val="24"/>
                <w:highlight w:val="none"/>
                <w:lang w:eastAsia="zh-CN"/>
              </w:rPr>
              <w:t>，本项目</w:t>
            </w:r>
            <w:r>
              <w:rPr>
                <w:rFonts w:hint="eastAsia" w:ascii="Times New Roman" w:hAnsi="Times New Roman"/>
                <w:color w:val="auto"/>
                <w:sz w:val="24"/>
                <w:szCs w:val="24"/>
                <w:highlight w:val="none"/>
              </w:rPr>
              <w:t>评价等级判定为三级B，不进行水环境影响预测</w:t>
            </w:r>
            <w:r>
              <w:rPr>
                <w:rFonts w:hint="eastAsia"/>
                <w:color w:val="auto"/>
                <w:sz w:val="24"/>
                <w:szCs w:val="24"/>
                <w:highlight w:val="none"/>
                <w:lang w:eastAsia="zh-CN"/>
              </w:rPr>
              <w:t>，</w:t>
            </w:r>
            <w:r>
              <w:rPr>
                <w:rFonts w:hint="eastAsia" w:ascii="Times New Roman" w:hAnsi="Times New Roman" w:cs="Times New Roman"/>
                <w:b w:val="0"/>
                <w:bCs w:val="0"/>
                <w:color w:val="auto"/>
                <w:sz w:val="24"/>
                <w:szCs w:val="24"/>
                <w:highlight w:val="none"/>
                <w:lang w:eastAsia="zh-CN"/>
              </w:rPr>
              <w:t>不设</w:t>
            </w:r>
            <w:r>
              <w:rPr>
                <w:rFonts w:hint="eastAsia" w:cs="Times New Roman"/>
                <w:b w:val="0"/>
                <w:bCs w:val="0"/>
                <w:color w:val="auto"/>
                <w:sz w:val="24"/>
                <w:szCs w:val="24"/>
                <w:highlight w:val="none"/>
                <w:lang w:eastAsia="zh-CN"/>
              </w:rPr>
              <w:t>水</w:t>
            </w:r>
            <w:r>
              <w:rPr>
                <w:rFonts w:hint="eastAsia" w:ascii="Times New Roman" w:hAnsi="Times New Roman" w:cs="Times New Roman"/>
                <w:b w:val="0"/>
                <w:bCs w:val="0"/>
                <w:color w:val="auto"/>
                <w:sz w:val="24"/>
                <w:szCs w:val="24"/>
                <w:highlight w:val="none"/>
                <w:lang w:eastAsia="zh-CN"/>
              </w:rPr>
              <w:t>环境影响评价范围</w:t>
            </w:r>
            <w:r>
              <w:rPr>
                <w:rFonts w:hint="eastAsia" w:cs="Times New Roman"/>
                <w:b w:val="0"/>
                <w:bCs w:val="0"/>
                <w:color w:val="auto"/>
                <w:sz w:val="24"/>
                <w:szCs w:val="24"/>
                <w:highlight w:val="none"/>
                <w:lang w:eastAsia="zh-CN"/>
              </w:rPr>
              <w:t>，因此无水环境保护目标</w:t>
            </w:r>
            <w:r>
              <w:rPr>
                <w:rFonts w:hint="eastAsia" w:ascii="Times New Roman" w:hAnsi="Times New Roman" w:cs="Times New Roman"/>
                <w:b w:val="0"/>
                <w:bCs w:val="0"/>
                <w:color w:val="auto"/>
                <w:sz w:val="24"/>
                <w:szCs w:val="24"/>
                <w:highlight w:val="none"/>
                <w:lang w:eastAsia="zh-CN"/>
              </w:rPr>
              <w:t>。</w:t>
            </w:r>
          </w:p>
          <w:p>
            <w:pPr>
              <w:keepNext w:val="0"/>
              <w:keepLines w:val="0"/>
              <w:pageBreakBefore w:val="0"/>
              <w:widowControl w:val="0"/>
              <w:tabs>
                <w:tab w:val="left" w:pos="360"/>
              </w:tabs>
              <w:kinsoku/>
              <w:wordWrap/>
              <w:overflowPunct/>
              <w:topLinePunct w:val="0"/>
              <w:bidi w:val="0"/>
              <w:snapToGrid w:val="0"/>
              <w:spacing w:line="336" w:lineRule="auto"/>
              <w:ind w:left="4" w:firstLine="482" w:firstLineChars="200"/>
              <w:rPr>
                <w:b/>
                <w:color w:val="auto"/>
                <w:sz w:val="24"/>
                <w:highlight w:val="none"/>
                <w:shd w:val="clear" w:color="auto" w:fill="auto"/>
              </w:rPr>
            </w:pPr>
            <w:r>
              <w:rPr>
                <w:b/>
                <w:color w:val="auto"/>
                <w:sz w:val="24"/>
                <w:highlight w:val="none"/>
                <w:shd w:val="clear" w:color="auto" w:fill="auto"/>
              </w:rPr>
              <w:t>2、环境空气保护目标</w:t>
            </w:r>
          </w:p>
          <w:p>
            <w:pPr>
              <w:keepNext w:val="0"/>
              <w:keepLines w:val="0"/>
              <w:pageBreakBefore w:val="0"/>
              <w:widowControl w:val="0"/>
              <w:kinsoku/>
              <w:wordWrap/>
              <w:overflowPunct/>
              <w:topLinePunct w:val="0"/>
              <w:bidi w:val="0"/>
              <w:snapToGrid w:val="0"/>
              <w:spacing w:line="336" w:lineRule="auto"/>
              <w:ind w:firstLine="480" w:firstLineChars="200"/>
              <w:rPr>
                <w:color w:val="auto"/>
                <w:sz w:val="24"/>
                <w:highlight w:val="none"/>
                <w:shd w:val="clear" w:color="auto" w:fill="auto"/>
              </w:rPr>
            </w:pPr>
            <w:r>
              <w:rPr>
                <w:rFonts w:hint="default" w:ascii="Times New Roman" w:hAnsi="Times New Roman" w:cs="Times New Roman"/>
                <w:color w:val="auto"/>
                <w:sz w:val="24"/>
                <w:highlight w:val="none"/>
              </w:rPr>
              <w:t>环境空气保护目标是周围地区的环境在本项目建成后不受明显影响，保护该区域环境空气质量符合</w:t>
            </w:r>
            <w:r>
              <w:rPr>
                <w:rFonts w:hint="eastAsia"/>
                <w:color w:val="auto"/>
                <w:kern w:val="0"/>
                <w:sz w:val="24"/>
                <w:szCs w:val="24"/>
                <w:highlight w:val="none"/>
                <w:lang w:eastAsia="zh-CN"/>
              </w:rPr>
              <w:t>《环境空气质量标准》（GB3095-2012）及其修改单中的二级标准</w:t>
            </w:r>
            <w:r>
              <w:rPr>
                <w:rFonts w:hint="eastAsia" w:ascii="Times New Roman" w:hAnsi="Times New Roman" w:cs="Times New Roman"/>
                <w:color w:val="auto"/>
                <w:sz w:val="24"/>
                <w:highlight w:val="none"/>
                <w:lang w:eastAsia="zh-CN"/>
              </w:rPr>
              <w:t>。</w:t>
            </w:r>
            <w:r>
              <w:rPr>
                <w:rFonts w:hint="eastAsia" w:ascii="Times New Roman" w:hAnsi="Times New Roman" w:cs="Times New Roman"/>
                <w:b w:val="0"/>
                <w:bCs w:val="0"/>
                <w:color w:val="auto"/>
                <w:sz w:val="24"/>
                <w:szCs w:val="24"/>
                <w:highlight w:val="none"/>
                <w:lang w:eastAsia="zh-CN"/>
              </w:rPr>
              <w:t>根据</w:t>
            </w:r>
            <w:r>
              <w:rPr>
                <w:rFonts w:hint="default" w:ascii="Times New Roman" w:hAnsi="Times New Roman" w:cs="Times New Roman"/>
                <w:b w:val="0"/>
                <w:bCs w:val="0"/>
                <w:color w:val="auto"/>
                <w:sz w:val="24"/>
                <w:szCs w:val="24"/>
                <w:highlight w:val="none"/>
              </w:rPr>
              <w:t>《环境影响评价技术导则</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大气环境》（HJ2.2-2018）</w:t>
            </w:r>
            <w:r>
              <w:rPr>
                <w:rFonts w:hint="eastAsia" w:ascii="Times New Roman" w:hAnsi="Times New Roman" w:cs="Times New Roman"/>
                <w:b w:val="0"/>
                <w:bCs w:val="0"/>
                <w:color w:val="auto"/>
                <w:sz w:val="24"/>
                <w:szCs w:val="24"/>
                <w:highlight w:val="none"/>
                <w:lang w:eastAsia="zh-CN"/>
              </w:rPr>
              <w:t>和估算结果</w:t>
            </w:r>
            <w:r>
              <w:rPr>
                <w:rFonts w:hint="default" w:ascii="Times New Roman" w:hAnsi="Times New Roman" w:cs="Times New Roman"/>
                <w:b w:val="0"/>
                <w:bCs w:val="0"/>
                <w:color w:val="auto"/>
                <w:sz w:val="24"/>
                <w:szCs w:val="24"/>
                <w:highlight w:val="none"/>
              </w:rPr>
              <w:t>，</w:t>
            </w:r>
            <w:r>
              <w:rPr>
                <w:rFonts w:hint="eastAsia" w:ascii="Times New Roman" w:hAnsi="Times New Roman" w:cs="Times New Roman"/>
                <w:b w:val="0"/>
                <w:bCs w:val="0"/>
                <w:color w:val="auto"/>
                <w:sz w:val="24"/>
                <w:szCs w:val="24"/>
                <w:highlight w:val="none"/>
                <w:lang w:eastAsia="zh-CN"/>
              </w:rPr>
              <w:t>本</w:t>
            </w:r>
            <w:r>
              <w:rPr>
                <w:rFonts w:hint="default" w:ascii="Times New Roman" w:hAnsi="Times New Roman" w:cs="Times New Roman"/>
                <w:b w:val="0"/>
                <w:bCs w:val="0"/>
                <w:color w:val="auto"/>
                <w:sz w:val="24"/>
                <w:szCs w:val="24"/>
                <w:highlight w:val="none"/>
              </w:rPr>
              <w:t>项目大气环境影响评价工作等级为</w:t>
            </w:r>
            <w:r>
              <w:rPr>
                <w:rFonts w:hint="eastAsia" w:cs="Times New Roman"/>
                <w:b w:val="0"/>
                <w:bCs w:val="0"/>
                <w:color w:val="auto"/>
                <w:sz w:val="24"/>
                <w:szCs w:val="24"/>
                <w:highlight w:val="none"/>
                <w:lang w:eastAsia="zh-CN"/>
              </w:rPr>
              <w:t>三</w:t>
            </w:r>
            <w:r>
              <w:rPr>
                <w:rFonts w:hint="default" w:ascii="Times New Roman" w:hAnsi="Times New Roman" w:cs="Times New Roman"/>
                <w:b w:val="0"/>
                <w:bCs w:val="0"/>
                <w:color w:val="auto"/>
                <w:sz w:val="24"/>
                <w:szCs w:val="24"/>
                <w:highlight w:val="none"/>
              </w:rPr>
              <w:t>级</w:t>
            </w:r>
            <w:r>
              <w:rPr>
                <w:rFonts w:hint="eastAsia" w:ascii="Times New Roman" w:hAnsi="Times New Roman" w:cs="Times New Roman"/>
                <w:b w:val="0"/>
                <w:bCs w:val="0"/>
                <w:color w:val="auto"/>
                <w:sz w:val="24"/>
                <w:szCs w:val="24"/>
                <w:highlight w:val="none"/>
                <w:lang w:eastAsia="zh-CN"/>
              </w:rPr>
              <w:t>，不设大气环境影响评价范围</w:t>
            </w:r>
            <w:r>
              <w:rPr>
                <w:rFonts w:hint="eastAsia" w:cs="Times New Roman"/>
                <w:b w:val="0"/>
                <w:bCs w:val="0"/>
                <w:color w:val="auto"/>
                <w:sz w:val="24"/>
                <w:szCs w:val="24"/>
                <w:highlight w:val="none"/>
                <w:lang w:eastAsia="zh-CN"/>
              </w:rPr>
              <w:t>，因此无环境空气保护目标</w:t>
            </w:r>
            <w:r>
              <w:rPr>
                <w:rFonts w:hint="eastAsia" w:ascii="Times New Roman" w:hAnsi="Times New Roman" w:cs="Times New Roman"/>
                <w:b w:val="0"/>
                <w:bCs w:val="0"/>
                <w:color w:val="auto"/>
                <w:sz w:val="24"/>
                <w:szCs w:val="24"/>
                <w:highlight w:val="none"/>
                <w:lang w:eastAsia="zh-CN"/>
              </w:rPr>
              <w:t>。</w:t>
            </w:r>
          </w:p>
          <w:p>
            <w:pPr>
              <w:keepNext w:val="0"/>
              <w:keepLines w:val="0"/>
              <w:pageBreakBefore w:val="0"/>
              <w:widowControl w:val="0"/>
              <w:tabs>
                <w:tab w:val="left" w:pos="360"/>
              </w:tabs>
              <w:kinsoku/>
              <w:wordWrap/>
              <w:overflowPunct/>
              <w:topLinePunct w:val="0"/>
              <w:bidi w:val="0"/>
              <w:snapToGrid w:val="0"/>
              <w:spacing w:line="336" w:lineRule="auto"/>
              <w:ind w:left="4" w:firstLine="482" w:firstLineChars="200"/>
              <w:rPr>
                <w:b/>
                <w:color w:val="auto"/>
                <w:sz w:val="24"/>
                <w:highlight w:val="none"/>
                <w:shd w:val="clear" w:color="auto" w:fill="auto"/>
              </w:rPr>
            </w:pPr>
            <w:r>
              <w:rPr>
                <w:b/>
                <w:color w:val="auto"/>
                <w:sz w:val="24"/>
                <w:highlight w:val="none"/>
                <w:shd w:val="clear" w:color="auto" w:fill="auto"/>
              </w:rPr>
              <w:t>3、声环境保护目标</w:t>
            </w:r>
          </w:p>
          <w:p>
            <w:pPr>
              <w:pStyle w:val="92"/>
              <w:keepNext w:val="0"/>
              <w:keepLines w:val="0"/>
              <w:pageBreakBefore w:val="0"/>
              <w:widowControl w:val="0"/>
              <w:kinsoku/>
              <w:wordWrap/>
              <w:overflowPunct/>
              <w:topLinePunct w:val="0"/>
              <w:bidi w:val="0"/>
              <w:spacing w:line="336" w:lineRule="auto"/>
              <w:rPr>
                <w:rFonts w:ascii="宋体" w:hAnsi="宋体"/>
                <w:color w:val="auto"/>
                <w:highlight w:val="none"/>
                <w:shd w:val="clear" w:color="auto" w:fill="auto"/>
              </w:rPr>
            </w:pPr>
            <w:r>
              <w:rPr>
                <w:rFonts w:hint="default" w:ascii="Times New Roman" w:hAnsi="Times New Roman" w:cs="Times New Roman"/>
                <w:color w:val="auto"/>
                <w:sz w:val="24"/>
                <w:highlight w:val="none"/>
              </w:rPr>
              <w:t>声环境保护目标是确保该区域的声环境达到《声环境质量标准》(GB3096-2008)中的</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w:t>
            </w:r>
            <w:r>
              <w:rPr>
                <w:color w:val="auto"/>
                <w:sz w:val="24"/>
                <w:highlight w:val="none"/>
                <w:shd w:val="clear" w:color="auto" w:fill="auto"/>
              </w:rPr>
              <w:t>标准。</w:t>
            </w:r>
            <w:r>
              <w:rPr>
                <w:rFonts w:hint="default" w:ascii="Times New Roman" w:hAnsi="Times New Roman" w:cs="Times New Roman"/>
                <w:color w:val="auto"/>
                <w:sz w:val="24"/>
                <w:highlight w:val="none"/>
              </w:rPr>
              <w:t>项目</w:t>
            </w:r>
            <w:r>
              <w:rPr>
                <w:rFonts w:hint="eastAsia" w:cs="Times New Roman"/>
                <w:color w:val="auto"/>
                <w:sz w:val="24"/>
                <w:highlight w:val="none"/>
                <w:lang w:eastAsia="zh-CN"/>
              </w:rPr>
              <w:t>声环境评价范围为</w:t>
            </w:r>
            <w:r>
              <w:rPr>
                <w:rFonts w:hint="default" w:ascii="Times New Roman" w:hAnsi="Times New Roman" w:cs="Times New Roman"/>
                <w:color w:val="auto"/>
                <w:sz w:val="24"/>
                <w:highlight w:val="none"/>
              </w:rPr>
              <w:t>200米</w:t>
            </w:r>
            <w:r>
              <w:rPr>
                <w:rFonts w:hint="eastAsia" w:cs="Times New Roman"/>
                <w:color w:val="auto"/>
                <w:sz w:val="24"/>
                <w:highlight w:val="none"/>
                <w:lang w:eastAsia="zh-CN"/>
              </w:rPr>
              <w:t>，评价</w:t>
            </w:r>
            <w:r>
              <w:rPr>
                <w:rFonts w:hint="default" w:ascii="Times New Roman" w:hAnsi="Times New Roman" w:cs="Times New Roman"/>
                <w:color w:val="auto"/>
                <w:sz w:val="24"/>
                <w:highlight w:val="none"/>
              </w:rPr>
              <w:t>范围内</w:t>
            </w:r>
            <w:r>
              <w:rPr>
                <w:rFonts w:hint="eastAsia" w:cs="Times New Roman"/>
                <w:color w:val="auto"/>
                <w:sz w:val="24"/>
                <w:highlight w:val="none"/>
                <w:lang w:eastAsia="zh-CN"/>
              </w:rPr>
              <w:t>无</w:t>
            </w:r>
            <w:r>
              <w:rPr>
                <w:rFonts w:hint="default" w:ascii="Times New Roman" w:hAnsi="Times New Roman" w:cs="Times New Roman"/>
                <w:color w:val="auto"/>
                <w:sz w:val="24"/>
                <w:highlight w:val="none"/>
              </w:rPr>
              <w:t>敏感点</w:t>
            </w:r>
            <w:r>
              <w:rPr>
                <w:rFonts w:hint="eastAsia" w:cs="Times New Roman"/>
                <w:color w:val="auto"/>
                <w:sz w:val="24"/>
                <w:highlight w:val="none"/>
                <w:lang w:eastAsia="zh-CN"/>
              </w:rPr>
              <w:t>，详见附图</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rPr>
              <w:t>。</w:t>
            </w:r>
          </w:p>
          <w:p>
            <w:pPr>
              <w:pStyle w:val="19"/>
              <w:spacing w:line="360" w:lineRule="auto"/>
              <w:ind w:firstLine="422" w:firstLineChars="200"/>
              <w:rPr>
                <w:rFonts w:hint="eastAsia" w:ascii="Times New Roman" w:hAnsi="Times New Roman" w:eastAsia="宋体" w:cs="Times New Roman"/>
                <w:b/>
                <w:color w:val="auto"/>
                <w:kern w:val="2"/>
                <w:sz w:val="21"/>
                <w:szCs w:val="21"/>
                <w:highlight w:val="none"/>
                <w:lang w:val="en-US" w:eastAsia="zh-CN" w:bidi="ar-SA"/>
              </w:rPr>
            </w:pPr>
          </w:p>
          <w:p>
            <w:pPr>
              <w:pStyle w:val="19"/>
              <w:numPr>
                <w:ilvl w:val="0"/>
                <w:numId w:val="0"/>
              </w:numPr>
              <w:spacing w:line="360" w:lineRule="auto"/>
              <w:rPr>
                <w:rFonts w:hint="default" w:cs="Times New Roman"/>
                <w:b w:val="0"/>
                <w:bCs w:val="0"/>
                <w:color w:val="auto"/>
                <w:kern w:val="2"/>
                <w:sz w:val="24"/>
                <w:szCs w:val="22"/>
                <w:highlight w:val="none"/>
                <w:lang w:val="en-US" w:eastAsia="zh-CN" w:bidi="ar-SA"/>
              </w:rPr>
            </w:pPr>
            <w:r>
              <w:rPr>
                <w:rFonts w:hint="eastAsia" w:cs="Times New Roman"/>
                <w:b w:val="0"/>
                <w:bCs w:val="0"/>
                <w:color w:val="auto"/>
                <w:kern w:val="2"/>
                <w:sz w:val="24"/>
                <w:szCs w:val="22"/>
                <w:highlight w:val="none"/>
                <w:lang w:val="en-US" w:eastAsia="zh-CN" w:bidi="ar-SA"/>
              </w:rPr>
              <w:t xml:space="preserve">    </w:t>
            </w:r>
          </w:p>
        </w:tc>
      </w:tr>
    </w:tbl>
    <w:p>
      <w:pPr>
        <w:pStyle w:val="16"/>
        <w:spacing w:before="0" w:after="0" w:line="240" w:lineRule="auto"/>
        <w:rPr>
          <w:color w:val="auto"/>
          <w:sz w:val="28"/>
          <w:szCs w:val="28"/>
          <w:highlight w:val="none"/>
        </w:rPr>
      </w:pPr>
      <w:bookmarkStart w:id="30" w:name="_Toc421053061"/>
      <w:bookmarkStart w:id="31" w:name="_Toc423079057"/>
      <w:bookmarkStart w:id="32" w:name="_Toc429307986"/>
      <w:bookmarkStart w:id="33" w:name="_Toc419969244"/>
      <w:bookmarkStart w:id="34" w:name="_Toc421087971"/>
      <w:bookmarkStart w:id="35" w:name="_Toc451440904"/>
      <w:bookmarkStart w:id="36" w:name="_Toc5214"/>
      <w:bookmarkStart w:id="37" w:name="_Toc11614"/>
      <w:bookmarkStart w:id="38" w:name="_Toc7150"/>
      <w:bookmarkStart w:id="39" w:name="_Toc420709131"/>
      <w:r>
        <w:rPr>
          <w:color w:val="auto"/>
          <w:sz w:val="28"/>
          <w:szCs w:val="28"/>
          <w:highlight w:val="none"/>
        </w:rPr>
        <w:t>四、评价适用标准</w:t>
      </w:r>
      <w:bookmarkEnd w:id="30"/>
      <w:bookmarkEnd w:id="31"/>
      <w:bookmarkEnd w:id="32"/>
      <w:bookmarkEnd w:id="33"/>
      <w:bookmarkEnd w:id="34"/>
      <w:bookmarkEnd w:id="35"/>
      <w:bookmarkEnd w:id="36"/>
      <w:bookmarkEnd w:id="37"/>
      <w:bookmarkEnd w:id="38"/>
      <w:bookmarkEnd w:id="39"/>
    </w:p>
    <w:tbl>
      <w:tblPr>
        <w:tblStyle w:val="34"/>
        <w:tblW w:w="92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6"/>
        <w:gridCol w:w="8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0" w:hRule="atLeast"/>
          <w:jc w:val="center"/>
        </w:trPr>
        <w:tc>
          <w:tcPr>
            <w:tcW w:w="846" w:type="dxa"/>
            <w:tcBorders>
              <w:top w:val="single" w:color="auto" w:sz="12" w:space="0"/>
            </w:tcBorders>
            <w:textDirection w:val="tbRlV"/>
            <w:vAlign w:val="center"/>
          </w:tcPr>
          <w:p>
            <w:pPr>
              <w:spacing w:line="360" w:lineRule="auto"/>
              <w:ind w:left="113" w:right="113"/>
              <w:jc w:val="center"/>
              <w:rPr>
                <w:color w:val="auto"/>
                <w:sz w:val="24"/>
                <w:szCs w:val="24"/>
                <w:highlight w:val="none"/>
              </w:rPr>
            </w:pPr>
            <w:r>
              <w:rPr>
                <w:b/>
                <w:bCs/>
                <w:color w:val="auto"/>
                <w:sz w:val="28"/>
                <w:szCs w:val="28"/>
                <w:highlight w:val="none"/>
              </w:rPr>
              <w:t>环境质量标准</w:t>
            </w:r>
          </w:p>
        </w:tc>
        <w:tc>
          <w:tcPr>
            <w:tcW w:w="8417" w:type="dxa"/>
            <w:tcBorders>
              <w:top w:val="single" w:color="auto" w:sz="12" w:space="0"/>
            </w:tcBorders>
            <w:vAlign w:val="top"/>
          </w:tcPr>
          <w:p>
            <w:pPr>
              <w:pStyle w:val="68"/>
              <w:autoSpaceDE w:val="0"/>
              <w:autoSpaceDN w:val="0"/>
              <w:adjustRightInd w:val="0"/>
              <w:spacing w:line="360" w:lineRule="auto"/>
              <w:ind w:firstLine="480"/>
              <w:rPr>
                <w:color w:val="auto"/>
                <w:kern w:val="0"/>
                <w:sz w:val="24"/>
                <w:szCs w:val="24"/>
                <w:highlight w:val="none"/>
              </w:rPr>
            </w:pPr>
            <w:r>
              <w:rPr>
                <w:color w:val="auto"/>
                <w:kern w:val="0"/>
                <w:sz w:val="24"/>
                <w:szCs w:val="24"/>
                <w:highlight w:val="none"/>
              </w:rPr>
              <w:t>1、环境空气质量标准：执行</w:t>
            </w:r>
            <w:r>
              <w:rPr>
                <w:rFonts w:hint="eastAsia"/>
                <w:color w:val="auto"/>
                <w:kern w:val="0"/>
                <w:sz w:val="24"/>
                <w:szCs w:val="24"/>
                <w:highlight w:val="none"/>
                <w:lang w:eastAsia="zh-CN"/>
              </w:rPr>
              <w:t>《环境空气质量标准》（GB3095-2012）及其修改单中的二级标准。</w:t>
            </w:r>
          </w:p>
          <w:p>
            <w:pPr>
              <w:pStyle w:val="68"/>
              <w:autoSpaceDE w:val="0"/>
              <w:autoSpaceDN w:val="0"/>
              <w:adjustRightInd w:val="0"/>
              <w:spacing w:line="360" w:lineRule="auto"/>
              <w:ind w:firstLine="0" w:firstLineChars="0"/>
              <w:jc w:val="center"/>
              <w:rPr>
                <w:b/>
                <w:bCs/>
                <w:color w:val="auto"/>
                <w:szCs w:val="21"/>
                <w:highlight w:val="none"/>
              </w:rPr>
            </w:pPr>
            <w:r>
              <w:rPr>
                <w:b/>
                <w:bCs/>
                <w:color w:val="auto"/>
                <w:szCs w:val="21"/>
                <w:highlight w:val="none"/>
              </w:rPr>
              <w:t>表4-1  环境空气质量标准</w:t>
            </w:r>
          </w:p>
          <w:tbl>
            <w:tblPr>
              <w:tblStyle w:val="34"/>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276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污染物名称</w:t>
                  </w:r>
                </w:p>
              </w:tc>
              <w:tc>
                <w:tcPr>
                  <w:tcW w:w="2767"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取值时间</w:t>
                  </w:r>
                </w:p>
              </w:tc>
              <w:tc>
                <w:tcPr>
                  <w:tcW w:w="2976" w:type="dxa"/>
                  <w:tcBorders>
                    <w:tl2br w:val="nil"/>
                    <w:tr2bl w:val="nil"/>
                  </w:tcBorders>
                  <w:vAlign w:val="center"/>
                </w:tcPr>
                <w:p>
                  <w:pPr>
                    <w:adjustRightInd w:val="0"/>
                    <w:snapToGrid w:val="0"/>
                    <w:jc w:val="center"/>
                    <w:rPr>
                      <w:bCs/>
                      <w:color w:val="auto"/>
                      <w:szCs w:val="21"/>
                      <w:highlight w:val="none"/>
                    </w:rPr>
                  </w:pPr>
                  <w:r>
                    <w:rPr>
                      <w:bCs/>
                      <w:color w:val="auto"/>
                      <w:szCs w:val="21"/>
                      <w:highlight w:val="none"/>
                    </w:rPr>
                    <w:t>浓度限值(μg/m</w:t>
                  </w:r>
                  <w:r>
                    <w:rPr>
                      <w:bCs/>
                      <w:color w:val="auto"/>
                      <w:szCs w:val="21"/>
                      <w:highlight w:val="none"/>
                      <w:vertAlign w:val="superscript"/>
                    </w:rPr>
                    <w:t>3</w:t>
                  </w:r>
                  <w:r>
                    <w:rPr>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color w:val="auto"/>
                      <w:szCs w:val="21"/>
                      <w:highlight w:val="none"/>
                    </w:rPr>
                    <w:t>SO</w:t>
                  </w:r>
                  <w:r>
                    <w:rPr>
                      <w:color w:val="auto"/>
                      <w:szCs w:val="21"/>
                      <w:highlight w:val="none"/>
                      <w:vertAlign w:val="subscript"/>
                    </w:rPr>
                    <w:t>2</w:t>
                  </w: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年平均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6</w:t>
                  </w: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24小时平均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1小时平均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color w:val="auto"/>
                      <w:szCs w:val="21"/>
                      <w:highlight w:val="none"/>
                    </w:rPr>
                    <w:t>NO</w:t>
                  </w:r>
                  <w:r>
                    <w:rPr>
                      <w:color w:val="auto"/>
                      <w:szCs w:val="21"/>
                      <w:highlight w:val="none"/>
                      <w:vertAlign w:val="subscript"/>
                    </w:rPr>
                    <w:t>2</w:t>
                  </w: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年平均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24小时平均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1小时平均</w:t>
                  </w:r>
                </w:p>
              </w:tc>
              <w:tc>
                <w:tcPr>
                  <w:tcW w:w="2976" w:type="dxa"/>
                  <w:tcBorders>
                    <w:tl2br w:val="nil"/>
                    <w:tr2bl w:val="nil"/>
                  </w:tcBorders>
                  <w:vAlign w:val="center"/>
                </w:tcPr>
                <w:p>
                  <w:pPr>
                    <w:pStyle w:val="56"/>
                    <w:adjustRightInd w:val="0"/>
                    <w:snapToGrid w:val="0"/>
                    <w:spacing w:beforeLines="0" w:line="240" w:lineRule="auto"/>
                    <w:ind w:firstLine="0" w:firstLineChars="0"/>
                    <w:jc w:val="center"/>
                    <w:textAlignment w:val="baseline"/>
                    <w:rPr>
                      <w:bCs w:val="0"/>
                      <w:color w:val="auto"/>
                      <w:sz w:val="21"/>
                      <w:szCs w:val="21"/>
                      <w:highlight w:val="none"/>
                    </w:rPr>
                  </w:pPr>
                  <w:r>
                    <w:rPr>
                      <w:bCs w:val="0"/>
                      <w:color w:val="auto"/>
                      <w:sz w:val="21"/>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10</w:t>
                  </w: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年平均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24小时平均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2.5</w:t>
                  </w: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年平均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color w:val="auto"/>
                      <w:szCs w:val="21"/>
                      <w:highlight w:val="none"/>
                    </w:rPr>
                    <w:t>24小时平均</w:t>
                  </w:r>
                </w:p>
              </w:tc>
              <w:tc>
                <w:tcPr>
                  <w:tcW w:w="2976" w:type="dxa"/>
                  <w:tcBorders>
                    <w:tl2br w:val="nil"/>
                    <w:tr2bl w:val="nil"/>
                  </w:tcBorders>
                  <w:vAlign w:val="center"/>
                </w:tcPr>
                <w:p>
                  <w:pPr>
                    <w:adjustRightInd w:val="0"/>
                    <w:snapToGrid w:val="0"/>
                    <w:jc w:val="center"/>
                    <w:rPr>
                      <w:color w:val="auto"/>
                      <w:szCs w:val="21"/>
                      <w:highlight w:val="none"/>
                    </w:rPr>
                  </w:pPr>
                  <w:r>
                    <w:rPr>
                      <w:color w:val="auto"/>
                      <w:szCs w:val="21"/>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O</w:t>
                  </w:r>
                  <w:r>
                    <w:rPr>
                      <w:rFonts w:hint="eastAsia"/>
                      <w:color w:val="auto"/>
                      <w:szCs w:val="21"/>
                      <w:highlight w:val="none"/>
                      <w:vertAlign w:val="subscript"/>
                    </w:rPr>
                    <w:t>3</w:t>
                  </w:r>
                </w:p>
              </w:tc>
              <w:tc>
                <w:tcPr>
                  <w:tcW w:w="2767"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日最大8小时平均</w:t>
                  </w:r>
                </w:p>
              </w:tc>
              <w:tc>
                <w:tcPr>
                  <w:tcW w:w="2976" w:type="dxa"/>
                  <w:tcBorders>
                    <w:tl2br w:val="nil"/>
                    <w:tr2bl w:val="nil"/>
                  </w:tcBorders>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 xml:space="preserve">1小时平均 </w:t>
                  </w:r>
                </w:p>
              </w:tc>
              <w:tc>
                <w:tcPr>
                  <w:tcW w:w="2976" w:type="dxa"/>
                  <w:tcBorders>
                    <w:tl2br w:val="nil"/>
                    <w:tr2bl w:val="nil"/>
                  </w:tcBorders>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restart"/>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CO</w:t>
                  </w:r>
                </w:p>
              </w:tc>
              <w:tc>
                <w:tcPr>
                  <w:tcW w:w="2767"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 xml:space="preserve">24小时平均 </w:t>
                  </w:r>
                </w:p>
              </w:tc>
              <w:tc>
                <w:tcPr>
                  <w:tcW w:w="2976"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424" w:type="dxa"/>
                  <w:vMerge w:val="continue"/>
                  <w:tcBorders>
                    <w:tl2br w:val="nil"/>
                    <w:tr2bl w:val="nil"/>
                  </w:tcBorders>
                  <w:vAlign w:val="center"/>
                </w:tcPr>
                <w:p>
                  <w:pPr>
                    <w:adjustRightInd w:val="0"/>
                    <w:snapToGrid w:val="0"/>
                    <w:jc w:val="center"/>
                    <w:rPr>
                      <w:color w:val="auto"/>
                      <w:szCs w:val="21"/>
                      <w:highlight w:val="none"/>
                    </w:rPr>
                  </w:pPr>
                </w:p>
              </w:tc>
              <w:tc>
                <w:tcPr>
                  <w:tcW w:w="2767"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 xml:space="preserve">1小时平均 </w:t>
                  </w:r>
                </w:p>
              </w:tc>
              <w:tc>
                <w:tcPr>
                  <w:tcW w:w="2976" w:type="dxa"/>
                  <w:tcBorders>
                    <w:tl2br w:val="nil"/>
                    <w:tr2bl w:val="nil"/>
                  </w:tcBorders>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10000</w:t>
                  </w:r>
                </w:p>
              </w:tc>
            </w:tr>
          </w:tbl>
          <w:p>
            <w:pPr>
              <w:autoSpaceDE w:val="0"/>
              <w:autoSpaceDN w:val="0"/>
              <w:adjustRightInd w:val="0"/>
              <w:spacing w:line="360" w:lineRule="auto"/>
              <w:ind w:firstLine="480" w:firstLineChars="200"/>
              <w:rPr>
                <w:color w:val="auto"/>
                <w:kern w:val="0"/>
                <w:sz w:val="24"/>
                <w:szCs w:val="24"/>
                <w:highlight w:val="none"/>
              </w:rPr>
            </w:pPr>
            <w:r>
              <w:rPr>
                <w:color w:val="auto"/>
                <w:kern w:val="0"/>
                <w:sz w:val="24"/>
                <w:szCs w:val="24"/>
                <w:highlight w:val="none"/>
              </w:rPr>
              <w:t>2、地表水环境质量标准：</w:t>
            </w:r>
            <w:r>
              <w:rPr>
                <w:rFonts w:hint="eastAsia" w:ascii="Times New Roman" w:hAnsi="Times New Roman"/>
                <w:color w:val="auto"/>
                <w:sz w:val="24"/>
                <w:szCs w:val="24"/>
                <w:highlight w:val="none"/>
                <w:lang w:eastAsia="zh-CN"/>
              </w:rPr>
              <w:t>执行《地表水环境质量标准》（GB3838—2002）II类标准</w:t>
            </w:r>
            <w:r>
              <w:rPr>
                <w:rFonts w:hint="eastAsia"/>
                <w:color w:val="auto"/>
                <w:kern w:val="0"/>
                <w:sz w:val="24"/>
                <w:szCs w:val="24"/>
                <w:highlight w:val="none"/>
                <w:lang w:eastAsia="zh-CN"/>
              </w:rPr>
              <w:t>。</w:t>
            </w:r>
          </w:p>
          <w:p>
            <w:pPr>
              <w:pStyle w:val="19"/>
              <w:jc w:val="center"/>
              <w:rPr>
                <w:b/>
                <w:bCs/>
                <w:color w:val="auto"/>
                <w:sz w:val="21"/>
                <w:szCs w:val="21"/>
                <w:highlight w:val="none"/>
              </w:rPr>
            </w:pPr>
            <w:r>
              <w:rPr>
                <w:b/>
                <w:bCs/>
                <w:color w:val="auto"/>
                <w:sz w:val="21"/>
                <w:szCs w:val="21"/>
                <w:highlight w:val="none"/>
              </w:rPr>
              <w:t xml:space="preserve">表 4-2   地表水质量标准           单位：pH 无量纲，其余mg/L </w:t>
            </w:r>
          </w:p>
          <w:tbl>
            <w:tblPr>
              <w:tblStyle w:val="35"/>
              <w:tblW w:w="82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2441"/>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标准名称及级（类）别</w:t>
                  </w: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项目</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II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restart"/>
                  <w:tcBorders>
                    <w:tl2br w:val="nil"/>
                    <w:tr2bl w:val="nil"/>
                  </w:tcBorders>
                  <w:vAlign w:val="center"/>
                </w:tcPr>
                <w:p>
                  <w:pPr>
                    <w:adjustRightInd w:val="0"/>
                    <w:snapToGrid w:val="0"/>
                    <w:spacing w:line="360" w:lineRule="auto"/>
                    <w:jc w:val="center"/>
                    <w:rPr>
                      <w:rFonts w:hint="eastAsia"/>
                      <w:color w:val="auto"/>
                      <w:szCs w:val="21"/>
                      <w:highlight w:val="none"/>
                    </w:rPr>
                  </w:pPr>
                  <w:r>
                    <w:rPr>
                      <w:rFonts w:hint="eastAsia"/>
                      <w:color w:val="auto"/>
                      <w:szCs w:val="21"/>
                      <w:highlight w:val="none"/>
                    </w:rPr>
                    <w:t>《地表水环境质量标准》（GB3838-2002）标准限值</w:t>
                  </w:r>
                  <w:r>
                    <w:rPr>
                      <w:rFonts w:hint="eastAsia"/>
                      <w:color w:val="auto"/>
                      <w:szCs w:val="21"/>
                      <w:highlight w:val="none"/>
                      <w:lang w:eastAsia="zh-CN"/>
                    </w:rPr>
                    <w:t>；</w:t>
                  </w:r>
                  <w:r>
                    <w:rPr>
                      <w:rFonts w:hint="eastAsia"/>
                      <w:color w:val="auto"/>
                      <w:szCs w:val="21"/>
                      <w:highlight w:val="none"/>
                    </w:rPr>
                    <w:t>悬浮物选用《地表水资源质量标准》（SL63-94）</w:t>
                  </w:r>
                </w:p>
                <w:p>
                  <w:pPr>
                    <w:adjustRightInd w:val="0"/>
                    <w:snapToGrid w:val="0"/>
                    <w:spacing w:line="360" w:lineRule="auto"/>
                    <w:jc w:val="center"/>
                    <w:rPr>
                      <w:color w:val="auto"/>
                      <w:szCs w:val="21"/>
                      <w:highlight w:val="none"/>
                    </w:rPr>
                  </w:pPr>
                  <w:r>
                    <w:rPr>
                      <w:rFonts w:hint="eastAsia"/>
                      <w:color w:val="auto"/>
                      <w:szCs w:val="21"/>
                      <w:highlight w:val="none"/>
                    </w:rPr>
                    <w:t>标准限值</w:t>
                  </w: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pH值</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DO</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COD</w:t>
                  </w:r>
                  <w:r>
                    <w:rPr>
                      <w:rFonts w:hint="eastAsia"/>
                      <w:color w:val="auto"/>
                      <w:szCs w:val="21"/>
                      <w:highlight w:val="none"/>
                      <w:vertAlign w:val="subscript"/>
                    </w:rPr>
                    <w:t>Cr</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氨氮</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SS</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vMerge w:val="continue"/>
                  <w:tcBorders>
                    <w:tl2br w:val="nil"/>
                    <w:tr2bl w:val="nil"/>
                  </w:tcBorders>
                  <w:vAlign w:val="center"/>
                </w:tcPr>
                <w:p>
                  <w:pPr>
                    <w:adjustRightInd w:val="0"/>
                    <w:snapToGrid w:val="0"/>
                    <w:spacing w:line="360" w:lineRule="auto"/>
                    <w:jc w:val="center"/>
                    <w:rPr>
                      <w:color w:val="auto"/>
                      <w:szCs w:val="21"/>
                      <w:highlight w:val="none"/>
                    </w:rPr>
                  </w:pPr>
                </w:p>
              </w:tc>
              <w:tc>
                <w:tcPr>
                  <w:tcW w:w="2441"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总磷</w:t>
                  </w:r>
                </w:p>
              </w:tc>
              <w:tc>
                <w:tcPr>
                  <w:tcW w:w="2734" w:type="dxa"/>
                  <w:tcBorders>
                    <w:tl2br w:val="nil"/>
                    <w:tr2bl w:val="nil"/>
                  </w:tcBorders>
                  <w:vAlign w:val="center"/>
                </w:tcPr>
                <w:p>
                  <w:pPr>
                    <w:adjustRightInd w:val="0"/>
                    <w:snapToGrid w:val="0"/>
                    <w:spacing w:line="360" w:lineRule="auto"/>
                    <w:jc w:val="center"/>
                    <w:rPr>
                      <w:color w:val="auto"/>
                      <w:szCs w:val="21"/>
                      <w:highlight w:val="none"/>
                    </w:rPr>
                  </w:pPr>
                  <w:r>
                    <w:rPr>
                      <w:rFonts w:hint="eastAsia"/>
                      <w:color w:val="auto"/>
                      <w:szCs w:val="21"/>
                      <w:highlight w:val="none"/>
                    </w:rPr>
                    <w:t>≤0.1mg/L</w:t>
                  </w:r>
                </w:p>
              </w:tc>
            </w:tr>
          </w:tbl>
          <w:p>
            <w:pPr>
              <w:spacing w:line="360" w:lineRule="auto"/>
              <w:ind w:firstLine="480" w:firstLineChars="200"/>
              <w:rPr>
                <w:color w:val="auto"/>
                <w:kern w:val="0"/>
                <w:sz w:val="24"/>
                <w:szCs w:val="24"/>
                <w:highlight w:val="none"/>
              </w:rPr>
            </w:pPr>
          </w:p>
          <w:p>
            <w:pPr>
              <w:spacing w:line="360" w:lineRule="auto"/>
              <w:ind w:firstLine="480" w:firstLineChars="200"/>
              <w:rPr>
                <w:color w:val="auto"/>
                <w:kern w:val="0"/>
                <w:sz w:val="24"/>
                <w:szCs w:val="24"/>
                <w:highlight w:val="none"/>
              </w:rPr>
            </w:pPr>
          </w:p>
          <w:p>
            <w:pPr>
              <w:spacing w:line="360" w:lineRule="auto"/>
              <w:ind w:firstLine="480" w:firstLineChars="200"/>
              <w:rPr>
                <w:color w:val="auto"/>
                <w:kern w:val="0"/>
                <w:sz w:val="24"/>
                <w:szCs w:val="24"/>
                <w:highlight w:val="none"/>
              </w:rPr>
            </w:pPr>
          </w:p>
          <w:p>
            <w:pPr>
              <w:spacing w:line="360" w:lineRule="auto"/>
              <w:ind w:firstLine="480" w:firstLineChars="200"/>
              <w:rPr>
                <w:color w:val="auto"/>
                <w:kern w:val="0"/>
                <w:sz w:val="24"/>
                <w:szCs w:val="24"/>
                <w:highlight w:val="none"/>
              </w:rPr>
            </w:pPr>
          </w:p>
          <w:p>
            <w:pPr>
              <w:spacing w:line="360" w:lineRule="auto"/>
              <w:ind w:firstLine="480" w:firstLineChars="200"/>
              <w:rPr>
                <w:color w:val="auto"/>
                <w:kern w:val="0"/>
                <w:sz w:val="24"/>
                <w:szCs w:val="24"/>
                <w:highlight w:val="none"/>
              </w:rPr>
            </w:pPr>
            <w:r>
              <w:rPr>
                <w:color w:val="auto"/>
                <w:kern w:val="0"/>
                <w:sz w:val="24"/>
                <w:szCs w:val="24"/>
                <w:highlight w:val="none"/>
              </w:rPr>
              <w:t>3、声环境质量标准：执行《声环境质量标准》（GB3096-2008）中的</w:t>
            </w:r>
            <w:r>
              <w:rPr>
                <w:rFonts w:hint="eastAsia"/>
                <w:color w:val="auto"/>
                <w:kern w:val="0"/>
                <w:sz w:val="24"/>
                <w:szCs w:val="24"/>
                <w:highlight w:val="none"/>
              </w:rPr>
              <w:t>2</w:t>
            </w:r>
            <w:r>
              <w:rPr>
                <w:color w:val="auto"/>
                <w:kern w:val="0"/>
                <w:sz w:val="24"/>
                <w:szCs w:val="24"/>
                <w:highlight w:val="none"/>
              </w:rPr>
              <w:t>类标准</w:t>
            </w:r>
            <w:r>
              <w:rPr>
                <w:rFonts w:hint="eastAsia"/>
                <w:color w:val="auto"/>
                <w:kern w:val="0"/>
                <w:sz w:val="24"/>
                <w:szCs w:val="24"/>
                <w:highlight w:val="none"/>
                <w:lang w:eastAsia="zh-CN"/>
              </w:rPr>
              <w:t>。</w:t>
            </w:r>
          </w:p>
          <w:p>
            <w:pPr>
              <w:pStyle w:val="19"/>
              <w:jc w:val="center"/>
              <w:rPr>
                <w:color w:val="auto"/>
                <w:highlight w:val="none"/>
                <w:lang w:val="zh-CN"/>
              </w:rPr>
            </w:pPr>
            <w:r>
              <w:rPr>
                <w:b/>
                <w:bCs/>
                <w:color w:val="auto"/>
                <w:sz w:val="21"/>
                <w:szCs w:val="21"/>
                <w:highlight w:val="none"/>
              </w:rPr>
              <w:t>表4-3 声环境质量标准</w:t>
            </w:r>
          </w:p>
          <w:tbl>
            <w:tblPr>
              <w:tblStyle w:val="34"/>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3130"/>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vMerge w:val="restart"/>
                  <w:tcBorders>
                    <w:tl2br w:val="nil"/>
                    <w:tr2bl w:val="nil"/>
                  </w:tcBorders>
                  <w:vAlign w:val="center"/>
                </w:tcPr>
                <w:p>
                  <w:pPr>
                    <w:jc w:val="center"/>
                    <w:rPr>
                      <w:bCs/>
                      <w:color w:val="auto"/>
                      <w:szCs w:val="21"/>
                      <w:highlight w:val="none"/>
                    </w:rPr>
                  </w:pPr>
                  <w:r>
                    <w:rPr>
                      <w:bCs/>
                      <w:color w:val="auto"/>
                      <w:szCs w:val="21"/>
                      <w:highlight w:val="none"/>
                    </w:rPr>
                    <w:t>类别</w:t>
                  </w:r>
                </w:p>
              </w:tc>
              <w:tc>
                <w:tcPr>
                  <w:tcW w:w="6139" w:type="dxa"/>
                  <w:gridSpan w:val="2"/>
                  <w:tcBorders>
                    <w:tl2br w:val="nil"/>
                    <w:tr2bl w:val="nil"/>
                  </w:tcBorders>
                  <w:vAlign w:val="center"/>
                </w:tcPr>
                <w:p>
                  <w:pPr>
                    <w:jc w:val="center"/>
                    <w:rPr>
                      <w:bCs/>
                      <w:color w:val="auto"/>
                      <w:szCs w:val="21"/>
                      <w:highlight w:val="none"/>
                    </w:rPr>
                  </w:pPr>
                  <w:r>
                    <w:rPr>
                      <w:bCs/>
                      <w:color w:val="auto"/>
                      <w:szCs w:val="21"/>
                      <w:highlight w:val="none"/>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vMerge w:val="continue"/>
                  <w:tcBorders>
                    <w:tl2br w:val="nil"/>
                    <w:tr2bl w:val="nil"/>
                  </w:tcBorders>
                  <w:vAlign w:val="center"/>
                </w:tcPr>
                <w:p>
                  <w:pPr>
                    <w:jc w:val="center"/>
                    <w:rPr>
                      <w:color w:val="auto"/>
                      <w:szCs w:val="21"/>
                      <w:highlight w:val="none"/>
                    </w:rPr>
                  </w:pPr>
                </w:p>
              </w:tc>
              <w:tc>
                <w:tcPr>
                  <w:tcW w:w="3130" w:type="dxa"/>
                  <w:tcBorders>
                    <w:tl2br w:val="nil"/>
                    <w:tr2bl w:val="nil"/>
                  </w:tcBorders>
                  <w:vAlign w:val="center"/>
                </w:tcPr>
                <w:p>
                  <w:pPr>
                    <w:jc w:val="center"/>
                    <w:rPr>
                      <w:bCs/>
                      <w:color w:val="auto"/>
                      <w:szCs w:val="21"/>
                      <w:highlight w:val="none"/>
                    </w:rPr>
                  </w:pPr>
                  <w:r>
                    <w:rPr>
                      <w:bCs/>
                      <w:color w:val="auto"/>
                      <w:szCs w:val="21"/>
                      <w:highlight w:val="none"/>
                    </w:rPr>
                    <w:t>昼间</w:t>
                  </w:r>
                </w:p>
              </w:tc>
              <w:tc>
                <w:tcPr>
                  <w:tcW w:w="3009" w:type="dxa"/>
                  <w:tcBorders>
                    <w:tl2br w:val="nil"/>
                    <w:tr2bl w:val="nil"/>
                  </w:tcBorders>
                  <w:vAlign w:val="center"/>
                </w:tcPr>
                <w:p>
                  <w:pPr>
                    <w:jc w:val="center"/>
                    <w:rPr>
                      <w:bCs/>
                      <w:color w:val="auto"/>
                      <w:szCs w:val="21"/>
                      <w:highlight w:val="none"/>
                    </w:rPr>
                  </w:pPr>
                  <w:r>
                    <w:rPr>
                      <w:bCs/>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tcBorders>
                    <w:tl2br w:val="nil"/>
                    <w:tr2bl w:val="nil"/>
                  </w:tcBorders>
                  <w:vAlign w:val="center"/>
                </w:tcPr>
                <w:p>
                  <w:pPr>
                    <w:jc w:val="center"/>
                    <w:rPr>
                      <w:color w:val="auto"/>
                      <w:szCs w:val="21"/>
                      <w:highlight w:val="none"/>
                    </w:rPr>
                  </w:pPr>
                  <w:r>
                    <w:rPr>
                      <w:rFonts w:hint="eastAsia"/>
                      <w:color w:val="auto"/>
                      <w:szCs w:val="21"/>
                      <w:highlight w:val="none"/>
                    </w:rPr>
                    <w:t>2</w:t>
                  </w:r>
                </w:p>
              </w:tc>
              <w:tc>
                <w:tcPr>
                  <w:tcW w:w="3130" w:type="dxa"/>
                  <w:tcBorders>
                    <w:tl2br w:val="nil"/>
                    <w:tr2bl w:val="nil"/>
                  </w:tcBorders>
                  <w:vAlign w:val="center"/>
                </w:tcPr>
                <w:p>
                  <w:pPr>
                    <w:jc w:val="center"/>
                    <w:rPr>
                      <w:color w:val="auto"/>
                      <w:szCs w:val="21"/>
                      <w:highlight w:val="none"/>
                    </w:rPr>
                  </w:pPr>
                  <w:r>
                    <w:rPr>
                      <w:color w:val="auto"/>
                      <w:szCs w:val="21"/>
                      <w:highlight w:val="none"/>
                    </w:rPr>
                    <w:t>6</w:t>
                  </w:r>
                  <w:r>
                    <w:rPr>
                      <w:rFonts w:hint="eastAsia"/>
                      <w:color w:val="auto"/>
                      <w:szCs w:val="21"/>
                      <w:highlight w:val="none"/>
                    </w:rPr>
                    <w:t>0</w:t>
                  </w:r>
                </w:p>
              </w:tc>
              <w:tc>
                <w:tcPr>
                  <w:tcW w:w="3009" w:type="dxa"/>
                  <w:tcBorders>
                    <w:tl2br w:val="nil"/>
                    <w:tr2bl w:val="nil"/>
                  </w:tcBorders>
                  <w:vAlign w:val="center"/>
                </w:tcPr>
                <w:p>
                  <w:pPr>
                    <w:jc w:val="center"/>
                    <w:rPr>
                      <w:color w:val="auto"/>
                      <w:szCs w:val="21"/>
                      <w:highlight w:val="none"/>
                    </w:rPr>
                  </w:pPr>
                  <w:r>
                    <w:rPr>
                      <w:color w:val="auto"/>
                      <w:szCs w:val="21"/>
                      <w:highlight w:val="none"/>
                    </w:rPr>
                    <w:t>5</w:t>
                  </w:r>
                  <w:r>
                    <w:rPr>
                      <w:rFonts w:hint="eastAsia"/>
                      <w:color w:val="auto"/>
                      <w:szCs w:val="21"/>
                      <w:highlight w:val="none"/>
                    </w:rPr>
                    <w:t>0</w:t>
                  </w:r>
                </w:p>
              </w:tc>
            </w:tr>
          </w:tbl>
          <w:p>
            <w:pPr>
              <w:spacing w:line="360" w:lineRule="auto"/>
              <w:rPr>
                <w:rFonts w:hint="eastAsia" w:eastAsia="宋体"/>
                <w:color w:val="auto"/>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9" w:hRule="atLeast"/>
          <w:jc w:val="center"/>
        </w:trPr>
        <w:tc>
          <w:tcPr>
            <w:tcW w:w="846" w:type="dxa"/>
            <w:textDirection w:val="tbRlV"/>
            <w:vAlign w:val="center"/>
          </w:tcPr>
          <w:p>
            <w:pPr>
              <w:spacing w:line="360" w:lineRule="auto"/>
              <w:ind w:left="113" w:right="113"/>
              <w:jc w:val="center"/>
              <w:rPr>
                <w:color w:val="auto"/>
                <w:sz w:val="24"/>
                <w:szCs w:val="24"/>
                <w:highlight w:val="none"/>
              </w:rPr>
            </w:pPr>
            <w:r>
              <w:rPr>
                <w:b/>
                <w:bCs/>
                <w:color w:val="auto"/>
                <w:sz w:val="28"/>
                <w:szCs w:val="28"/>
                <w:highlight w:val="none"/>
              </w:rPr>
              <w:t>污染物排放标准</w:t>
            </w:r>
          </w:p>
        </w:tc>
        <w:tc>
          <w:tcPr>
            <w:tcW w:w="8417" w:type="dxa"/>
            <w:vAlign w:val="top"/>
          </w:tcPr>
          <w:p>
            <w:pPr>
              <w:numPr>
                <w:ilvl w:val="0"/>
                <w:numId w:val="0"/>
              </w:numPr>
              <w:spacing w:line="360" w:lineRule="auto"/>
              <w:ind w:firstLine="720" w:firstLineChars="300"/>
              <w:jc w:val="left"/>
              <w:rPr>
                <w:color w:val="auto"/>
                <w:kern w:val="0"/>
                <w:sz w:val="24"/>
                <w:highlight w:val="none"/>
              </w:rPr>
            </w:pPr>
            <w:r>
              <w:rPr>
                <w:rFonts w:hint="eastAsia"/>
                <w:color w:val="auto"/>
                <w:kern w:val="0"/>
                <w:sz w:val="24"/>
                <w:highlight w:val="none"/>
                <w:lang w:val="en-US" w:eastAsia="zh-CN"/>
              </w:rPr>
              <w:t>1、</w:t>
            </w:r>
            <w:r>
              <w:rPr>
                <w:color w:val="auto"/>
                <w:kern w:val="0"/>
                <w:sz w:val="24"/>
                <w:highlight w:val="none"/>
              </w:rPr>
              <w:t>水污染物：</w:t>
            </w:r>
            <w:r>
              <w:rPr>
                <w:rFonts w:hint="eastAsia"/>
                <w:color w:val="auto"/>
                <w:kern w:val="0"/>
                <w:sz w:val="24"/>
                <w:highlight w:val="none"/>
              </w:rPr>
              <w:t>运营期生活污水经三级化粪池预处理达到《水污染物排放限值 (DB44/26-2001)第二时段三级标准和</w:t>
            </w:r>
            <w:r>
              <w:rPr>
                <w:rFonts w:hint="eastAsia"/>
                <w:color w:val="auto"/>
                <w:kern w:val="0"/>
                <w:sz w:val="24"/>
                <w:highlight w:val="none"/>
                <w:lang w:eastAsia="zh-CN"/>
              </w:rPr>
              <w:t>《污水排入城镇下水道水质标准》(GB/T31962-2015 )B级标准</w:t>
            </w:r>
            <w:r>
              <w:rPr>
                <w:rFonts w:hint="eastAsia"/>
                <w:color w:val="auto"/>
                <w:kern w:val="0"/>
                <w:sz w:val="24"/>
                <w:highlight w:val="none"/>
              </w:rPr>
              <w:t>较严者后排入市政污水管网，最终纳入</w:t>
            </w:r>
            <w:r>
              <w:rPr>
                <w:rFonts w:hint="eastAsia"/>
                <w:color w:val="auto"/>
                <w:kern w:val="0"/>
                <w:sz w:val="24"/>
                <w:highlight w:val="none"/>
                <w:lang w:eastAsia="zh-CN"/>
              </w:rPr>
              <w:t>开平市水口污水处理厂</w:t>
            </w:r>
            <w:r>
              <w:rPr>
                <w:rFonts w:hint="eastAsia"/>
                <w:color w:val="auto"/>
                <w:kern w:val="0"/>
                <w:sz w:val="24"/>
                <w:highlight w:val="none"/>
              </w:rPr>
              <w:t>处理。</w:t>
            </w:r>
            <w:r>
              <w:rPr>
                <w:rFonts w:hint="eastAsia"/>
                <w:color w:val="auto"/>
                <w:kern w:val="0"/>
                <w:sz w:val="24"/>
                <w:highlight w:val="none"/>
                <w:lang w:eastAsia="zh-CN"/>
              </w:rPr>
              <w:t>开平市水口污水处理厂</w:t>
            </w:r>
            <w:r>
              <w:rPr>
                <w:rFonts w:hint="eastAsia"/>
                <w:color w:val="auto"/>
                <w:kern w:val="0"/>
                <w:sz w:val="24"/>
                <w:highlight w:val="none"/>
              </w:rPr>
              <w:t>执行《城镇污水处理厂污染物排放标准》（GB18918-2002）一级A标准及广东省地方标准《水污染物排放限值》（DB44/26-2001）第二时段一级标准中的较严值，具体标准值见表4-4。</w:t>
            </w:r>
          </w:p>
          <w:p>
            <w:pPr>
              <w:pStyle w:val="19"/>
              <w:jc w:val="center"/>
              <w:rPr>
                <w:rFonts w:hint="eastAsia"/>
                <w:b/>
                <w:bCs/>
                <w:color w:val="auto"/>
                <w:sz w:val="21"/>
                <w:szCs w:val="21"/>
                <w:highlight w:val="none"/>
              </w:rPr>
            </w:pPr>
            <w:r>
              <w:rPr>
                <w:b/>
                <w:bCs/>
                <w:color w:val="auto"/>
                <w:sz w:val="21"/>
                <w:szCs w:val="21"/>
                <w:highlight w:val="none"/>
              </w:rPr>
              <w:t xml:space="preserve">表4-4 </w:t>
            </w:r>
            <w:r>
              <w:rPr>
                <w:rFonts w:hint="eastAsia"/>
                <w:b/>
                <w:bCs/>
                <w:color w:val="auto"/>
                <w:sz w:val="21"/>
                <w:szCs w:val="21"/>
                <w:highlight w:val="none"/>
              </w:rPr>
              <w:t xml:space="preserve"> 生活废水排放限值 </w:t>
            </w:r>
          </w:p>
          <w:p>
            <w:pPr>
              <w:pStyle w:val="19"/>
              <w:jc w:val="right"/>
              <w:rPr>
                <w:b/>
                <w:bCs/>
                <w:color w:val="auto"/>
                <w:sz w:val="21"/>
                <w:szCs w:val="21"/>
                <w:highlight w:val="none"/>
              </w:rPr>
            </w:pPr>
            <w:r>
              <w:rPr>
                <w:b/>
                <w:bCs/>
                <w:color w:val="auto"/>
                <w:sz w:val="21"/>
                <w:szCs w:val="21"/>
                <w:highlight w:val="none"/>
              </w:rPr>
              <w:t xml:space="preserve">     单位：pH无量纲，其余mg/L</w:t>
            </w:r>
          </w:p>
          <w:tbl>
            <w:tblPr>
              <w:tblStyle w:val="35"/>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100"/>
              <w:gridCol w:w="975"/>
              <w:gridCol w:w="855"/>
              <w:gridCol w:w="975"/>
              <w:gridCol w:w="98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要素分类</w:t>
                  </w:r>
                </w:p>
              </w:tc>
              <w:tc>
                <w:tcPr>
                  <w:tcW w:w="2100"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标准名称</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标准值</w:t>
                  </w:r>
                </w:p>
              </w:tc>
              <w:tc>
                <w:tcPr>
                  <w:tcW w:w="85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COD</w:t>
                  </w:r>
                  <w:r>
                    <w:rPr>
                      <w:rFonts w:hint="eastAsia"/>
                      <w:bCs/>
                      <w:color w:val="auto"/>
                      <w:szCs w:val="21"/>
                      <w:highlight w:val="none"/>
                      <w:vertAlign w:val="subscript"/>
                      <w:lang w:val="en-US" w:eastAsia="zh-CN"/>
                    </w:rPr>
                    <w:t>Cr</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BOD</w:t>
                  </w:r>
                  <w:r>
                    <w:rPr>
                      <w:rFonts w:hint="eastAsia"/>
                      <w:bCs/>
                      <w:color w:val="auto"/>
                      <w:szCs w:val="21"/>
                      <w:highlight w:val="none"/>
                      <w:vertAlign w:val="subscript"/>
                      <w:lang w:val="en-US" w:eastAsia="zh-CN"/>
                    </w:rPr>
                    <w:t>5</w:t>
                  </w:r>
                </w:p>
              </w:tc>
              <w:tc>
                <w:tcPr>
                  <w:tcW w:w="987"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SS</w:t>
                  </w:r>
                </w:p>
              </w:tc>
              <w:tc>
                <w:tcPr>
                  <w:tcW w:w="1172"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NH</w:t>
                  </w:r>
                  <w:r>
                    <w:rPr>
                      <w:rFonts w:hint="eastAsia"/>
                      <w:bCs/>
                      <w:color w:val="auto"/>
                      <w:szCs w:val="21"/>
                      <w:highlight w:val="none"/>
                      <w:vertAlign w:val="subscript"/>
                      <w:lang w:val="en-US" w:eastAsia="zh-CN"/>
                    </w:rPr>
                    <w:t>3</w:t>
                  </w:r>
                  <w:r>
                    <w:rPr>
                      <w:rFonts w:hint="eastAsia"/>
                      <w:bCs/>
                      <w:color w:val="auto"/>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restart"/>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废水</w:t>
                  </w:r>
                </w:p>
              </w:tc>
              <w:tc>
                <w:tcPr>
                  <w:tcW w:w="2100"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《水污染物排放限值》（DB44/26-2001）（第二时段）</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三级</w:t>
                  </w:r>
                </w:p>
              </w:tc>
              <w:tc>
                <w:tcPr>
                  <w:tcW w:w="85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500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300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400</w:t>
                  </w:r>
                </w:p>
              </w:tc>
              <w:tc>
                <w:tcPr>
                  <w:tcW w:w="1172"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vAlign w:val="center"/>
                </w:tcPr>
                <w:p>
                  <w:pPr>
                    <w:spacing w:line="240" w:lineRule="auto"/>
                    <w:jc w:val="center"/>
                    <w:rPr>
                      <w:rFonts w:hint="eastAsia"/>
                      <w:bCs/>
                      <w:color w:val="auto"/>
                      <w:szCs w:val="21"/>
                      <w:highlight w:val="none"/>
                      <w:lang w:val="en-US" w:eastAsia="zh-CN"/>
                    </w:rPr>
                  </w:pPr>
                </w:p>
              </w:tc>
              <w:tc>
                <w:tcPr>
                  <w:tcW w:w="2100"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《污水排入城镇下水道水质标准》(GB/T31962-2015）</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B等级</w:t>
                  </w:r>
                </w:p>
              </w:tc>
              <w:tc>
                <w:tcPr>
                  <w:tcW w:w="85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500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350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400</w:t>
                  </w:r>
                </w:p>
              </w:tc>
              <w:tc>
                <w:tcPr>
                  <w:tcW w:w="1172" w:type="dxa"/>
                  <w:vAlign w:val="center"/>
                </w:tcPr>
                <w:p>
                  <w:pPr>
                    <w:spacing w:line="240" w:lineRule="auto"/>
                    <w:jc w:val="center"/>
                    <w:rPr>
                      <w:rFonts w:hint="default"/>
                      <w:bCs/>
                      <w:color w:val="auto"/>
                      <w:szCs w:val="21"/>
                      <w:highlight w:val="none"/>
                      <w:lang w:val="en-US" w:eastAsia="zh-CN"/>
                    </w:rPr>
                  </w:pPr>
                  <w:r>
                    <w:rPr>
                      <w:rFonts w:hint="eastAsia"/>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vAlign w:val="center"/>
                </w:tcPr>
                <w:p>
                  <w:pPr>
                    <w:spacing w:line="240" w:lineRule="auto"/>
                    <w:jc w:val="center"/>
                    <w:rPr>
                      <w:rFonts w:hint="eastAsia"/>
                      <w:bCs/>
                      <w:color w:val="auto"/>
                      <w:szCs w:val="21"/>
                      <w:highlight w:val="none"/>
                      <w:lang w:val="en-US" w:eastAsia="zh-CN"/>
                    </w:rPr>
                  </w:pPr>
                </w:p>
              </w:tc>
              <w:tc>
                <w:tcPr>
                  <w:tcW w:w="3075" w:type="dxa"/>
                  <w:gridSpan w:val="2"/>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最终厂区预处理执行标准</w:t>
                  </w:r>
                </w:p>
              </w:tc>
              <w:tc>
                <w:tcPr>
                  <w:tcW w:w="85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500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300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400</w:t>
                  </w:r>
                </w:p>
              </w:tc>
              <w:tc>
                <w:tcPr>
                  <w:tcW w:w="1172"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vAlign w:val="center"/>
                </w:tcPr>
                <w:p>
                  <w:pPr>
                    <w:spacing w:line="240" w:lineRule="auto"/>
                    <w:jc w:val="center"/>
                    <w:rPr>
                      <w:rFonts w:hint="eastAsia"/>
                      <w:bCs/>
                      <w:color w:val="auto"/>
                      <w:szCs w:val="21"/>
                      <w:highlight w:val="none"/>
                      <w:lang w:val="en-US" w:eastAsia="zh-CN"/>
                    </w:rPr>
                  </w:pPr>
                </w:p>
              </w:tc>
              <w:tc>
                <w:tcPr>
                  <w:tcW w:w="2100"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《城镇污水处理厂污染物排放标准》（GB18918-2002）</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一级A标准</w:t>
                  </w:r>
                </w:p>
              </w:tc>
              <w:tc>
                <w:tcPr>
                  <w:tcW w:w="85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10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10</w:t>
                  </w:r>
                </w:p>
              </w:tc>
              <w:tc>
                <w:tcPr>
                  <w:tcW w:w="1172" w:type="dxa"/>
                  <w:vAlign w:val="center"/>
                </w:tcPr>
                <w:p>
                  <w:pPr>
                    <w:spacing w:line="240" w:lineRule="auto"/>
                    <w:jc w:val="center"/>
                    <w:rPr>
                      <w:rFonts w:hint="eastAsia"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vAlign w:val="center"/>
                </w:tcPr>
                <w:p>
                  <w:pPr>
                    <w:spacing w:line="240" w:lineRule="auto"/>
                    <w:jc w:val="center"/>
                    <w:rPr>
                      <w:rFonts w:hint="eastAsia"/>
                      <w:bCs/>
                      <w:color w:val="auto"/>
                      <w:szCs w:val="21"/>
                      <w:highlight w:val="none"/>
                      <w:lang w:val="en-US" w:eastAsia="zh-CN"/>
                    </w:rPr>
                  </w:pPr>
                </w:p>
              </w:tc>
              <w:tc>
                <w:tcPr>
                  <w:tcW w:w="2100"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《水污染物排放限值》(DB44/26-2001)</w:t>
                  </w:r>
                </w:p>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第二时段</w:t>
                  </w:r>
                </w:p>
              </w:tc>
              <w:tc>
                <w:tcPr>
                  <w:tcW w:w="975" w:type="dxa"/>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val="en-US" w:eastAsia="zh-CN"/>
                    </w:rPr>
                    <w:t>一级</w:t>
                  </w:r>
                </w:p>
              </w:tc>
              <w:tc>
                <w:tcPr>
                  <w:tcW w:w="85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40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20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20</w:t>
                  </w:r>
                </w:p>
              </w:tc>
              <w:tc>
                <w:tcPr>
                  <w:tcW w:w="1172"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vAlign w:val="center"/>
                </w:tcPr>
                <w:p>
                  <w:pPr>
                    <w:spacing w:line="240" w:lineRule="auto"/>
                    <w:jc w:val="center"/>
                    <w:rPr>
                      <w:rFonts w:hint="eastAsia"/>
                      <w:bCs/>
                      <w:color w:val="auto"/>
                      <w:szCs w:val="21"/>
                      <w:highlight w:val="none"/>
                      <w:lang w:val="en-US" w:eastAsia="zh-CN"/>
                    </w:rPr>
                  </w:pPr>
                </w:p>
              </w:tc>
              <w:tc>
                <w:tcPr>
                  <w:tcW w:w="3075" w:type="dxa"/>
                  <w:gridSpan w:val="2"/>
                  <w:vAlign w:val="center"/>
                </w:tcPr>
                <w:p>
                  <w:pPr>
                    <w:spacing w:line="240" w:lineRule="auto"/>
                    <w:jc w:val="center"/>
                    <w:rPr>
                      <w:rFonts w:hint="eastAsia"/>
                      <w:bCs/>
                      <w:color w:val="auto"/>
                      <w:szCs w:val="21"/>
                      <w:highlight w:val="none"/>
                      <w:lang w:val="en-US" w:eastAsia="zh-CN"/>
                    </w:rPr>
                  </w:pPr>
                  <w:r>
                    <w:rPr>
                      <w:rFonts w:hint="eastAsia"/>
                      <w:bCs/>
                      <w:color w:val="auto"/>
                      <w:szCs w:val="21"/>
                      <w:highlight w:val="none"/>
                      <w:lang w:eastAsia="zh-CN"/>
                    </w:rPr>
                    <w:t>开平市水口污水处理厂</w:t>
                  </w:r>
                  <w:r>
                    <w:rPr>
                      <w:rFonts w:hint="eastAsia"/>
                      <w:bCs/>
                      <w:color w:val="auto"/>
                      <w:szCs w:val="21"/>
                      <w:highlight w:val="none"/>
                    </w:rPr>
                    <w:t>排污口</w:t>
                  </w:r>
                </w:p>
              </w:tc>
              <w:tc>
                <w:tcPr>
                  <w:tcW w:w="855" w:type="dxa"/>
                  <w:vAlign w:val="center"/>
                </w:tcPr>
                <w:p>
                  <w:pPr>
                    <w:spacing w:line="240" w:lineRule="auto"/>
                    <w:jc w:val="center"/>
                    <w:rPr>
                      <w:rFonts w:hint="default"/>
                      <w:bCs/>
                      <w:color w:val="auto"/>
                      <w:szCs w:val="21"/>
                      <w:highlight w:val="none"/>
                      <w:lang w:val="en-US" w:eastAsia="zh-CN"/>
                    </w:rPr>
                  </w:pPr>
                  <w:r>
                    <w:rPr>
                      <w:rFonts w:hint="eastAsia"/>
                      <w:bCs/>
                      <w:color w:val="auto"/>
                      <w:szCs w:val="21"/>
                      <w:highlight w:val="none"/>
                      <w:lang w:val="en-US" w:eastAsia="zh-CN"/>
                    </w:rPr>
                    <w:t>≤40</w:t>
                  </w:r>
                </w:p>
              </w:tc>
              <w:tc>
                <w:tcPr>
                  <w:tcW w:w="975"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10</w:t>
                  </w:r>
                </w:p>
              </w:tc>
              <w:tc>
                <w:tcPr>
                  <w:tcW w:w="987" w:type="dxa"/>
                  <w:vAlign w:val="center"/>
                </w:tcPr>
                <w:p>
                  <w:pPr>
                    <w:spacing w:line="240" w:lineRule="auto"/>
                    <w:jc w:val="center"/>
                    <w:rPr>
                      <w:rFonts w:hint="default"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10</w:t>
                  </w:r>
                </w:p>
              </w:tc>
              <w:tc>
                <w:tcPr>
                  <w:tcW w:w="1172" w:type="dxa"/>
                  <w:vAlign w:val="center"/>
                </w:tcPr>
                <w:p>
                  <w:pPr>
                    <w:spacing w:line="240" w:lineRule="auto"/>
                    <w:jc w:val="center"/>
                    <w:rPr>
                      <w:rFonts w:hint="eastAsia" w:eastAsia="宋体"/>
                      <w:bCs/>
                      <w:color w:val="auto"/>
                      <w:szCs w:val="21"/>
                      <w:highlight w:val="none"/>
                      <w:lang w:val="en-US" w:eastAsia="zh-CN"/>
                    </w:rPr>
                  </w:pPr>
                  <w:r>
                    <w:rPr>
                      <w:rFonts w:hint="eastAsia"/>
                      <w:color w:val="auto"/>
                      <w:highlight w:val="none"/>
                    </w:rPr>
                    <w:t>≤</w:t>
                  </w:r>
                  <w:r>
                    <w:rPr>
                      <w:rFonts w:hint="eastAsia"/>
                      <w:color w:val="auto"/>
                      <w:highlight w:val="none"/>
                      <w:lang w:val="en-US" w:eastAsia="zh-CN"/>
                    </w:rPr>
                    <w:t>5</w:t>
                  </w:r>
                </w:p>
              </w:tc>
            </w:tr>
          </w:tbl>
          <w:p>
            <w:pPr>
              <w:spacing w:line="360" w:lineRule="auto"/>
              <w:ind w:firstLine="480" w:firstLineChars="200"/>
              <w:rPr>
                <w:rFonts w:hint="eastAsia" w:cs="Times New Roman"/>
                <w:b/>
                <w:bCs/>
                <w:color w:val="auto"/>
                <w:kern w:val="2"/>
                <w:sz w:val="21"/>
                <w:szCs w:val="21"/>
                <w:highlight w:val="none"/>
                <w:lang w:val="en-US" w:eastAsia="zh-CN" w:bidi="ar-SA"/>
              </w:rPr>
            </w:pPr>
            <w:r>
              <w:rPr>
                <w:rFonts w:hint="eastAsia"/>
                <w:bCs/>
                <w:color w:val="auto"/>
                <w:kern w:val="0"/>
                <w:sz w:val="24"/>
                <w:szCs w:val="24"/>
                <w:highlight w:val="none"/>
                <w:lang w:val="en-US" w:eastAsia="zh-CN"/>
              </w:rPr>
              <w:t>2、</w:t>
            </w:r>
            <w:r>
              <w:rPr>
                <w:bCs/>
                <w:color w:val="auto"/>
                <w:kern w:val="0"/>
                <w:sz w:val="24"/>
                <w:szCs w:val="24"/>
                <w:highlight w:val="none"/>
              </w:rPr>
              <w:t>大气污染物：</w:t>
            </w:r>
            <w:r>
              <w:rPr>
                <w:rFonts w:hint="eastAsia"/>
                <w:color w:val="auto"/>
                <w:sz w:val="24"/>
                <w:highlight w:val="none"/>
              </w:rPr>
              <w:t>锻压工序</w:t>
            </w:r>
            <w:r>
              <w:rPr>
                <w:color w:val="auto"/>
                <w:sz w:val="24"/>
                <w:highlight w:val="none"/>
              </w:rPr>
              <w:t>产生的</w:t>
            </w:r>
            <w:r>
              <w:rPr>
                <w:rFonts w:hint="eastAsia"/>
                <w:color w:val="auto"/>
                <w:sz w:val="24"/>
                <w:highlight w:val="none"/>
                <w:lang w:eastAsia="zh-CN"/>
              </w:rPr>
              <w:t>非甲烷总烃</w:t>
            </w:r>
            <w:r>
              <w:rPr>
                <w:rFonts w:hint="eastAsia"/>
                <w:color w:val="auto"/>
                <w:sz w:val="24"/>
                <w:highlight w:val="none"/>
              </w:rPr>
              <w:t>、燃料废气</w:t>
            </w:r>
            <w:r>
              <w:rPr>
                <w:rFonts w:hint="eastAsia"/>
                <w:color w:val="auto"/>
                <w:sz w:val="24"/>
                <w:highlight w:val="none"/>
                <w:lang w:eastAsia="zh-CN"/>
              </w:rPr>
              <w:t>中的</w:t>
            </w:r>
            <w:r>
              <w:rPr>
                <w:rFonts w:hint="eastAsia" w:hAnsi="Impact"/>
                <w:color w:val="auto"/>
                <w:kern w:val="24"/>
                <w:sz w:val="24"/>
                <w:szCs w:val="24"/>
                <w:highlight w:val="none"/>
              </w:rPr>
              <w:t>SO</w:t>
            </w:r>
            <w:r>
              <w:rPr>
                <w:rFonts w:hint="eastAsia" w:hAnsi="Impact"/>
                <w:color w:val="auto"/>
                <w:kern w:val="24"/>
                <w:sz w:val="24"/>
                <w:szCs w:val="24"/>
                <w:highlight w:val="none"/>
                <w:vertAlign w:val="subscript"/>
              </w:rPr>
              <w:t>2</w:t>
            </w:r>
            <w:r>
              <w:rPr>
                <w:rFonts w:hint="eastAsia"/>
                <w:color w:val="auto"/>
                <w:sz w:val="24"/>
                <w:szCs w:val="24"/>
                <w:highlight w:val="none"/>
                <w:lang w:eastAsia="zh-CN"/>
              </w:rPr>
              <w:t>、</w:t>
            </w:r>
            <w:r>
              <w:rPr>
                <w:rFonts w:hint="eastAsia" w:hAnsi="Impact"/>
                <w:color w:val="auto"/>
                <w:kern w:val="24"/>
                <w:sz w:val="24"/>
                <w:szCs w:val="24"/>
                <w:highlight w:val="none"/>
              </w:rPr>
              <w:t>NO</w:t>
            </w:r>
            <w:r>
              <w:rPr>
                <w:rFonts w:hint="eastAsia" w:hAnsi="Impact"/>
                <w:color w:val="auto"/>
                <w:kern w:val="24"/>
                <w:sz w:val="24"/>
                <w:szCs w:val="24"/>
                <w:highlight w:val="none"/>
                <w:vertAlign w:val="subscript"/>
              </w:rPr>
              <w:t>X</w:t>
            </w:r>
            <w:r>
              <w:rPr>
                <w:rFonts w:hint="eastAsia"/>
                <w:color w:val="auto"/>
                <w:sz w:val="24"/>
                <w:highlight w:val="none"/>
                <w:lang w:eastAsia="zh-CN"/>
              </w:rPr>
              <w:t>、开料、机加工工序产生的颗粒物</w:t>
            </w:r>
            <w:r>
              <w:rPr>
                <w:color w:val="auto"/>
                <w:sz w:val="24"/>
                <w:highlight w:val="none"/>
              </w:rPr>
              <w:t>排放</w:t>
            </w:r>
            <w:r>
              <w:rPr>
                <w:rFonts w:hint="eastAsia"/>
                <w:color w:val="auto"/>
                <w:sz w:val="24"/>
                <w:highlight w:val="none"/>
              </w:rPr>
              <w:t>均</w:t>
            </w:r>
            <w:r>
              <w:rPr>
                <w:color w:val="auto"/>
                <w:sz w:val="24"/>
                <w:highlight w:val="none"/>
              </w:rPr>
              <w:t>执行广东省地方标准《大气污染物排放限值》（DB44/27-2001）中第二时段二级标准和第二时段无组织排放监控浓度限值</w:t>
            </w:r>
            <w:r>
              <w:rPr>
                <w:rFonts w:hint="eastAsia"/>
                <w:color w:val="auto"/>
                <w:sz w:val="24"/>
                <w:highlight w:val="none"/>
                <w:lang w:eastAsia="zh-CN"/>
              </w:rPr>
              <w:t>；燃</w:t>
            </w:r>
            <w:r>
              <w:rPr>
                <w:rFonts w:hint="eastAsia"/>
                <w:color w:val="auto"/>
                <w:sz w:val="24"/>
                <w:highlight w:val="none"/>
              </w:rPr>
              <w:t>料</w:t>
            </w:r>
            <w:r>
              <w:rPr>
                <w:rFonts w:hint="eastAsia"/>
                <w:color w:val="auto"/>
                <w:sz w:val="24"/>
                <w:highlight w:val="none"/>
                <w:lang w:eastAsia="zh-CN"/>
              </w:rPr>
              <w:t>废气中的烟尘参照执行《工业炉窑大气污染物排放标准》表2“金属压延、锻造加热炉”二级标准。</w:t>
            </w:r>
          </w:p>
          <w:p>
            <w:pPr>
              <w:pStyle w:val="88"/>
              <w:numPr>
                <w:ilvl w:val="0"/>
                <w:numId w:val="0"/>
              </w:numPr>
              <w:tabs>
                <w:tab w:val="left" w:pos="420"/>
              </w:tabs>
              <w:spacing w:line="360" w:lineRule="auto"/>
              <w:ind w:left="471" w:leftChars="0"/>
              <w:jc w:val="center"/>
              <w:rPr>
                <w:rFonts w:hint="eastAsia" w:cs="Times New Roman"/>
                <w:b/>
                <w:bCs/>
                <w:color w:val="auto"/>
                <w:kern w:val="2"/>
                <w:sz w:val="21"/>
                <w:szCs w:val="21"/>
                <w:highlight w:val="none"/>
                <w:lang w:val="en-US" w:eastAsia="zh-CN" w:bidi="ar-SA"/>
              </w:rPr>
            </w:pPr>
          </w:p>
          <w:p>
            <w:pPr>
              <w:pStyle w:val="88"/>
              <w:numPr>
                <w:ilvl w:val="0"/>
                <w:numId w:val="0"/>
              </w:numPr>
              <w:tabs>
                <w:tab w:val="left" w:pos="420"/>
              </w:tabs>
              <w:spacing w:line="360" w:lineRule="auto"/>
              <w:ind w:left="471" w:leftChars="0"/>
              <w:jc w:val="center"/>
              <w:rPr>
                <w:rFonts w:hint="eastAsia" w:cs="Times New Roman"/>
                <w:b/>
                <w:bCs/>
                <w:color w:val="auto"/>
                <w:kern w:val="2"/>
                <w:sz w:val="21"/>
                <w:szCs w:val="21"/>
                <w:highlight w:val="none"/>
                <w:lang w:val="en-US" w:eastAsia="zh-CN" w:bidi="ar-SA"/>
              </w:rPr>
            </w:pPr>
          </w:p>
          <w:p>
            <w:pPr>
              <w:pStyle w:val="88"/>
              <w:numPr>
                <w:ilvl w:val="0"/>
                <w:numId w:val="0"/>
              </w:numPr>
              <w:tabs>
                <w:tab w:val="left" w:pos="420"/>
              </w:tabs>
              <w:spacing w:line="360" w:lineRule="auto"/>
              <w:ind w:left="471" w:leftChars="0"/>
              <w:jc w:val="center"/>
              <w:rPr>
                <w:rFonts w:eastAsia="宋体" w:cs="Times New Roman"/>
                <w:b/>
                <w:color w:val="auto"/>
                <w:sz w:val="21"/>
                <w:szCs w:val="21"/>
                <w:highlight w:val="none"/>
              </w:rPr>
            </w:pPr>
            <w:r>
              <w:rPr>
                <w:rFonts w:hint="eastAsia" w:cs="Times New Roman"/>
                <w:b/>
                <w:bCs/>
                <w:color w:val="auto"/>
                <w:kern w:val="2"/>
                <w:sz w:val="21"/>
                <w:szCs w:val="21"/>
                <w:highlight w:val="none"/>
                <w:lang w:val="en-US" w:eastAsia="zh-CN" w:bidi="ar-SA"/>
              </w:rPr>
              <w:t xml:space="preserve">表 4-5  </w:t>
            </w:r>
            <w:r>
              <w:rPr>
                <w:rFonts w:eastAsia="宋体" w:cs="Times New Roman"/>
                <w:b/>
                <w:color w:val="auto"/>
                <w:sz w:val="21"/>
                <w:szCs w:val="21"/>
                <w:highlight w:val="none"/>
              </w:rPr>
              <w:t>《大气污染物排放限值》摘录</w:t>
            </w:r>
          </w:p>
          <w:tbl>
            <w:tblPr>
              <w:tblStyle w:val="3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483"/>
              <w:gridCol w:w="1304"/>
              <w:gridCol w:w="1313"/>
              <w:gridCol w:w="134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vMerge w:val="restart"/>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项目</w:t>
                  </w:r>
                </w:p>
              </w:tc>
              <w:tc>
                <w:tcPr>
                  <w:tcW w:w="1483" w:type="dxa"/>
                  <w:vMerge w:val="restart"/>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最高允许排放限值（mg/m</w:t>
                  </w:r>
                  <w:r>
                    <w:rPr>
                      <w:b/>
                      <w:color w:val="auto"/>
                      <w:sz w:val="21"/>
                      <w:szCs w:val="21"/>
                      <w:highlight w:val="none"/>
                      <w:vertAlign w:val="superscript"/>
                    </w:rPr>
                    <w:t>3</w:t>
                  </w:r>
                  <w:r>
                    <w:rPr>
                      <w:b/>
                      <w:color w:val="auto"/>
                      <w:sz w:val="21"/>
                      <w:szCs w:val="21"/>
                      <w:highlight w:val="none"/>
                    </w:rPr>
                    <w:t>）</w:t>
                  </w:r>
                </w:p>
              </w:tc>
              <w:tc>
                <w:tcPr>
                  <w:tcW w:w="1304" w:type="dxa"/>
                  <w:vMerge w:val="restart"/>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排气筒高度</w:t>
                  </w:r>
                </w:p>
                <w:p>
                  <w:pPr>
                    <w:pStyle w:val="25"/>
                    <w:ind w:firstLine="0"/>
                    <w:jc w:val="center"/>
                    <w:rPr>
                      <w:b/>
                      <w:color w:val="auto"/>
                      <w:sz w:val="21"/>
                      <w:szCs w:val="21"/>
                      <w:highlight w:val="none"/>
                    </w:rPr>
                  </w:pPr>
                  <w:r>
                    <w:rPr>
                      <w:b/>
                      <w:color w:val="auto"/>
                      <w:sz w:val="21"/>
                      <w:szCs w:val="21"/>
                      <w:highlight w:val="none"/>
                    </w:rPr>
                    <w:t>（m）</w:t>
                  </w:r>
                </w:p>
              </w:tc>
              <w:tc>
                <w:tcPr>
                  <w:tcW w:w="1313" w:type="dxa"/>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排放速率</w:t>
                  </w:r>
                </w:p>
              </w:tc>
              <w:tc>
                <w:tcPr>
                  <w:tcW w:w="2739" w:type="dxa"/>
                  <w:gridSpan w:val="2"/>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vMerge w:val="continue"/>
                  <w:tcBorders>
                    <w:tl2br w:val="nil"/>
                    <w:tr2bl w:val="nil"/>
                  </w:tcBorders>
                  <w:vAlign w:val="center"/>
                </w:tcPr>
                <w:p>
                  <w:pPr>
                    <w:pStyle w:val="25"/>
                    <w:ind w:firstLine="0"/>
                    <w:jc w:val="center"/>
                    <w:rPr>
                      <w:b/>
                      <w:color w:val="auto"/>
                      <w:sz w:val="21"/>
                      <w:szCs w:val="21"/>
                      <w:highlight w:val="none"/>
                    </w:rPr>
                  </w:pPr>
                </w:p>
              </w:tc>
              <w:tc>
                <w:tcPr>
                  <w:tcW w:w="1483" w:type="dxa"/>
                  <w:vMerge w:val="continue"/>
                  <w:tcBorders>
                    <w:tl2br w:val="nil"/>
                    <w:tr2bl w:val="nil"/>
                  </w:tcBorders>
                  <w:vAlign w:val="center"/>
                </w:tcPr>
                <w:p>
                  <w:pPr>
                    <w:pStyle w:val="25"/>
                    <w:ind w:firstLine="0"/>
                    <w:jc w:val="center"/>
                    <w:rPr>
                      <w:b/>
                      <w:color w:val="auto"/>
                      <w:sz w:val="21"/>
                      <w:szCs w:val="21"/>
                      <w:highlight w:val="none"/>
                    </w:rPr>
                  </w:pPr>
                </w:p>
              </w:tc>
              <w:tc>
                <w:tcPr>
                  <w:tcW w:w="1304" w:type="dxa"/>
                  <w:vMerge w:val="continue"/>
                  <w:tcBorders>
                    <w:tl2br w:val="nil"/>
                    <w:tr2bl w:val="nil"/>
                  </w:tcBorders>
                  <w:vAlign w:val="center"/>
                </w:tcPr>
                <w:p>
                  <w:pPr>
                    <w:pStyle w:val="25"/>
                    <w:ind w:firstLine="0"/>
                    <w:jc w:val="center"/>
                    <w:rPr>
                      <w:b/>
                      <w:color w:val="auto"/>
                      <w:sz w:val="21"/>
                      <w:szCs w:val="21"/>
                      <w:highlight w:val="none"/>
                    </w:rPr>
                  </w:pPr>
                </w:p>
              </w:tc>
              <w:tc>
                <w:tcPr>
                  <w:tcW w:w="1313" w:type="dxa"/>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二级标准值（kg/h）</w:t>
                  </w:r>
                </w:p>
              </w:tc>
              <w:tc>
                <w:tcPr>
                  <w:tcW w:w="1344" w:type="dxa"/>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监测点</w:t>
                  </w:r>
                </w:p>
              </w:tc>
              <w:tc>
                <w:tcPr>
                  <w:tcW w:w="1395" w:type="dxa"/>
                  <w:tcBorders>
                    <w:tl2br w:val="nil"/>
                    <w:tr2bl w:val="nil"/>
                  </w:tcBorders>
                  <w:vAlign w:val="center"/>
                </w:tcPr>
                <w:p>
                  <w:pPr>
                    <w:pStyle w:val="25"/>
                    <w:ind w:firstLine="0"/>
                    <w:jc w:val="center"/>
                    <w:rPr>
                      <w:b/>
                      <w:color w:val="auto"/>
                      <w:sz w:val="21"/>
                      <w:szCs w:val="21"/>
                      <w:highlight w:val="none"/>
                    </w:rPr>
                  </w:pPr>
                  <w:r>
                    <w:rPr>
                      <w:b/>
                      <w:color w:val="auto"/>
                      <w:sz w:val="21"/>
                      <w:szCs w:val="21"/>
                      <w:highlight w:val="none"/>
                    </w:rPr>
                    <w:t>浓度</w:t>
                  </w:r>
                </w:p>
                <w:p>
                  <w:pPr>
                    <w:pStyle w:val="25"/>
                    <w:ind w:firstLine="0"/>
                    <w:jc w:val="center"/>
                    <w:rPr>
                      <w:b/>
                      <w:color w:val="auto"/>
                      <w:sz w:val="21"/>
                      <w:szCs w:val="21"/>
                      <w:highlight w:val="none"/>
                    </w:rPr>
                  </w:pPr>
                  <w:r>
                    <w:rPr>
                      <w:b/>
                      <w:color w:val="auto"/>
                      <w:sz w:val="21"/>
                      <w:szCs w:val="21"/>
                      <w:highlight w:val="none"/>
                    </w:rPr>
                    <w:t>（mg/m</w:t>
                  </w:r>
                  <w:r>
                    <w:rPr>
                      <w:b/>
                      <w:color w:val="auto"/>
                      <w:sz w:val="21"/>
                      <w:szCs w:val="21"/>
                      <w:highlight w:val="none"/>
                      <w:vertAlign w:val="superscript"/>
                    </w:rPr>
                    <w:t>3</w:t>
                  </w:r>
                  <w:r>
                    <w:rPr>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1"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非甲烷总烃</w:t>
                  </w:r>
                </w:p>
              </w:tc>
              <w:tc>
                <w:tcPr>
                  <w:tcW w:w="1483"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120</w:t>
                  </w:r>
                </w:p>
              </w:tc>
              <w:tc>
                <w:tcPr>
                  <w:tcW w:w="1304"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15</w:t>
                  </w:r>
                </w:p>
              </w:tc>
              <w:tc>
                <w:tcPr>
                  <w:tcW w:w="1313"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4.2</w:t>
                  </w:r>
                </w:p>
              </w:tc>
              <w:tc>
                <w:tcPr>
                  <w:tcW w:w="1344"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周界外浓度最高点</w:t>
                  </w:r>
                </w:p>
              </w:tc>
              <w:tc>
                <w:tcPr>
                  <w:tcW w:w="1395"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pPr>
                    <w:widowControl/>
                    <w:topLinePunct/>
                    <w:autoSpaceDE w:val="0"/>
                    <w:autoSpaceDN w:val="0"/>
                    <w:adjustRightInd w:val="0"/>
                    <w:jc w:val="center"/>
                    <w:textAlignment w:val="baseline"/>
                    <w:rPr>
                      <w:bCs/>
                      <w:color w:val="auto"/>
                      <w:szCs w:val="21"/>
                      <w:highlight w:val="none"/>
                    </w:rPr>
                  </w:pPr>
                  <w:r>
                    <w:rPr>
                      <w:rFonts w:hint="eastAsia" w:hAnsi="Impact"/>
                      <w:color w:val="auto"/>
                      <w:kern w:val="24"/>
                      <w:szCs w:val="21"/>
                      <w:highlight w:val="none"/>
                    </w:rPr>
                    <w:t>SO</w:t>
                  </w:r>
                  <w:r>
                    <w:rPr>
                      <w:rFonts w:hint="eastAsia" w:hAnsi="Impact"/>
                      <w:color w:val="auto"/>
                      <w:kern w:val="24"/>
                      <w:szCs w:val="21"/>
                      <w:highlight w:val="none"/>
                      <w:vertAlign w:val="subscript"/>
                    </w:rPr>
                    <w:t>2</w:t>
                  </w:r>
                </w:p>
              </w:tc>
              <w:tc>
                <w:tcPr>
                  <w:tcW w:w="1483"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500</w:t>
                  </w:r>
                </w:p>
              </w:tc>
              <w:tc>
                <w:tcPr>
                  <w:tcW w:w="1304"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15</w:t>
                  </w:r>
                </w:p>
              </w:tc>
              <w:tc>
                <w:tcPr>
                  <w:tcW w:w="1313"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1.05</w:t>
                  </w:r>
                </w:p>
              </w:tc>
              <w:tc>
                <w:tcPr>
                  <w:tcW w:w="1344"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周界外浓度最高点</w:t>
                  </w:r>
                </w:p>
              </w:tc>
              <w:tc>
                <w:tcPr>
                  <w:tcW w:w="1395"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1" w:type="dxa"/>
                  <w:tcBorders>
                    <w:tl2br w:val="nil"/>
                    <w:tr2bl w:val="nil"/>
                  </w:tcBorders>
                  <w:vAlign w:val="center"/>
                </w:tcPr>
                <w:p>
                  <w:pPr>
                    <w:widowControl/>
                    <w:topLinePunct/>
                    <w:autoSpaceDE w:val="0"/>
                    <w:autoSpaceDN w:val="0"/>
                    <w:adjustRightInd w:val="0"/>
                    <w:jc w:val="center"/>
                    <w:textAlignment w:val="baseline"/>
                    <w:rPr>
                      <w:bCs/>
                      <w:color w:val="auto"/>
                      <w:szCs w:val="21"/>
                      <w:highlight w:val="none"/>
                    </w:rPr>
                  </w:pPr>
                  <w:r>
                    <w:rPr>
                      <w:rFonts w:hint="eastAsia" w:hAnsi="Impact"/>
                      <w:color w:val="auto"/>
                      <w:kern w:val="24"/>
                      <w:szCs w:val="21"/>
                      <w:highlight w:val="none"/>
                    </w:rPr>
                    <w:t>NO</w:t>
                  </w:r>
                  <w:r>
                    <w:rPr>
                      <w:rFonts w:hint="eastAsia" w:hAnsi="Impact"/>
                      <w:color w:val="auto"/>
                      <w:kern w:val="24"/>
                      <w:szCs w:val="21"/>
                      <w:highlight w:val="none"/>
                      <w:vertAlign w:val="subscript"/>
                    </w:rPr>
                    <w:t>X</w:t>
                  </w:r>
                </w:p>
              </w:tc>
              <w:tc>
                <w:tcPr>
                  <w:tcW w:w="1483"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120</w:t>
                  </w:r>
                </w:p>
              </w:tc>
              <w:tc>
                <w:tcPr>
                  <w:tcW w:w="1304"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15</w:t>
                  </w:r>
                </w:p>
              </w:tc>
              <w:tc>
                <w:tcPr>
                  <w:tcW w:w="1313"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0.32</w:t>
                  </w:r>
                </w:p>
              </w:tc>
              <w:tc>
                <w:tcPr>
                  <w:tcW w:w="1344"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周界外浓度最高点</w:t>
                  </w:r>
                </w:p>
              </w:tc>
              <w:tc>
                <w:tcPr>
                  <w:tcW w:w="1395"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颗粒物</w:t>
                  </w:r>
                </w:p>
              </w:tc>
              <w:tc>
                <w:tcPr>
                  <w:tcW w:w="1483"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120</w:t>
                  </w:r>
                </w:p>
              </w:tc>
              <w:tc>
                <w:tcPr>
                  <w:tcW w:w="1304"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15</w:t>
                  </w:r>
                </w:p>
              </w:tc>
              <w:tc>
                <w:tcPr>
                  <w:tcW w:w="1313" w:type="dxa"/>
                  <w:tcBorders>
                    <w:tl2br w:val="nil"/>
                    <w:tr2bl w:val="nil"/>
                  </w:tcBorders>
                  <w:vAlign w:val="center"/>
                </w:tcPr>
                <w:p>
                  <w:pPr>
                    <w:pStyle w:val="25"/>
                    <w:ind w:firstLine="0"/>
                    <w:jc w:val="center"/>
                    <w:rPr>
                      <w:bCs/>
                      <w:color w:val="auto"/>
                      <w:sz w:val="21"/>
                      <w:szCs w:val="21"/>
                      <w:highlight w:val="none"/>
                    </w:rPr>
                  </w:pPr>
                  <w:r>
                    <w:rPr>
                      <w:rFonts w:hint="eastAsia"/>
                      <w:bCs/>
                      <w:color w:val="auto"/>
                      <w:sz w:val="21"/>
                      <w:szCs w:val="21"/>
                      <w:highlight w:val="none"/>
                    </w:rPr>
                    <w:t>1.45</w:t>
                  </w:r>
                </w:p>
              </w:tc>
              <w:tc>
                <w:tcPr>
                  <w:tcW w:w="1344"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周界外浓度最高点</w:t>
                  </w:r>
                </w:p>
              </w:tc>
              <w:tc>
                <w:tcPr>
                  <w:tcW w:w="1395" w:type="dxa"/>
                  <w:tcBorders>
                    <w:tl2br w:val="nil"/>
                    <w:tr2bl w:val="nil"/>
                  </w:tcBorders>
                  <w:vAlign w:val="center"/>
                </w:tcPr>
                <w:p>
                  <w:pPr>
                    <w:pStyle w:val="25"/>
                    <w:ind w:firstLine="0"/>
                    <w:jc w:val="center"/>
                    <w:rPr>
                      <w:bCs/>
                      <w:color w:val="auto"/>
                      <w:sz w:val="21"/>
                      <w:szCs w:val="21"/>
                      <w:highlight w:val="none"/>
                    </w:rPr>
                  </w:pPr>
                  <w:r>
                    <w:rPr>
                      <w:bCs/>
                      <w:color w:val="auto"/>
                      <w:sz w:val="21"/>
                      <w:szCs w:val="21"/>
                      <w:highlight w:val="none"/>
                    </w:rPr>
                    <w:t>1.0</w:t>
                  </w:r>
                </w:p>
              </w:tc>
            </w:tr>
          </w:tbl>
          <w:p>
            <w:pPr>
              <w:pStyle w:val="2"/>
              <w:spacing w:line="360" w:lineRule="auto"/>
              <w:ind w:firstLine="422" w:firstLineChars="200"/>
              <w:jc w:val="both"/>
              <w:rPr>
                <w:bCs/>
                <w:color w:val="auto"/>
                <w:kern w:val="0"/>
                <w:sz w:val="24"/>
                <w:szCs w:val="22"/>
                <w:highlight w:val="none"/>
              </w:rPr>
            </w:pPr>
            <w:r>
              <w:rPr>
                <w:rFonts w:ascii="Times New Roman" w:cs="Times New Roman"/>
                <w:b/>
                <w:bCs/>
                <w:color w:val="auto"/>
                <w:sz w:val="21"/>
                <w:szCs w:val="21"/>
                <w:highlight w:val="none"/>
              </w:rPr>
              <w:t>注：</w:t>
            </w:r>
            <w:r>
              <w:rPr>
                <w:rFonts w:ascii="Times New Roman" w:cs="Times New Roman"/>
                <w:color w:val="auto"/>
                <w:sz w:val="21"/>
                <w:szCs w:val="21"/>
                <w:highlight w:val="none"/>
              </w:rPr>
              <w:t>排气筒高度应高出周围200m半径范围的建筑5m以上，不能达到该要求的排气筒，应按其高度对应的排放速率的50%执行。由于项目周围200m半径范围的最高建筑约为20m，本项目排气筒高度设为15米，因此本项目废气排放</w:t>
            </w:r>
            <w:r>
              <w:rPr>
                <w:rFonts w:hint="eastAsia" w:ascii="Times New Roman" w:cs="Times New Roman"/>
                <w:color w:val="auto"/>
                <w:sz w:val="21"/>
                <w:szCs w:val="21"/>
                <w:highlight w:val="none"/>
              </w:rPr>
              <w:t>筒</w:t>
            </w:r>
            <w:r>
              <w:rPr>
                <w:rFonts w:ascii="Times New Roman" w:cs="Times New Roman"/>
                <w:color w:val="auto"/>
                <w:sz w:val="21"/>
                <w:szCs w:val="21"/>
                <w:highlight w:val="none"/>
              </w:rPr>
              <w:t>无法达到高出周围200m半径范围的建筑5m以上要求，故项目废气按其高度对应的排放速率限值的50%执行。</w:t>
            </w:r>
            <w:r>
              <w:rPr>
                <w:bCs/>
                <w:color w:val="auto"/>
                <w:kern w:val="0"/>
                <w:sz w:val="24"/>
                <w:szCs w:val="22"/>
                <w:highlight w:val="none"/>
              </w:rPr>
              <w:t xml:space="preserve"> </w:t>
            </w:r>
          </w:p>
          <w:p>
            <w:pPr>
              <w:pStyle w:val="19"/>
              <w:jc w:val="center"/>
              <w:rPr>
                <w:rFonts w:hint="eastAsia" w:eastAsia="宋体"/>
                <w:b/>
                <w:bCs/>
                <w:color w:val="auto"/>
                <w:sz w:val="21"/>
                <w:szCs w:val="21"/>
                <w:highlight w:val="none"/>
                <w:lang w:eastAsia="zh-CN"/>
              </w:rPr>
            </w:pPr>
            <w:r>
              <w:rPr>
                <w:b/>
                <w:bCs/>
                <w:color w:val="auto"/>
                <w:sz w:val="21"/>
                <w:szCs w:val="21"/>
                <w:highlight w:val="none"/>
              </w:rPr>
              <w:t>表4-</w:t>
            </w:r>
            <w:r>
              <w:rPr>
                <w:rFonts w:hint="eastAsia"/>
                <w:b/>
                <w:bCs/>
                <w:color w:val="auto"/>
                <w:sz w:val="21"/>
                <w:szCs w:val="21"/>
                <w:highlight w:val="none"/>
                <w:lang w:val="en-US" w:eastAsia="zh-CN"/>
              </w:rPr>
              <w:t>6</w:t>
            </w:r>
            <w:r>
              <w:rPr>
                <w:b/>
                <w:bCs/>
                <w:color w:val="auto"/>
                <w:sz w:val="21"/>
                <w:szCs w:val="21"/>
                <w:highlight w:val="none"/>
              </w:rPr>
              <w:t xml:space="preserve"> 《</w:t>
            </w:r>
            <w:r>
              <w:rPr>
                <w:rFonts w:hint="eastAsia"/>
                <w:b/>
                <w:bCs/>
                <w:color w:val="auto"/>
                <w:sz w:val="21"/>
                <w:szCs w:val="21"/>
                <w:highlight w:val="none"/>
              </w:rPr>
              <w:t>工业炉窑大气污染物排放标准</w:t>
            </w:r>
            <w:r>
              <w:rPr>
                <w:b/>
                <w:bCs/>
                <w:color w:val="auto"/>
                <w:sz w:val="21"/>
                <w:szCs w:val="21"/>
                <w:highlight w:val="none"/>
              </w:rPr>
              <w:t>》</w:t>
            </w:r>
            <w:r>
              <w:rPr>
                <w:rFonts w:hint="eastAsia"/>
                <w:b/>
                <w:bCs/>
                <w:color w:val="auto"/>
                <w:sz w:val="21"/>
                <w:szCs w:val="21"/>
                <w:highlight w:val="none"/>
                <w:lang w:eastAsia="zh-CN"/>
              </w:rPr>
              <w:t>摘录</w:t>
            </w:r>
          </w:p>
          <w:tbl>
            <w:tblPr>
              <w:tblStyle w:val="34"/>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45"/>
              <w:gridCol w:w="1350"/>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729" w:type="dxa"/>
                  <w:tcBorders>
                    <w:tl2br w:val="nil"/>
                    <w:tr2bl w:val="nil"/>
                  </w:tcBorders>
                  <w:vAlign w:val="center"/>
                </w:tcPr>
                <w:p>
                  <w:pPr>
                    <w:jc w:val="center"/>
                    <w:rPr>
                      <w:rFonts w:hint="eastAsia" w:eastAsia="宋体"/>
                      <w:b/>
                      <w:bCs w:val="0"/>
                      <w:color w:val="auto"/>
                      <w:szCs w:val="21"/>
                      <w:highlight w:val="none"/>
                      <w:lang w:eastAsia="zh-CN"/>
                    </w:rPr>
                  </w:pPr>
                  <w:r>
                    <w:rPr>
                      <w:rFonts w:hint="eastAsia"/>
                      <w:b/>
                      <w:bCs w:val="0"/>
                      <w:color w:val="auto"/>
                      <w:szCs w:val="21"/>
                      <w:highlight w:val="none"/>
                      <w:lang w:eastAsia="zh-CN"/>
                    </w:rPr>
                    <w:t>污染物</w:t>
                  </w:r>
                </w:p>
              </w:tc>
              <w:tc>
                <w:tcPr>
                  <w:tcW w:w="2445" w:type="dxa"/>
                  <w:tcBorders>
                    <w:tl2br w:val="nil"/>
                    <w:tr2bl w:val="nil"/>
                  </w:tcBorders>
                  <w:vAlign w:val="center"/>
                </w:tcPr>
                <w:p>
                  <w:pPr>
                    <w:jc w:val="center"/>
                    <w:rPr>
                      <w:rFonts w:hint="eastAsia" w:eastAsia="宋体"/>
                      <w:b/>
                      <w:bCs w:val="0"/>
                      <w:color w:val="auto"/>
                      <w:szCs w:val="21"/>
                      <w:highlight w:val="none"/>
                      <w:lang w:eastAsia="zh-CN"/>
                    </w:rPr>
                  </w:pPr>
                  <w:r>
                    <w:rPr>
                      <w:rFonts w:hint="eastAsia"/>
                      <w:b/>
                      <w:bCs w:val="0"/>
                      <w:color w:val="auto"/>
                      <w:szCs w:val="21"/>
                      <w:highlight w:val="none"/>
                      <w:lang w:eastAsia="zh-CN"/>
                    </w:rPr>
                    <w:t>炉窑类别</w:t>
                  </w:r>
                </w:p>
              </w:tc>
              <w:tc>
                <w:tcPr>
                  <w:tcW w:w="1350" w:type="dxa"/>
                  <w:tcBorders>
                    <w:tl2br w:val="nil"/>
                    <w:tr2bl w:val="nil"/>
                  </w:tcBorders>
                  <w:vAlign w:val="center"/>
                </w:tcPr>
                <w:p>
                  <w:pPr>
                    <w:jc w:val="center"/>
                    <w:rPr>
                      <w:rFonts w:hint="eastAsia"/>
                      <w:b/>
                      <w:bCs w:val="0"/>
                      <w:color w:val="auto"/>
                      <w:szCs w:val="21"/>
                      <w:highlight w:val="none"/>
                      <w:lang w:eastAsia="zh-CN"/>
                    </w:rPr>
                  </w:pPr>
                  <w:r>
                    <w:rPr>
                      <w:rFonts w:hint="eastAsia"/>
                      <w:b/>
                      <w:bCs w:val="0"/>
                      <w:color w:val="auto"/>
                      <w:szCs w:val="21"/>
                      <w:highlight w:val="none"/>
                      <w:lang w:eastAsia="zh-CN"/>
                    </w:rPr>
                    <w:t>标准级别</w:t>
                  </w:r>
                </w:p>
              </w:tc>
              <w:tc>
                <w:tcPr>
                  <w:tcW w:w="2643" w:type="dxa"/>
                  <w:tcBorders>
                    <w:tl2br w:val="nil"/>
                    <w:tr2bl w:val="nil"/>
                  </w:tcBorders>
                  <w:vAlign w:val="center"/>
                </w:tcPr>
                <w:p>
                  <w:pPr>
                    <w:jc w:val="center"/>
                    <w:rPr>
                      <w:rFonts w:hint="eastAsia" w:eastAsia="宋体"/>
                      <w:b/>
                      <w:bCs w:val="0"/>
                      <w:color w:val="auto"/>
                      <w:szCs w:val="21"/>
                      <w:highlight w:val="none"/>
                      <w:lang w:eastAsia="zh-CN"/>
                    </w:rPr>
                  </w:pPr>
                  <w:r>
                    <w:rPr>
                      <w:rFonts w:hint="eastAsia"/>
                      <w:b/>
                      <w:bCs w:val="0"/>
                      <w:color w:val="auto"/>
                      <w:szCs w:val="21"/>
                      <w:highlight w:val="none"/>
                      <w:lang w:eastAsia="zh-CN"/>
                    </w:rPr>
                    <w:t>排放限值</w:t>
                  </w:r>
                  <w:r>
                    <w:rPr>
                      <w:b/>
                      <w:bCs w:val="0"/>
                      <w:color w:val="auto"/>
                      <w:sz w:val="21"/>
                      <w:szCs w:val="21"/>
                      <w:highlight w:val="none"/>
                    </w:rPr>
                    <w:t>（mg/m</w:t>
                  </w:r>
                  <w:r>
                    <w:rPr>
                      <w:b/>
                      <w:bCs w:val="0"/>
                      <w:color w:val="auto"/>
                      <w:sz w:val="21"/>
                      <w:szCs w:val="21"/>
                      <w:highlight w:val="none"/>
                      <w:vertAlign w:val="superscript"/>
                    </w:rPr>
                    <w:t>3</w:t>
                  </w:r>
                  <w:r>
                    <w:rPr>
                      <w:b/>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729"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烟尘</w:t>
                  </w:r>
                </w:p>
              </w:tc>
              <w:tc>
                <w:tcPr>
                  <w:tcW w:w="2445" w:type="dxa"/>
                  <w:tcBorders>
                    <w:tl2br w:val="nil"/>
                    <w:tr2bl w:val="nil"/>
                  </w:tcBorders>
                  <w:vAlign w:val="center"/>
                </w:tcPr>
                <w:p>
                  <w:pPr>
                    <w:jc w:val="center"/>
                    <w:rPr>
                      <w:bCs/>
                      <w:color w:val="auto"/>
                      <w:szCs w:val="21"/>
                      <w:highlight w:val="none"/>
                    </w:rPr>
                  </w:pPr>
                  <w:r>
                    <w:rPr>
                      <w:rFonts w:hint="eastAsia"/>
                      <w:bCs/>
                      <w:color w:val="auto"/>
                      <w:szCs w:val="21"/>
                      <w:highlight w:val="none"/>
                    </w:rPr>
                    <w:t>金属压延、锻造加热炉</w:t>
                  </w:r>
                </w:p>
              </w:tc>
              <w:tc>
                <w:tcPr>
                  <w:tcW w:w="1350" w:type="dxa"/>
                  <w:tcBorders>
                    <w:tl2br w:val="nil"/>
                    <w:tr2bl w:val="nil"/>
                  </w:tcBorders>
                  <w:vAlign w:val="center"/>
                </w:tcPr>
                <w:p>
                  <w:pPr>
                    <w:jc w:val="center"/>
                    <w:rPr>
                      <w:rFonts w:hint="eastAsia" w:eastAsia="宋体"/>
                      <w:bCs/>
                      <w:color w:val="auto"/>
                      <w:szCs w:val="21"/>
                      <w:highlight w:val="none"/>
                      <w:lang w:eastAsia="zh-CN"/>
                    </w:rPr>
                  </w:pPr>
                  <w:r>
                    <w:rPr>
                      <w:rFonts w:hint="eastAsia"/>
                      <w:bCs/>
                      <w:color w:val="auto"/>
                      <w:szCs w:val="21"/>
                      <w:highlight w:val="none"/>
                      <w:lang w:eastAsia="zh-CN"/>
                    </w:rPr>
                    <w:t>二级</w:t>
                  </w:r>
                </w:p>
              </w:tc>
              <w:tc>
                <w:tcPr>
                  <w:tcW w:w="2643" w:type="dxa"/>
                  <w:tcBorders>
                    <w:tl2br w:val="nil"/>
                    <w:tr2bl w:val="nil"/>
                  </w:tcBorders>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300</w:t>
                  </w:r>
                </w:p>
              </w:tc>
            </w:tr>
          </w:tbl>
          <w:p>
            <w:pPr>
              <w:numPr>
                <w:ilvl w:val="0"/>
                <w:numId w:val="0"/>
              </w:numPr>
              <w:spacing w:line="360" w:lineRule="auto"/>
              <w:ind w:firstLine="480" w:firstLineChars="200"/>
              <w:rPr>
                <w:color w:val="auto"/>
                <w:kern w:val="0"/>
                <w:sz w:val="24"/>
                <w:szCs w:val="24"/>
                <w:highlight w:val="none"/>
              </w:rPr>
            </w:pPr>
            <w:r>
              <w:rPr>
                <w:rFonts w:hint="eastAsia"/>
                <w:color w:val="auto"/>
                <w:kern w:val="0"/>
                <w:sz w:val="24"/>
                <w:szCs w:val="24"/>
                <w:highlight w:val="none"/>
                <w:lang w:val="en-US" w:eastAsia="zh-CN"/>
              </w:rPr>
              <w:t>3、</w:t>
            </w:r>
            <w:r>
              <w:rPr>
                <w:color w:val="auto"/>
                <w:kern w:val="0"/>
                <w:sz w:val="24"/>
                <w:szCs w:val="24"/>
                <w:highlight w:val="none"/>
              </w:rPr>
              <w:t>噪声：</w:t>
            </w:r>
            <w:r>
              <w:rPr>
                <w:rFonts w:hint="eastAsia" w:ascii="Times New Roman" w:hAnsi="Times New Roman"/>
                <w:color w:val="auto"/>
                <w:sz w:val="24"/>
                <w:highlight w:val="none"/>
              </w:rPr>
              <w:t>项目</w:t>
            </w:r>
            <w:r>
              <w:rPr>
                <w:rFonts w:hint="eastAsia" w:ascii="Times New Roman" w:hAnsi="Times New Roman"/>
                <w:color w:val="auto"/>
                <w:kern w:val="0"/>
                <w:sz w:val="24"/>
                <w:highlight w:val="none"/>
              </w:rPr>
              <w:t>厂界</w:t>
            </w:r>
            <w:r>
              <w:rPr>
                <w:color w:val="auto"/>
                <w:kern w:val="0"/>
                <w:sz w:val="24"/>
                <w:szCs w:val="24"/>
                <w:highlight w:val="none"/>
              </w:rPr>
              <w:t>执行《工业企业厂界环境噪声排放标准》（GB12348-2008）中的2类标准。</w:t>
            </w:r>
          </w:p>
          <w:p>
            <w:pPr>
              <w:pStyle w:val="19"/>
              <w:jc w:val="center"/>
              <w:rPr>
                <w:b/>
                <w:bCs/>
                <w:color w:val="auto"/>
                <w:sz w:val="21"/>
                <w:szCs w:val="21"/>
                <w:highlight w:val="none"/>
              </w:rPr>
            </w:pPr>
            <w:r>
              <w:rPr>
                <w:b/>
                <w:bCs/>
                <w:color w:val="auto"/>
                <w:sz w:val="21"/>
                <w:szCs w:val="21"/>
                <w:highlight w:val="none"/>
              </w:rPr>
              <w:t>表4-</w:t>
            </w:r>
            <w:r>
              <w:rPr>
                <w:rFonts w:hint="eastAsia"/>
                <w:b/>
                <w:bCs/>
                <w:color w:val="auto"/>
                <w:sz w:val="21"/>
                <w:szCs w:val="21"/>
                <w:highlight w:val="none"/>
                <w:lang w:val="en-US" w:eastAsia="zh-CN"/>
              </w:rPr>
              <w:t>7</w:t>
            </w:r>
            <w:r>
              <w:rPr>
                <w:b/>
                <w:bCs/>
                <w:color w:val="auto"/>
                <w:sz w:val="21"/>
                <w:szCs w:val="21"/>
                <w:highlight w:val="none"/>
              </w:rPr>
              <w:t xml:space="preserve"> 《工业企业厂界环境噪声排放标准》（GB12348-2008）</w:t>
            </w:r>
          </w:p>
          <w:tbl>
            <w:tblPr>
              <w:tblStyle w:val="34"/>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3130"/>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vMerge w:val="restart"/>
                  <w:tcBorders>
                    <w:tl2br w:val="nil"/>
                    <w:tr2bl w:val="nil"/>
                  </w:tcBorders>
                  <w:vAlign w:val="center"/>
                </w:tcPr>
                <w:p>
                  <w:pPr>
                    <w:jc w:val="center"/>
                    <w:rPr>
                      <w:bCs/>
                      <w:color w:val="auto"/>
                      <w:szCs w:val="21"/>
                      <w:highlight w:val="none"/>
                    </w:rPr>
                  </w:pPr>
                  <w:r>
                    <w:rPr>
                      <w:bCs/>
                      <w:color w:val="auto"/>
                      <w:szCs w:val="21"/>
                      <w:highlight w:val="none"/>
                    </w:rPr>
                    <w:t>类别</w:t>
                  </w:r>
                </w:p>
              </w:tc>
              <w:tc>
                <w:tcPr>
                  <w:tcW w:w="6139" w:type="dxa"/>
                  <w:gridSpan w:val="2"/>
                  <w:tcBorders>
                    <w:tl2br w:val="nil"/>
                    <w:tr2bl w:val="nil"/>
                  </w:tcBorders>
                  <w:vAlign w:val="center"/>
                </w:tcPr>
                <w:p>
                  <w:pPr>
                    <w:jc w:val="center"/>
                    <w:rPr>
                      <w:bCs/>
                      <w:color w:val="auto"/>
                      <w:szCs w:val="21"/>
                      <w:highlight w:val="none"/>
                    </w:rPr>
                  </w:pPr>
                  <w:r>
                    <w:rPr>
                      <w:bCs/>
                      <w:color w:val="auto"/>
                      <w:szCs w:val="21"/>
                      <w:highlight w:val="none"/>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vMerge w:val="continue"/>
                  <w:tcBorders>
                    <w:tl2br w:val="nil"/>
                    <w:tr2bl w:val="nil"/>
                  </w:tcBorders>
                  <w:vAlign w:val="center"/>
                </w:tcPr>
                <w:p>
                  <w:pPr>
                    <w:jc w:val="center"/>
                    <w:rPr>
                      <w:color w:val="auto"/>
                      <w:szCs w:val="21"/>
                      <w:highlight w:val="none"/>
                    </w:rPr>
                  </w:pPr>
                </w:p>
              </w:tc>
              <w:tc>
                <w:tcPr>
                  <w:tcW w:w="3130" w:type="dxa"/>
                  <w:tcBorders>
                    <w:tl2br w:val="nil"/>
                    <w:tr2bl w:val="nil"/>
                  </w:tcBorders>
                  <w:vAlign w:val="center"/>
                </w:tcPr>
                <w:p>
                  <w:pPr>
                    <w:jc w:val="center"/>
                    <w:rPr>
                      <w:bCs/>
                      <w:color w:val="auto"/>
                      <w:szCs w:val="21"/>
                      <w:highlight w:val="none"/>
                    </w:rPr>
                  </w:pPr>
                  <w:r>
                    <w:rPr>
                      <w:bCs/>
                      <w:color w:val="auto"/>
                      <w:szCs w:val="21"/>
                      <w:highlight w:val="none"/>
                    </w:rPr>
                    <w:t>昼间</w:t>
                  </w:r>
                </w:p>
              </w:tc>
              <w:tc>
                <w:tcPr>
                  <w:tcW w:w="3009" w:type="dxa"/>
                  <w:tcBorders>
                    <w:tl2br w:val="nil"/>
                    <w:tr2bl w:val="nil"/>
                  </w:tcBorders>
                  <w:vAlign w:val="center"/>
                </w:tcPr>
                <w:p>
                  <w:pPr>
                    <w:jc w:val="center"/>
                    <w:rPr>
                      <w:bCs/>
                      <w:color w:val="auto"/>
                      <w:szCs w:val="21"/>
                      <w:highlight w:val="none"/>
                    </w:rPr>
                  </w:pPr>
                  <w:r>
                    <w:rPr>
                      <w:bCs/>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028" w:type="dxa"/>
                  <w:tcBorders>
                    <w:tl2br w:val="nil"/>
                    <w:tr2bl w:val="nil"/>
                  </w:tcBorders>
                  <w:vAlign w:val="center"/>
                </w:tcPr>
                <w:p>
                  <w:pPr>
                    <w:jc w:val="center"/>
                    <w:rPr>
                      <w:color w:val="auto"/>
                      <w:szCs w:val="21"/>
                      <w:highlight w:val="none"/>
                    </w:rPr>
                  </w:pPr>
                  <w:r>
                    <w:rPr>
                      <w:color w:val="auto"/>
                      <w:szCs w:val="21"/>
                      <w:highlight w:val="none"/>
                    </w:rPr>
                    <w:t>2</w:t>
                  </w:r>
                </w:p>
              </w:tc>
              <w:tc>
                <w:tcPr>
                  <w:tcW w:w="3130" w:type="dxa"/>
                  <w:tcBorders>
                    <w:tl2br w:val="nil"/>
                    <w:tr2bl w:val="nil"/>
                  </w:tcBorders>
                  <w:vAlign w:val="center"/>
                </w:tcPr>
                <w:p>
                  <w:pPr>
                    <w:jc w:val="center"/>
                    <w:rPr>
                      <w:color w:val="auto"/>
                      <w:szCs w:val="21"/>
                      <w:highlight w:val="none"/>
                    </w:rPr>
                  </w:pPr>
                  <w:r>
                    <w:rPr>
                      <w:color w:val="auto"/>
                      <w:szCs w:val="21"/>
                      <w:highlight w:val="none"/>
                    </w:rPr>
                    <w:t>60</w:t>
                  </w:r>
                </w:p>
              </w:tc>
              <w:tc>
                <w:tcPr>
                  <w:tcW w:w="3009" w:type="dxa"/>
                  <w:tcBorders>
                    <w:tl2br w:val="nil"/>
                    <w:tr2bl w:val="nil"/>
                  </w:tcBorders>
                  <w:vAlign w:val="center"/>
                </w:tcPr>
                <w:p>
                  <w:pPr>
                    <w:jc w:val="center"/>
                    <w:rPr>
                      <w:color w:val="auto"/>
                      <w:szCs w:val="21"/>
                      <w:highlight w:val="none"/>
                    </w:rPr>
                  </w:pPr>
                  <w:r>
                    <w:rPr>
                      <w:color w:val="auto"/>
                      <w:szCs w:val="21"/>
                      <w:highlight w:val="none"/>
                    </w:rPr>
                    <w:t>50</w:t>
                  </w:r>
                </w:p>
              </w:tc>
            </w:tr>
          </w:tbl>
          <w:p>
            <w:pPr>
              <w:spacing w:line="360" w:lineRule="auto"/>
              <w:ind w:firstLine="480" w:firstLineChars="200"/>
              <w:rPr>
                <w:bCs/>
                <w:color w:val="auto"/>
                <w:kern w:val="0"/>
                <w:sz w:val="24"/>
                <w:szCs w:val="24"/>
                <w:highlight w:val="none"/>
              </w:rPr>
            </w:pPr>
            <w:r>
              <w:rPr>
                <w:bCs/>
                <w:color w:val="auto"/>
                <w:kern w:val="0"/>
                <w:sz w:val="24"/>
                <w:szCs w:val="24"/>
                <w:highlight w:val="none"/>
              </w:rPr>
              <w:t>4、固体废弃物：</w:t>
            </w:r>
            <w:r>
              <w:rPr>
                <w:rFonts w:hint="eastAsia"/>
                <w:bCs/>
                <w:color w:val="auto"/>
                <w:kern w:val="0"/>
                <w:sz w:val="24"/>
                <w:szCs w:val="24"/>
                <w:highlight w:val="none"/>
              </w:rPr>
              <w:t>执行《中华人民共和国固体废物污染环境防治法》、《一般工业固体废物贮存、处置场污染控制标准》（GB18599-2001）、《关于发布&lt;一般工业固体废物贮存、处置场污染控制标准&gt;（GB18599-2001）等3项国家污染物控制标准修改单的公告》（环境保护部2013年6月8日发布）和《广东省固体废物污染环境防治条例》、《广东省城市垃圾管理条例》</w:t>
            </w:r>
            <w:r>
              <w:rPr>
                <w:rFonts w:hint="eastAsia"/>
                <w:bCs/>
                <w:color w:val="auto"/>
                <w:kern w:val="0"/>
                <w:sz w:val="24"/>
                <w:szCs w:val="24"/>
                <w:highlight w:val="none"/>
                <w:lang w:eastAsia="zh-CN"/>
              </w:rPr>
              <w:t>、《国家危险废物名录》以及《危险废物贮存污染控制标准》（（GB18597-2001）及 2013 年修改单）</w:t>
            </w:r>
            <w:r>
              <w:rPr>
                <w:rFonts w:hint="eastAsia"/>
                <w:bCs/>
                <w:color w:val="auto"/>
                <w:kern w:val="0"/>
                <w:sz w:val="24"/>
                <w:szCs w:val="24"/>
                <w:highlight w:val="none"/>
              </w:rPr>
              <w:t>。</w:t>
            </w:r>
          </w:p>
          <w:p>
            <w:pPr>
              <w:spacing w:line="360" w:lineRule="auto"/>
              <w:ind w:firstLine="480" w:firstLineChars="200"/>
              <w:rPr>
                <w:bCs/>
                <w:color w:val="auto"/>
                <w:kern w:val="0"/>
                <w:sz w:val="24"/>
                <w:szCs w:val="24"/>
                <w:highlight w:val="none"/>
              </w:rPr>
            </w:pPr>
          </w:p>
          <w:p>
            <w:pPr>
              <w:spacing w:line="360" w:lineRule="auto"/>
              <w:ind w:firstLine="480" w:firstLineChars="200"/>
              <w:rPr>
                <w:bCs/>
                <w:color w:val="auto"/>
                <w:kern w:val="0"/>
                <w:sz w:val="24"/>
                <w:szCs w:val="24"/>
                <w:highlight w:val="none"/>
              </w:rPr>
            </w:pPr>
          </w:p>
          <w:p>
            <w:pPr>
              <w:spacing w:line="360" w:lineRule="auto"/>
              <w:ind w:firstLine="480" w:firstLineChars="200"/>
              <w:rPr>
                <w:color w:val="auto"/>
                <w:kern w:val="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8" w:hRule="atLeast"/>
          <w:jc w:val="center"/>
        </w:trPr>
        <w:tc>
          <w:tcPr>
            <w:tcW w:w="846" w:type="dxa"/>
            <w:textDirection w:val="tbRlV"/>
            <w:vAlign w:val="center"/>
          </w:tcPr>
          <w:p>
            <w:pPr>
              <w:spacing w:line="360" w:lineRule="auto"/>
              <w:ind w:left="113" w:right="113"/>
              <w:jc w:val="center"/>
              <w:rPr>
                <w:color w:val="auto"/>
                <w:sz w:val="24"/>
                <w:szCs w:val="24"/>
                <w:highlight w:val="none"/>
              </w:rPr>
            </w:pPr>
            <w:r>
              <w:rPr>
                <w:b/>
                <w:bCs/>
                <w:color w:val="auto"/>
                <w:sz w:val="28"/>
                <w:szCs w:val="28"/>
                <w:highlight w:val="none"/>
              </w:rPr>
              <w:t>总量控制指标</w:t>
            </w:r>
          </w:p>
        </w:tc>
        <w:tc>
          <w:tcPr>
            <w:tcW w:w="8417" w:type="dxa"/>
          </w:tcPr>
          <w:p>
            <w:pPr>
              <w:spacing w:line="360" w:lineRule="auto"/>
              <w:ind w:firstLine="480" w:firstLineChars="200"/>
              <w:rPr>
                <w:rFonts w:hint="eastAsia"/>
                <w:color w:val="auto"/>
                <w:sz w:val="24"/>
                <w:szCs w:val="24"/>
                <w:highlight w:val="none"/>
              </w:rPr>
            </w:pPr>
          </w:p>
          <w:p>
            <w:pPr>
              <w:pStyle w:val="2"/>
              <w:rPr>
                <w:rFonts w:hint="eastAsia"/>
                <w:color w:val="auto"/>
                <w:sz w:val="24"/>
                <w:szCs w:val="24"/>
                <w:highlight w:val="none"/>
              </w:rPr>
            </w:pPr>
          </w:p>
          <w:p>
            <w:pPr>
              <w:spacing w:line="360" w:lineRule="auto"/>
              <w:ind w:firstLine="480" w:firstLineChars="200"/>
              <w:rPr>
                <w:rFonts w:hint="eastAsia"/>
                <w:color w:val="auto"/>
                <w:sz w:val="24"/>
                <w:szCs w:val="24"/>
                <w:highlight w:val="none"/>
              </w:rPr>
            </w:pPr>
          </w:p>
          <w:p>
            <w:pPr>
              <w:spacing w:line="360" w:lineRule="auto"/>
              <w:ind w:firstLine="480" w:firstLineChars="200"/>
              <w:rPr>
                <w:rFonts w:hint="eastAsia"/>
                <w:color w:val="auto"/>
                <w:sz w:val="24"/>
                <w:szCs w:val="24"/>
                <w:highlight w:val="none"/>
              </w:rPr>
            </w:pPr>
          </w:p>
          <w:p>
            <w:pPr>
              <w:spacing w:line="360" w:lineRule="auto"/>
              <w:ind w:firstLine="480" w:firstLineChars="200"/>
              <w:rPr>
                <w:rFonts w:hint="eastAsia"/>
                <w:color w:val="auto"/>
                <w:sz w:val="24"/>
                <w:szCs w:val="24"/>
                <w:highlight w:val="none"/>
              </w:rPr>
            </w:pPr>
          </w:p>
          <w:p>
            <w:pPr>
              <w:spacing w:line="360" w:lineRule="auto"/>
              <w:ind w:firstLine="480" w:firstLineChars="200"/>
              <w:rPr>
                <w:rFonts w:hint="eastAsia"/>
                <w:color w:val="auto"/>
                <w:sz w:val="24"/>
                <w:szCs w:val="24"/>
                <w:highlight w:val="none"/>
              </w:rPr>
            </w:pPr>
            <w:r>
              <w:rPr>
                <w:rFonts w:hint="eastAsia"/>
                <w:color w:val="auto"/>
                <w:sz w:val="24"/>
                <w:szCs w:val="24"/>
                <w:highlight w:val="none"/>
              </w:rPr>
              <w:t>根据《国务院关于印发“十三五”生态环境保护规划的通知》（国发[2016]65 号）、《广东省环境保护厅关于印发广东省环境保护“十三五”规划的通知》（粤环[2016]51号）及《 国务院关于印发大气污染防治行动计划的通知》（国发[2011]37 号），总量控制指标主要为化学需氧量（COD</w:t>
            </w:r>
            <w:r>
              <w:rPr>
                <w:rFonts w:hint="eastAsia"/>
                <w:color w:val="auto"/>
                <w:sz w:val="24"/>
                <w:szCs w:val="24"/>
                <w:highlight w:val="none"/>
                <w:vertAlign w:val="subscript"/>
              </w:rPr>
              <w:t>Cr</w:t>
            </w:r>
            <w:r>
              <w:rPr>
                <w:rFonts w:hint="eastAsia"/>
                <w:color w:val="auto"/>
                <w:sz w:val="24"/>
                <w:szCs w:val="24"/>
                <w:highlight w:val="none"/>
              </w:rPr>
              <w:t>）、二氧化硫（SO</w:t>
            </w:r>
            <w:r>
              <w:rPr>
                <w:rFonts w:hint="eastAsia" w:ascii="Times New Roman" w:hAnsi="Times New Roman" w:cs="Times New Roman"/>
                <w:color w:val="auto"/>
                <w:sz w:val="24"/>
                <w:szCs w:val="24"/>
                <w:highlight w:val="none"/>
                <w:vertAlign w:val="subscript"/>
              </w:rPr>
              <w:t>2</w:t>
            </w:r>
            <w:r>
              <w:rPr>
                <w:rFonts w:hint="eastAsia"/>
                <w:color w:val="auto"/>
                <w:sz w:val="24"/>
                <w:szCs w:val="24"/>
                <w:highlight w:val="none"/>
              </w:rPr>
              <w:t>）、氨氮（NH</w:t>
            </w:r>
            <w:r>
              <w:rPr>
                <w:rFonts w:hint="eastAsia" w:ascii="Times New Roman" w:hAnsi="Times New Roman" w:cs="Times New Roman"/>
                <w:color w:val="auto"/>
                <w:sz w:val="24"/>
                <w:szCs w:val="24"/>
                <w:highlight w:val="none"/>
                <w:vertAlign w:val="subscript"/>
              </w:rPr>
              <w:t>3</w:t>
            </w:r>
            <w:r>
              <w:rPr>
                <w:rFonts w:hint="eastAsia"/>
                <w:color w:val="auto"/>
                <w:sz w:val="24"/>
                <w:szCs w:val="24"/>
                <w:highlight w:val="none"/>
              </w:rPr>
              <w:t>-N）及氮氧化物（NOx）、总氮、总磷、挥发性有机物（VOCs）、重点行业的重点重金属。</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根据《广东省珠江三角洲大气污染防治办法》的要求，大气总量控制指标共 4 项，分别为二氧化硫、氮氧化物、可吸入颗粒物、总挥发性有机化合物。</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总量控制因子及建议指标如下所示：</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（1）废气</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本项目</w:t>
            </w:r>
            <w:r>
              <w:rPr>
                <w:rFonts w:hint="eastAsia"/>
                <w:color w:val="auto"/>
                <w:sz w:val="24"/>
                <w:szCs w:val="24"/>
                <w:highlight w:val="none"/>
                <w:lang w:eastAsia="zh-CN"/>
              </w:rPr>
              <w:t>非甲烷总烃</w:t>
            </w:r>
            <w:r>
              <w:rPr>
                <w:rFonts w:hint="eastAsia"/>
                <w:color w:val="auto"/>
                <w:sz w:val="24"/>
                <w:szCs w:val="24"/>
                <w:highlight w:val="none"/>
              </w:rPr>
              <w:t>总排放量为</w:t>
            </w:r>
            <w:r>
              <w:rPr>
                <w:rFonts w:hint="eastAsia"/>
                <w:color w:val="auto"/>
                <w:sz w:val="24"/>
                <w:szCs w:val="24"/>
                <w:highlight w:val="none"/>
                <w:lang w:val="en-US" w:eastAsia="zh-CN"/>
              </w:rPr>
              <w:t>0.007t</w:t>
            </w:r>
            <w:r>
              <w:rPr>
                <w:rFonts w:hint="eastAsia"/>
                <w:color w:val="auto"/>
                <w:sz w:val="24"/>
                <w:szCs w:val="24"/>
                <w:highlight w:val="none"/>
              </w:rPr>
              <w:t>/a；二氧化硫（SO</w:t>
            </w:r>
            <w:r>
              <w:rPr>
                <w:rFonts w:hint="eastAsia"/>
                <w:color w:val="auto"/>
                <w:sz w:val="24"/>
                <w:szCs w:val="24"/>
                <w:highlight w:val="none"/>
                <w:vertAlign w:val="subscript"/>
              </w:rPr>
              <w:t>2</w:t>
            </w:r>
            <w:r>
              <w:rPr>
                <w:rFonts w:hint="eastAsia"/>
                <w:color w:val="auto"/>
                <w:sz w:val="24"/>
                <w:szCs w:val="24"/>
                <w:highlight w:val="none"/>
              </w:rPr>
              <w:t>）排放量为</w:t>
            </w:r>
            <w:r>
              <w:rPr>
                <w:rFonts w:hint="eastAsia"/>
                <w:color w:val="auto"/>
                <w:sz w:val="24"/>
                <w:szCs w:val="24"/>
                <w:highlight w:val="none"/>
                <w:lang w:val="en-US" w:eastAsia="zh-CN"/>
              </w:rPr>
              <w:t>0.004t</w:t>
            </w:r>
            <w:r>
              <w:rPr>
                <w:rFonts w:hint="eastAsia"/>
                <w:color w:val="auto"/>
                <w:sz w:val="24"/>
                <w:szCs w:val="24"/>
                <w:highlight w:val="none"/>
              </w:rPr>
              <w:t>/a；氮氧化物（NOx）排放量为</w:t>
            </w:r>
            <w:r>
              <w:rPr>
                <w:rFonts w:hint="eastAsia"/>
                <w:color w:val="auto"/>
                <w:sz w:val="24"/>
                <w:szCs w:val="24"/>
                <w:highlight w:val="none"/>
                <w:lang w:val="en-US" w:eastAsia="zh-CN"/>
              </w:rPr>
              <w:t>0.006t</w:t>
            </w:r>
            <w:r>
              <w:rPr>
                <w:rFonts w:hint="eastAsia"/>
                <w:color w:val="auto"/>
                <w:sz w:val="24"/>
                <w:szCs w:val="24"/>
                <w:highlight w:val="none"/>
              </w:rPr>
              <w:t>/a。</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（2）废水</w:t>
            </w:r>
          </w:p>
          <w:p>
            <w:pPr>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喷淋废水</w:t>
            </w:r>
            <w:r>
              <w:rPr>
                <w:rFonts w:hint="eastAsia"/>
                <w:color w:val="auto"/>
                <w:sz w:val="24"/>
                <w:szCs w:val="24"/>
                <w:highlight w:val="none"/>
              </w:rPr>
              <w:t>经收集后</w:t>
            </w:r>
            <w:r>
              <w:rPr>
                <w:rFonts w:hint="eastAsia"/>
                <w:color w:val="auto"/>
                <w:sz w:val="24"/>
                <w:szCs w:val="24"/>
                <w:highlight w:val="none"/>
                <w:lang w:eastAsia="zh-CN"/>
              </w:rPr>
              <w:t>定期交具有零星废水处理资质的单位处理，不外排；</w:t>
            </w:r>
            <w:r>
              <w:rPr>
                <w:rFonts w:hint="eastAsia"/>
                <w:color w:val="auto"/>
                <w:sz w:val="24"/>
                <w:szCs w:val="24"/>
                <w:highlight w:val="none"/>
              </w:rPr>
              <w:t>生活污水经预处理后排入</w:t>
            </w:r>
            <w:r>
              <w:rPr>
                <w:rFonts w:hint="eastAsia"/>
                <w:color w:val="auto"/>
                <w:sz w:val="24"/>
                <w:szCs w:val="24"/>
                <w:highlight w:val="none"/>
                <w:lang w:eastAsia="zh-CN"/>
              </w:rPr>
              <w:t>开平市</w:t>
            </w:r>
            <w:r>
              <w:rPr>
                <w:rFonts w:hint="eastAsia"/>
                <w:color w:val="auto"/>
                <w:sz w:val="24"/>
                <w:szCs w:val="24"/>
                <w:highlight w:val="none"/>
              </w:rPr>
              <w:t>水口污水处理厂集中处理，故废水不建议分配总量控制指标 最终以当地环保主管部门下达的总量控制指标为准。</w:t>
            </w:r>
          </w:p>
          <w:p>
            <w:pPr>
              <w:spacing w:line="360" w:lineRule="auto"/>
              <w:ind w:firstLine="480" w:firstLineChars="200"/>
              <w:rPr>
                <w:rFonts w:hint="eastAsia"/>
                <w:color w:val="auto"/>
                <w:sz w:val="24"/>
                <w:szCs w:val="24"/>
                <w:highlight w:val="none"/>
              </w:rPr>
            </w:pPr>
            <w:r>
              <w:rPr>
                <w:rFonts w:hint="eastAsia"/>
                <w:color w:val="auto"/>
                <w:sz w:val="24"/>
                <w:szCs w:val="24"/>
                <w:highlight w:val="none"/>
              </w:rPr>
              <w:t>注：最终以当地环保主管部门下达的总量指标为准。</w:t>
            </w:r>
          </w:p>
          <w:p>
            <w:pPr>
              <w:pStyle w:val="2"/>
              <w:rPr>
                <w:rFonts w:hint="eastAsia"/>
                <w:color w:val="auto"/>
                <w:sz w:val="24"/>
                <w:szCs w:val="24"/>
                <w:highlight w:val="none"/>
              </w:rPr>
            </w:pPr>
          </w:p>
          <w:p>
            <w:pPr>
              <w:pStyle w:val="4"/>
              <w:rPr>
                <w:rFonts w:hint="eastAsia"/>
                <w:color w:val="auto"/>
                <w:sz w:val="24"/>
                <w:szCs w:val="24"/>
                <w:highlight w:val="none"/>
              </w:rPr>
            </w:pPr>
          </w:p>
          <w:p>
            <w:pPr>
              <w:pStyle w:val="6"/>
              <w:rPr>
                <w:rFonts w:hint="eastAsia"/>
                <w:color w:val="auto"/>
                <w:highlight w:val="none"/>
              </w:rPr>
            </w:pPr>
          </w:p>
          <w:p>
            <w:pPr>
              <w:pStyle w:val="4"/>
              <w:rPr>
                <w:rFonts w:hint="eastAsia"/>
                <w:color w:val="auto"/>
                <w:highlight w:val="none"/>
              </w:rPr>
            </w:pPr>
          </w:p>
          <w:p>
            <w:pPr>
              <w:spacing w:line="360" w:lineRule="auto"/>
              <w:ind w:firstLine="480" w:firstLineChars="200"/>
              <w:rPr>
                <w:rFonts w:hint="eastAsia"/>
                <w:color w:val="auto"/>
                <w:sz w:val="24"/>
                <w:szCs w:val="24"/>
                <w:highlight w:val="none"/>
              </w:rPr>
            </w:pPr>
          </w:p>
          <w:p>
            <w:pPr>
              <w:pStyle w:val="2"/>
              <w:rPr>
                <w:rFonts w:hint="eastAsia"/>
                <w:color w:val="auto"/>
                <w:highlight w:val="none"/>
              </w:rPr>
            </w:pPr>
          </w:p>
          <w:p>
            <w:pPr>
              <w:spacing w:line="360" w:lineRule="auto"/>
              <w:ind w:firstLine="480" w:firstLineChars="200"/>
              <w:rPr>
                <w:rFonts w:hint="eastAsia"/>
                <w:color w:val="auto"/>
                <w:sz w:val="24"/>
                <w:szCs w:val="24"/>
                <w:highlight w:val="none"/>
              </w:rPr>
            </w:pPr>
          </w:p>
          <w:p>
            <w:pPr>
              <w:spacing w:line="360" w:lineRule="auto"/>
              <w:ind w:firstLine="480" w:firstLineChars="200"/>
              <w:rPr>
                <w:rFonts w:hint="default" w:eastAsia="宋体"/>
                <w:bCs/>
                <w:color w:val="auto"/>
                <w:kern w:val="0"/>
                <w:sz w:val="24"/>
                <w:szCs w:val="24"/>
                <w:highlight w:val="none"/>
                <w:lang w:val="en-US" w:eastAsia="zh-CN"/>
              </w:rPr>
            </w:pPr>
            <w:r>
              <w:rPr>
                <w:rFonts w:hint="eastAsia"/>
                <w:color w:val="auto"/>
                <w:sz w:val="24"/>
                <w:szCs w:val="24"/>
                <w:highlight w:val="none"/>
                <w:lang w:val="en-US" w:eastAsia="zh-CN"/>
              </w:rPr>
              <w:t xml:space="preserve">     </w:t>
            </w:r>
          </w:p>
        </w:tc>
      </w:tr>
    </w:tbl>
    <w:p>
      <w:pPr>
        <w:pStyle w:val="16"/>
        <w:spacing w:before="0" w:after="0" w:line="240" w:lineRule="auto"/>
        <w:rPr>
          <w:color w:val="auto"/>
          <w:sz w:val="28"/>
          <w:szCs w:val="28"/>
          <w:highlight w:val="none"/>
        </w:rPr>
      </w:pPr>
      <w:bookmarkStart w:id="40" w:name="_Toc419969245"/>
      <w:bookmarkStart w:id="41" w:name="_Toc423079058"/>
      <w:bookmarkStart w:id="42" w:name="_Toc421087972"/>
      <w:bookmarkStart w:id="43" w:name="_Toc420709132"/>
      <w:bookmarkStart w:id="44" w:name="_Toc1991"/>
      <w:bookmarkStart w:id="45" w:name="_Toc31639"/>
      <w:bookmarkStart w:id="46" w:name="_Toc421053062"/>
      <w:bookmarkStart w:id="47" w:name="_Toc451440905"/>
      <w:bookmarkStart w:id="48" w:name="_Toc429307987"/>
      <w:bookmarkStart w:id="49" w:name="_Toc12791"/>
      <w:r>
        <w:rPr>
          <w:color w:val="auto"/>
          <w:sz w:val="28"/>
          <w:szCs w:val="28"/>
          <w:highlight w:val="none"/>
        </w:rPr>
        <w:t>五、建设项目工程分析</w:t>
      </w:r>
      <w:bookmarkEnd w:id="40"/>
      <w:bookmarkEnd w:id="41"/>
      <w:bookmarkEnd w:id="42"/>
      <w:bookmarkEnd w:id="43"/>
      <w:bookmarkEnd w:id="44"/>
      <w:bookmarkEnd w:id="45"/>
      <w:bookmarkEnd w:id="46"/>
      <w:bookmarkEnd w:id="47"/>
      <w:bookmarkEnd w:id="48"/>
      <w:bookmarkEnd w:id="49"/>
    </w:p>
    <w:tbl>
      <w:tblPr>
        <w:tblStyle w:val="34"/>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9286" w:type="dxa"/>
            <w:tcBorders>
              <w:top w:val="single" w:color="auto" w:sz="12" w:space="0"/>
            </w:tcBorders>
          </w:tcPr>
          <w:p>
            <w:pPr>
              <w:spacing w:line="360" w:lineRule="auto"/>
              <w:rPr>
                <w:b/>
                <w:color w:val="auto"/>
                <w:kern w:val="0"/>
                <w:sz w:val="24"/>
                <w:szCs w:val="24"/>
                <w:highlight w:val="none"/>
              </w:rPr>
            </w:pPr>
            <w:r>
              <w:rPr>
                <w:b/>
                <w:color w:val="auto"/>
                <w:kern w:val="0"/>
                <w:sz w:val="24"/>
                <w:szCs w:val="24"/>
                <w:highlight w:val="none"/>
              </w:rPr>
              <w:t>工艺流程简述（图示）：</w:t>
            </w:r>
          </w:p>
          <w:p>
            <w:pPr>
              <w:spacing w:line="360" w:lineRule="auto"/>
              <w:ind w:firstLine="482" w:firstLineChars="200"/>
              <w:jc w:val="left"/>
              <w:rPr>
                <w:b/>
                <w:color w:val="auto"/>
                <w:sz w:val="24"/>
                <w:szCs w:val="24"/>
                <w:highlight w:val="none"/>
              </w:rPr>
            </w:pPr>
            <w:r>
              <w:rPr>
                <w:b/>
                <w:color w:val="auto"/>
                <w:sz w:val="24"/>
                <w:szCs w:val="24"/>
                <w:highlight w:val="none"/>
              </w:rPr>
              <w:t>本项目主要生产的产品为</w:t>
            </w:r>
            <w:r>
              <w:rPr>
                <w:rFonts w:hint="eastAsia"/>
                <w:b/>
                <w:color w:val="auto"/>
                <w:sz w:val="24"/>
                <w:szCs w:val="24"/>
                <w:highlight w:val="none"/>
                <w:lang w:eastAsia="zh-CN"/>
              </w:rPr>
              <w:t>五金卫浴配件</w:t>
            </w:r>
            <w:r>
              <w:rPr>
                <w:b/>
                <w:color w:val="auto"/>
                <w:sz w:val="24"/>
                <w:szCs w:val="24"/>
                <w:highlight w:val="none"/>
              </w:rPr>
              <w:t>，其工艺流程及产污环节如下：</w:t>
            </w:r>
          </w:p>
          <w:p>
            <w:pPr>
              <w:pStyle w:val="2"/>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（注：G</w:t>
            </w:r>
            <w:r>
              <w:rPr>
                <w:rFonts w:hint="default" w:ascii="Times New Roman" w:hAnsi="Times New Roman" w:cs="Times New Roman"/>
                <w:b/>
                <w:bCs/>
                <w:color w:val="auto"/>
                <w:sz w:val="21"/>
                <w:szCs w:val="21"/>
                <w:highlight w:val="none"/>
                <w:vertAlign w:val="subscript"/>
              </w:rPr>
              <w:t>1</w:t>
            </w:r>
            <w:r>
              <w:rPr>
                <w:rFonts w:hint="default" w:ascii="Times New Roman" w:hAnsi="Times New Roman" w:cs="Times New Roman"/>
                <w:b/>
                <w:bCs/>
                <w:color w:val="auto"/>
                <w:sz w:val="21"/>
                <w:szCs w:val="21"/>
                <w:highlight w:val="none"/>
              </w:rPr>
              <w:t>为粉尘、G</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为非甲烷总烃、G</w:t>
            </w:r>
            <w:r>
              <w:rPr>
                <w:rFonts w:hint="default" w:ascii="Times New Roman" w:hAnsi="Times New Roman" w:cs="Times New Roman"/>
                <w:b/>
                <w:bCs/>
                <w:color w:val="auto"/>
                <w:sz w:val="21"/>
                <w:szCs w:val="21"/>
                <w:highlight w:val="none"/>
                <w:vertAlign w:val="subscript"/>
              </w:rPr>
              <w:t>3</w:t>
            </w:r>
            <w:r>
              <w:rPr>
                <w:rFonts w:hint="default" w:ascii="Times New Roman" w:hAnsi="Times New Roman" w:cs="Times New Roman"/>
                <w:b/>
                <w:bCs/>
                <w:color w:val="auto"/>
                <w:sz w:val="21"/>
                <w:szCs w:val="21"/>
                <w:highlight w:val="none"/>
              </w:rPr>
              <w:t>为燃料废气； S</w:t>
            </w:r>
            <w:r>
              <w:rPr>
                <w:rFonts w:hint="default" w:ascii="Times New Roman" w:hAnsi="Times New Roman" w:cs="Times New Roman"/>
                <w:b/>
                <w:bCs/>
                <w:color w:val="auto"/>
                <w:sz w:val="21"/>
                <w:szCs w:val="21"/>
                <w:highlight w:val="none"/>
                <w:vertAlign w:val="subscript"/>
              </w:rPr>
              <w:t>1</w:t>
            </w:r>
            <w:r>
              <w:rPr>
                <w:rFonts w:hint="default" w:ascii="Times New Roman" w:hAnsi="Times New Roman" w:cs="Times New Roman"/>
                <w:b/>
                <w:bCs/>
                <w:color w:val="auto"/>
                <w:sz w:val="21"/>
                <w:szCs w:val="21"/>
                <w:highlight w:val="none"/>
              </w:rPr>
              <w:t>为一般工业固废、S</w:t>
            </w:r>
            <w:r>
              <w:rPr>
                <w:rFonts w:hint="default" w:ascii="Times New Roman" w:hAnsi="Times New Roman" w:cs="Times New Roman"/>
                <w:b/>
                <w:bCs/>
                <w:color w:val="auto"/>
                <w:sz w:val="21"/>
                <w:szCs w:val="21"/>
                <w:highlight w:val="none"/>
                <w:vertAlign w:val="subscript"/>
              </w:rPr>
              <w:t>2</w:t>
            </w:r>
            <w:r>
              <w:rPr>
                <w:rFonts w:hint="default" w:ascii="Times New Roman" w:hAnsi="Times New Roman" w:cs="Times New Roman"/>
                <w:b/>
                <w:bCs/>
                <w:color w:val="auto"/>
                <w:sz w:val="21"/>
                <w:szCs w:val="21"/>
                <w:highlight w:val="none"/>
              </w:rPr>
              <w:t>为危险废物；N为噪声。）</w:t>
            </w:r>
          </w:p>
          <w:p>
            <w:pPr>
              <w:pStyle w:val="24"/>
              <w:spacing w:line="360" w:lineRule="auto"/>
              <w:jc w:val="center"/>
              <w:rPr>
                <w:bCs/>
                <w:color w:val="auto"/>
                <w:kern w:val="0"/>
                <w:sz w:val="24"/>
                <w:szCs w:val="24"/>
                <w:highlight w:val="none"/>
              </w:rPr>
            </w:pPr>
            <w:r>
              <w:rPr>
                <w:color w:val="auto"/>
                <w:highlight w:val="none"/>
              </w:rPr>
              <mc:AlternateContent>
                <mc:Choice Requires="wpc">
                  <w:drawing>
                    <wp:inline distT="0" distB="0" distL="114300" distR="114300">
                      <wp:extent cx="5774055" cy="995680"/>
                      <wp:effectExtent l="0" t="0" r="0" b="0"/>
                      <wp:docPr id="90"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直接箭头连接符 68"/>
                              <wps:cNvCnPr/>
                              <wps:spPr>
                                <a:xfrm>
                                  <a:off x="946785" y="585470"/>
                                  <a:ext cx="254635" cy="635"/>
                                </a:xfrm>
                                <a:prstGeom prst="straightConnector1">
                                  <a:avLst/>
                                </a:prstGeom>
                                <a:ln w="3175" cap="flat" cmpd="sng">
                                  <a:solidFill>
                                    <a:srgbClr val="000000"/>
                                  </a:solidFill>
                                  <a:prstDash val="solid"/>
                                  <a:headEnd type="none" w="med" len="med"/>
                                  <a:tailEnd type="triangle" w="med" len="med"/>
                                </a:ln>
                              </wps:spPr>
                              <wps:bodyPr/>
                            </wps:wsp>
                            <wps:wsp>
                              <wps:cNvPr id="69" name="文本框 69"/>
                              <wps:cNvSpPr txBox="1"/>
                              <wps:spPr>
                                <a:xfrm>
                                  <a:off x="1210945" y="434340"/>
                                  <a:ext cx="561340" cy="295275"/>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开料</w:t>
                                    </w:r>
                                  </w:p>
                                </w:txbxContent>
                              </wps:txbx>
                              <wps:bodyPr upright="1"/>
                            </wps:wsp>
                            <wps:wsp>
                              <wps:cNvPr id="70" name="直接箭头连接符 70"/>
                              <wps:cNvCnPr/>
                              <wps:spPr>
                                <a:xfrm>
                                  <a:off x="1791335" y="584200"/>
                                  <a:ext cx="254635" cy="1270"/>
                                </a:xfrm>
                                <a:prstGeom prst="straightConnector1">
                                  <a:avLst/>
                                </a:prstGeom>
                                <a:ln w="3175" cap="flat" cmpd="sng">
                                  <a:solidFill>
                                    <a:srgbClr val="000000"/>
                                  </a:solidFill>
                                  <a:prstDash val="solid"/>
                                  <a:headEnd type="none" w="med" len="med"/>
                                  <a:tailEnd type="triangle" w="med" len="med"/>
                                </a:ln>
                              </wps:spPr>
                              <wps:bodyPr/>
                            </wps:wsp>
                            <wps:wsp>
                              <wps:cNvPr id="71" name="文本框 71"/>
                              <wps:cNvSpPr txBox="1"/>
                              <wps:spPr>
                                <a:xfrm>
                                  <a:off x="2065020" y="436880"/>
                                  <a:ext cx="556895" cy="29464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锻压</w:t>
                                    </w:r>
                                  </w:p>
                                </w:txbxContent>
                              </wps:txbx>
                              <wps:bodyPr upright="1"/>
                            </wps:wsp>
                            <wps:wsp>
                              <wps:cNvPr id="72" name="直接箭头连接符 72"/>
                              <wps:cNvCnPr/>
                              <wps:spPr>
                                <a:xfrm>
                                  <a:off x="2630806" y="595630"/>
                                  <a:ext cx="254635" cy="635"/>
                                </a:xfrm>
                                <a:prstGeom prst="straightConnector1">
                                  <a:avLst/>
                                </a:prstGeom>
                                <a:ln w="3175" cap="flat" cmpd="sng">
                                  <a:solidFill>
                                    <a:srgbClr val="000000"/>
                                  </a:solidFill>
                                  <a:prstDash val="solid"/>
                                  <a:headEnd type="none" w="med" len="med"/>
                                  <a:tailEnd type="triangle" w="med" len="med"/>
                                </a:ln>
                              </wps:spPr>
                              <wps:bodyPr/>
                            </wps:wsp>
                            <wps:wsp>
                              <wps:cNvPr id="73" name="文本框 73"/>
                              <wps:cNvSpPr txBox="1"/>
                              <wps:spPr>
                                <a:xfrm>
                                  <a:off x="339725" y="427355"/>
                                  <a:ext cx="589916" cy="29464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铜棒</w:t>
                                    </w:r>
                                  </w:p>
                                </w:txbxContent>
                              </wps:txbx>
                              <wps:bodyPr upright="1"/>
                            </wps:wsp>
                            <wps:wsp>
                              <wps:cNvPr id="74" name="文本框 74"/>
                              <wps:cNvSpPr txBox="1"/>
                              <wps:spPr>
                                <a:xfrm>
                                  <a:off x="1130300" y="158750"/>
                                  <a:ext cx="734695" cy="294640"/>
                                </a:xfrm>
                                <a:prstGeom prst="rect">
                                  <a:avLst/>
                                </a:prstGeom>
                                <a:noFill/>
                                <a:ln w="3175">
                                  <a:noFill/>
                                </a:ln>
                              </wps:spPr>
                              <wps:txbx>
                                <w:txbxContent>
                                  <w:p>
                                    <w:pPr>
                                      <w:ind w:firstLine="105" w:firstLineChars="50"/>
                                    </w:pPr>
                                    <w:r>
                                      <w:rPr>
                                        <w:rFonts w:hint="eastAsia"/>
                                        <w:bCs/>
                                        <w:szCs w:val="21"/>
                                        <w:lang w:val="en-US" w:eastAsia="zh-CN"/>
                                      </w:rPr>
                                      <w:t>G</w:t>
                                    </w:r>
                                    <w:r>
                                      <w:rPr>
                                        <w:rFonts w:hint="eastAsia"/>
                                        <w:bCs/>
                                        <w:szCs w:val="21"/>
                                        <w:vertAlign w:val="subscript"/>
                                        <w:lang w:val="en-US" w:eastAsia="zh-CN"/>
                                      </w:rPr>
                                      <w:t>1</w:t>
                                    </w:r>
                                    <w:r>
                                      <w:rPr>
                                        <w:rFonts w:hint="eastAsia"/>
                                        <w:vertAlign w:val="subscript"/>
                                        <w:lang w:val="en-US" w:eastAsia="zh-CN"/>
                                      </w:rPr>
                                      <w:t xml:space="preserve"> </w:t>
                                    </w:r>
                                    <w:r>
                                      <w:rPr>
                                        <w:rFonts w:hint="eastAsia"/>
                                      </w:rPr>
                                      <w:t>N</w:t>
                                    </w:r>
                                  </w:p>
                                </w:txbxContent>
                              </wps:txbx>
                              <wps:bodyPr upright="1"/>
                            </wps:wsp>
                            <wps:wsp>
                              <wps:cNvPr id="75" name="文本框 75"/>
                              <wps:cNvSpPr txBox="1"/>
                              <wps:spPr>
                                <a:xfrm>
                                  <a:off x="2903856" y="446405"/>
                                  <a:ext cx="638175" cy="29210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机加工</w:t>
                                    </w:r>
                                  </w:p>
                                </w:txbxContent>
                              </wps:txbx>
                              <wps:bodyPr upright="1"/>
                            </wps:wsp>
                            <wps:wsp>
                              <wps:cNvPr id="76" name="直接箭头连接符 76"/>
                              <wps:cNvCnPr/>
                              <wps:spPr>
                                <a:xfrm>
                                  <a:off x="3551555" y="598805"/>
                                  <a:ext cx="254000" cy="0"/>
                                </a:xfrm>
                                <a:prstGeom prst="straightConnector1">
                                  <a:avLst/>
                                </a:prstGeom>
                                <a:ln w="3175" cap="flat" cmpd="sng">
                                  <a:solidFill>
                                    <a:srgbClr val="000000"/>
                                  </a:solidFill>
                                  <a:prstDash val="solid"/>
                                  <a:headEnd type="none" w="med" len="med"/>
                                  <a:tailEnd type="triangle" w="med" len="med"/>
                                </a:ln>
                              </wps:spPr>
                              <wps:bodyPr/>
                            </wps:wsp>
                            <wps:wsp>
                              <wps:cNvPr id="78" name="文本框 78"/>
                              <wps:cNvSpPr txBox="1"/>
                              <wps:spPr>
                                <a:xfrm>
                                  <a:off x="2808605" y="151130"/>
                                  <a:ext cx="866140" cy="292100"/>
                                </a:xfrm>
                                <a:prstGeom prst="rect">
                                  <a:avLst/>
                                </a:prstGeom>
                                <a:noFill/>
                                <a:ln w="3175">
                                  <a:noFill/>
                                </a:ln>
                              </wps:spPr>
                              <wps:txbx>
                                <w:txbxContent>
                                  <w:p>
                                    <w:pPr>
                                      <w:ind w:firstLine="105" w:firstLineChars="50"/>
                                    </w:pPr>
                                    <w:r>
                                      <w:rPr>
                                        <w:rFonts w:hint="eastAsia"/>
                                        <w:bCs/>
                                        <w:vertAlign w:val="subscript"/>
                                      </w:rPr>
                                      <w:t xml:space="preserve"> </w:t>
                                    </w:r>
                                    <w:r>
                                      <w:rPr>
                                        <w:rFonts w:hint="eastAsia"/>
                                        <w:bCs/>
                                        <w:szCs w:val="21"/>
                                        <w:lang w:val="en-US" w:eastAsia="zh-CN"/>
                                      </w:rPr>
                                      <w:t>G</w:t>
                                    </w:r>
                                    <w:r>
                                      <w:rPr>
                                        <w:rFonts w:hint="eastAsia"/>
                                        <w:bCs/>
                                        <w:szCs w:val="21"/>
                                        <w:vertAlign w:val="subscript"/>
                                        <w:lang w:val="en-US" w:eastAsia="zh-CN"/>
                                      </w:rPr>
                                      <w:t>1</w:t>
                                    </w:r>
                                    <w:r>
                                      <w:rPr>
                                        <w:rFonts w:hint="eastAsia"/>
                                        <w:vertAlign w:val="subscript"/>
                                        <w:lang w:val="en-US" w:eastAsia="zh-CN"/>
                                      </w:rPr>
                                      <w:t xml:space="preserve"> </w:t>
                                    </w:r>
                                    <w:r>
                                      <w:rPr>
                                        <w:rFonts w:hint="eastAsia"/>
                                        <w:bCs/>
                                        <w:szCs w:val="21"/>
                                      </w:rPr>
                                      <w:t>S</w:t>
                                    </w:r>
                                    <w:r>
                                      <w:rPr>
                                        <w:rFonts w:hint="eastAsia"/>
                                        <w:vertAlign w:val="subscript"/>
                                        <w:lang w:val="en-US" w:eastAsia="zh-CN"/>
                                      </w:rPr>
                                      <w:t xml:space="preserve">1 </w:t>
                                    </w:r>
                                    <w:r>
                                      <w:rPr>
                                        <w:rFonts w:hint="eastAsia"/>
                                        <w:bCs/>
                                        <w:szCs w:val="21"/>
                                      </w:rPr>
                                      <w:t>S</w:t>
                                    </w:r>
                                    <w:r>
                                      <w:rPr>
                                        <w:rFonts w:hint="eastAsia"/>
                                        <w:vertAlign w:val="subscript"/>
                                        <w:lang w:val="en-US" w:eastAsia="zh-CN"/>
                                      </w:rPr>
                                      <w:t xml:space="preserve">2 </w:t>
                                    </w:r>
                                    <w:r>
                                      <w:rPr>
                                        <w:rFonts w:hint="eastAsia"/>
                                      </w:rPr>
                                      <w:t>N</w:t>
                                    </w:r>
                                  </w:p>
                                </w:txbxContent>
                              </wps:txbx>
                              <wps:bodyPr upright="1"/>
                            </wps:wsp>
                            <wps:wsp>
                              <wps:cNvPr id="83" name="文本框 83"/>
                              <wps:cNvSpPr txBox="1"/>
                              <wps:spPr>
                                <a:xfrm>
                                  <a:off x="1798955" y="151130"/>
                                  <a:ext cx="1187450" cy="292100"/>
                                </a:xfrm>
                                <a:prstGeom prst="rect">
                                  <a:avLst/>
                                </a:prstGeom>
                                <a:noFill/>
                                <a:ln w="3175">
                                  <a:noFill/>
                                </a:ln>
                              </wps:spPr>
                              <wps:txbx>
                                <w:txbxContent>
                                  <w:p>
                                    <w:pPr>
                                      <w:ind w:firstLine="105" w:firstLineChars="50"/>
                                    </w:pPr>
                                    <w:r>
                                      <w:rPr>
                                        <w:rFonts w:hint="eastAsia"/>
                                        <w:bCs/>
                                        <w:color w:val="auto"/>
                                        <w:vertAlign w:val="subscript"/>
                                      </w:rPr>
                                      <w:t xml:space="preserve"> </w:t>
                                    </w:r>
                                    <w:r>
                                      <w:rPr>
                                        <w:bCs/>
                                        <w:color w:val="auto"/>
                                      </w:rPr>
                                      <w:t>G</w:t>
                                    </w:r>
                                    <w:r>
                                      <w:rPr>
                                        <w:rFonts w:hint="eastAsia"/>
                                        <w:bCs/>
                                        <w:color w:val="auto"/>
                                        <w:vertAlign w:val="subscript"/>
                                        <w:lang w:val="en-US" w:eastAsia="zh-CN"/>
                                      </w:rPr>
                                      <w:t>2</w:t>
                                    </w:r>
                                    <w:r>
                                      <w:rPr>
                                        <w:bCs/>
                                        <w:color w:val="auto"/>
                                      </w:rPr>
                                      <w:t>G</w:t>
                                    </w:r>
                                    <w:r>
                                      <w:rPr>
                                        <w:rFonts w:hint="eastAsia"/>
                                        <w:bCs/>
                                        <w:color w:val="auto"/>
                                        <w:vertAlign w:val="subscript"/>
                                        <w:lang w:val="en-US" w:eastAsia="zh-CN"/>
                                      </w:rPr>
                                      <w:t xml:space="preserve">3 </w:t>
                                    </w:r>
                                    <w:r>
                                      <w:rPr>
                                        <w:rFonts w:hint="eastAsia"/>
                                        <w:bCs/>
                                        <w:szCs w:val="21"/>
                                      </w:rPr>
                                      <w:t>S</w:t>
                                    </w:r>
                                    <w:r>
                                      <w:rPr>
                                        <w:rFonts w:hint="eastAsia"/>
                                        <w:bCs/>
                                        <w:szCs w:val="21"/>
                                        <w:vertAlign w:val="subscript"/>
                                        <w:lang w:val="en-US" w:eastAsia="zh-CN"/>
                                      </w:rPr>
                                      <w:t xml:space="preserve">2 </w:t>
                                    </w:r>
                                    <w:r>
                                      <w:rPr>
                                        <w:rFonts w:hint="eastAsia"/>
                                      </w:rPr>
                                      <w:t>N</w:t>
                                    </w:r>
                                  </w:p>
                                </w:txbxContent>
                              </wps:txbx>
                              <wps:bodyPr upright="1"/>
                            </wps:wsp>
                            <wps:wsp>
                              <wps:cNvPr id="84" name="文本框 84"/>
                              <wps:cNvSpPr txBox="1"/>
                              <wps:spPr>
                                <a:xfrm>
                                  <a:off x="3837305" y="159385"/>
                                  <a:ext cx="551815" cy="272415"/>
                                </a:xfrm>
                                <a:prstGeom prst="rect">
                                  <a:avLst/>
                                </a:prstGeom>
                                <a:noFill/>
                                <a:ln w="3175">
                                  <a:noFill/>
                                </a:ln>
                              </wps:spPr>
                              <wps:txbx>
                                <w:txbxContent>
                                  <w:p>
                                    <w:pPr>
                                      <w:ind w:firstLine="105" w:firstLineChars="50"/>
                                      <w:rPr>
                                        <w:rFonts w:hint="eastAsia" w:eastAsia="宋体"/>
                                        <w:lang w:val="en-US" w:eastAsia="zh-CN"/>
                                      </w:rPr>
                                    </w:pPr>
                                    <w:r>
                                      <w:rPr>
                                        <w:rFonts w:hint="eastAsia"/>
                                        <w:bCs/>
                                        <w:vertAlign w:val="subscript"/>
                                      </w:rPr>
                                      <w:t xml:space="preserve"> </w:t>
                                    </w:r>
                                    <w:r>
                                      <w:rPr>
                                        <w:rFonts w:hint="eastAsia"/>
                                        <w:bCs/>
                                        <w:szCs w:val="21"/>
                                      </w:rPr>
                                      <w:t>S</w:t>
                                    </w:r>
                                    <w:r>
                                      <w:rPr>
                                        <w:rFonts w:hint="eastAsia"/>
                                        <w:bCs/>
                                        <w:szCs w:val="21"/>
                                        <w:vertAlign w:val="subscript"/>
                                        <w:lang w:val="en-US" w:eastAsia="zh-CN"/>
                                      </w:rPr>
                                      <w:t>1</w:t>
                                    </w:r>
                                  </w:p>
                                </w:txbxContent>
                              </wps:txbx>
                              <wps:bodyPr upright="1"/>
                            </wps:wsp>
                            <wps:wsp>
                              <wps:cNvPr id="85" name="文本框 85"/>
                              <wps:cNvSpPr txBox="1"/>
                              <wps:spPr>
                                <a:xfrm>
                                  <a:off x="3805555" y="446405"/>
                                  <a:ext cx="609600" cy="27940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检验</w:t>
                                    </w:r>
                                  </w:p>
                                </w:txbxContent>
                              </wps:txbx>
                              <wps:bodyPr upright="1"/>
                            </wps:wsp>
                            <wps:wsp>
                              <wps:cNvPr id="86" name="直接箭头连接符 86"/>
                              <wps:cNvCnPr>
                                <a:stCxn id="85" idx="3"/>
                              </wps:cNvCnPr>
                              <wps:spPr>
                                <a:xfrm flipV="1">
                                  <a:off x="4415155" y="582930"/>
                                  <a:ext cx="316230" cy="3175"/>
                                </a:xfrm>
                                <a:prstGeom prst="straightConnector1">
                                  <a:avLst/>
                                </a:prstGeom>
                                <a:ln w="3175" cap="flat" cmpd="sng">
                                  <a:solidFill>
                                    <a:srgbClr val="000000"/>
                                  </a:solidFill>
                                  <a:prstDash val="solid"/>
                                  <a:headEnd type="none" w="med" len="med"/>
                                  <a:tailEnd type="triangle" w="med" len="med"/>
                                </a:ln>
                              </wps:spPr>
                              <wps:bodyPr/>
                            </wps:wsp>
                            <wps:wsp>
                              <wps:cNvPr id="87" name="文本框 87"/>
                              <wps:cNvSpPr txBox="1"/>
                              <wps:spPr>
                                <a:xfrm>
                                  <a:off x="4739005" y="446405"/>
                                  <a:ext cx="609600" cy="27940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包装</w:t>
                                    </w:r>
                                  </w:p>
                                </w:txbxContent>
                              </wps:txbx>
                              <wps:bodyPr upright="1"/>
                            </wps:wsp>
                            <wps:wsp>
                              <wps:cNvPr id="89" name="文本框 89"/>
                              <wps:cNvSpPr txBox="1"/>
                              <wps:spPr>
                                <a:xfrm>
                                  <a:off x="4770755" y="179705"/>
                                  <a:ext cx="542290" cy="266700"/>
                                </a:xfrm>
                                <a:prstGeom prst="rect">
                                  <a:avLst/>
                                </a:prstGeom>
                                <a:noFill/>
                                <a:ln w="3175">
                                  <a:noFill/>
                                </a:ln>
                              </wps:spPr>
                              <wps:txbx>
                                <w:txbxContent>
                                  <w:p>
                                    <w:pPr>
                                      <w:ind w:firstLine="105" w:firstLineChars="50"/>
                                      <w:rPr>
                                        <w:rFonts w:hint="eastAsia" w:eastAsia="宋体"/>
                                        <w:lang w:val="en-US" w:eastAsia="zh-CN"/>
                                      </w:rPr>
                                    </w:pPr>
                                    <w:r>
                                      <w:rPr>
                                        <w:rFonts w:hint="eastAsia"/>
                                        <w:bCs/>
                                        <w:vertAlign w:val="subscript"/>
                                      </w:rPr>
                                      <w:t xml:space="preserve"> </w:t>
                                    </w:r>
                                    <w:r>
                                      <w:rPr>
                                        <w:rFonts w:hint="eastAsia"/>
                                        <w:bCs/>
                                        <w:szCs w:val="21"/>
                                      </w:rPr>
                                      <w:t>S</w:t>
                                    </w:r>
                                    <w:r>
                                      <w:rPr>
                                        <w:rFonts w:hint="eastAsia"/>
                                        <w:bCs/>
                                        <w:szCs w:val="21"/>
                                        <w:vertAlign w:val="subscript"/>
                                        <w:lang w:val="en-US" w:eastAsia="zh-CN"/>
                                      </w:rPr>
                                      <w:t>1</w:t>
                                    </w:r>
                                  </w:p>
                                </w:txbxContent>
                              </wps:txbx>
                              <wps:bodyPr upright="1"/>
                            </wps:wsp>
                          </wpc:wpc>
                        </a:graphicData>
                      </a:graphic>
                    </wp:inline>
                  </w:drawing>
                </mc:Choice>
                <mc:Fallback>
                  <w:pict>
                    <v:group id="_x0000_s1026" o:spid="_x0000_s1026" o:spt="203" style="height:78.4pt;width:454.65pt;" coordsize="5774055,995680" editas="canvas" o:gfxdata="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NAMh7jXAAAABQEAAA8A&#10;AAAAAAAAAQAgAAAAIgAAAGRycy9kb3ducmV2LnhtbFBLAQIUABQAAAAIAIdO4kDJUBZ4NgUAAIwi&#10;AAAOAAAAAAAAAAEAIAAAACYBAABkcnMvZTJvRG9jLnhtbFBLBQYAAAAABgAGAFkBAADOCAAAAAA=&#10;">
                      <o:lock v:ext="edit" aspectratio="f"/>
                      <v:shape id="_x0000_s1026" o:spid="_x0000_s1026" style="position:absolute;left:0;top:0;height:995680;width:5774055;" filled="f" stroked="f" coordsize="21600,21600" o:gfxdata="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">
                        <v:fill on="f" focussize="0,0"/>
                        <v:stroke on="f"/>
                        <v:imagedata o:title=""/>
                        <o:lock v:ext="edit" aspectratio="t"/>
                      </v:shape>
                      <v:shape id="_x0000_s1026" o:spid="_x0000_s1026" o:spt="32" type="#_x0000_t32" style="position:absolute;left:946785;top:585470;height:635;width:254635;" filled="f" stroked="t" coordsize="21600,21600" o:gfxdata="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hYWzNQAAAAFAQAADwAAAAAAAAABACAAAAAiAAAAZHJzL2Rvd25yZXYueG1sUEsBAhQAFAAA&#10;AAgAh07iQIOL6r3zAQAArwMAAA4AAAAAAAAAAQAgAAAAIwEAAGRycy9lMm9Eb2MueG1sUEsFBgAA&#10;AAAGAAYAWQEAAIgFAAAAAA==&#10;">
                        <v:fill on="f" focussize="0,0"/>
                        <v:stroke weight="0.25pt" color="#000000" joinstyle="round" endarrow="block"/>
                        <v:imagedata o:title=""/>
                        <o:lock v:ext="edit" aspectratio="f"/>
                      </v:shape>
                      <v:shape id="_x0000_s1026" o:spid="_x0000_s1026" o:spt="202" type="#_x0000_t202" style="position:absolute;left:1210945;top:434340;height:295275;width:561340;"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bV61QAAAAUBAAAPAAAAAAAAAAEAIAAAACIAAABkcnMvZG93bnJldi54bWxQSwECFAAU&#10;AAAACACHTuJAN7T07PQBAADLAwAADgAAAAAAAAABACAAAAAkAQAAZHJzL2Uyb0RvYy54bWxQSwUG&#10;AAAAAAYABgBZAQAAigUAAAAA&#10;">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开料</w:t>
                              </w:r>
                            </w:p>
                          </w:txbxContent>
                        </v:textbox>
                      </v:shape>
                      <v:shape id="_x0000_s1026" o:spid="_x0000_s1026" o:spt="32" type="#_x0000_t32" style="position:absolute;left:1791335;top:584200;height:1270;width:254635;" filled="f" stroked="t" coordsize="21600,21600" o:gfxdata="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oWFszUAAAABQEAAA8AAAAAAAAAAQAgAAAAIgAAAGRycy9kb3ducmV2LnhtbFBLAQIU&#10;ABQAAAAIAIdO4kCl8J519wEAALEDAAAOAAAAAAAAAAEAIAAAACMBAABkcnMvZTJvRG9jLnhtbFBL&#10;BQYAAAAABgAGAFkBAACMBQAAAAA=&#10;">
                        <v:fill on="f" focussize="0,0"/>
                        <v:stroke weight="0.25pt" color="#000000" joinstyle="round" endarrow="block"/>
                        <v:imagedata o:title=""/>
                        <o:lock v:ext="edit" aspectratio="f"/>
                      </v:shape>
                      <v:shape id="_x0000_s1026" o:spid="_x0000_s1026" o:spt="202" type="#_x0000_t202" style="position:absolute;left:2065020;top:436880;height:294640;width:556895;"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5tXrVAAAABQEAAA8AAAAAAAAAAQAgAAAAIgAAAGRycy9kb3ducmV2LnhtbFBL&#10;AQIUABQAAAAIAIdO4kDp4IMz+QEAAMsDAAAOAAAAAAAAAAEAIAAAACQBAABkcnMvZTJvRG9jLnht&#10;bFBLBQYAAAAABgAGAFkBAACPBQAAAAA=&#10;">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锻压</w:t>
                              </w:r>
                            </w:p>
                          </w:txbxContent>
                        </v:textbox>
                      </v:shape>
                      <v:shape id="_x0000_s1026" o:spid="_x0000_s1026" o:spt="32" type="#_x0000_t32" style="position:absolute;left:2630806;top:595630;height:635;width:254635;" filled="f" stroked="t" coordsize="21600,21600" o:gfxdata="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FhbM1AAAAAUBAAAPAAAAAAAAAAEAIAAAACIAAABkcnMvZG93bnJldi54bWxQSwECFAAU&#10;AAAACACHTuJAbMZXU/UBAACwAwAADgAAAAAAAAABACAAAAAjAQAAZHJzL2Uyb0RvYy54bWxQSwUG&#10;AAAAAAYABgBZAQAAigUAAAAA&#10;">
                        <v:fill on="f" focussize="0,0"/>
                        <v:stroke weight="0.25pt" color="#000000" joinstyle="round" endarrow="block"/>
                        <v:imagedata o:title=""/>
                        <o:lock v:ext="edit" aspectratio="f"/>
                      </v:shape>
                      <v:shape id="_x0000_s1026" o:spid="_x0000_s1026" o:spt="202" type="#_x0000_t202" style="position:absolute;left:339725;top:427355;height:294640;width:589916;"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5tXrVAAAABQEAAA8AAAAAAAAAAQAgAAAAIgAAAGRycy9kb3ducmV2LnhtbFBL&#10;AQIUABQAAAAIAIdO4kB3CWBS+QEAAMoDAAAOAAAAAAAAAAEAIAAAACQBAABkcnMvZTJvRG9jLnht&#10;bFBLBQYAAAAABgAGAFkBAACPBQAAAAA=&#10;">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铜棒</w:t>
                              </w:r>
                            </w:p>
                          </w:txbxContent>
                        </v:textbox>
                      </v:shape>
                      <v:shape id="_x0000_s1026" o:spid="_x0000_s1026" o:spt="202" type="#_x0000_t202" style="position:absolute;left:1130300;top:158750;height:294640;width:734695;" filled="f" stroked="f" coordsize="21600,21600" o:gfxdata="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62NWrUAAAABQEAAA8AAAAAAAAA&#10;AQAgAAAAIgAAAGRycy9kb3ducmV2LnhtbFBLAQIUABQAAAAIAIdO4kATVXPLowEAABUDAAAOAAAA&#10;AAAAAAEAIAAAACMBAABkcnMvZTJvRG9jLnhtbFBLBQYAAAAABgAGAFkBAAA4BQAAAAA=&#10;">
                        <v:fill on="f" focussize="0,0"/>
                        <v:stroke on="f" weight="0.25pt"/>
                        <v:imagedata o:title=""/>
                        <o:lock v:ext="edit" aspectratio="f"/>
                        <v:textbox>
                          <w:txbxContent>
                            <w:p>
                              <w:pPr>
                                <w:ind w:firstLine="105" w:firstLineChars="50"/>
                              </w:pPr>
                              <w:r>
                                <w:rPr>
                                  <w:rFonts w:hint="eastAsia"/>
                                  <w:bCs/>
                                  <w:szCs w:val="21"/>
                                  <w:lang w:val="en-US" w:eastAsia="zh-CN"/>
                                </w:rPr>
                                <w:t>G</w:t>
                              </w:r>
                              <w:r>
                                <w:rPr>
                                  <w:rFonts w:hint="eastAsia"/>
                                  <w:bCs/>
                                  <w:szCs w:val="21"/>
                                  <w:vertAlign w:val="subscript"/>
                                  <w:lang w:val="en-US" w:eastAsia="zh-CN"/>
                                </w:rPr>
                                <w:t>1</w:t>
                              </w:r>
                              <w:r>
                                <w:rPr>
                                  <w:rFonts w:hint="eastAsia"/>
                                  <w:vertAlign w:val="subscript"/>
                                  <w:lang w:val="en-US" w:eastAsia="zh-CN"/>
                                </w:rPr>
                                <w:t xml:space="preserve"> </w:t>
                              </w:r>
                              <w:r>
                                <w:rPr>
                                  <w:rFonts w:hint="eastAsia"/>
                                </w:rPr>
                                <w:t>N</w:t>
                              </w:r>
                            </w:p>
                          </w:txbxContent>
                        </v:textbox>
                      </v:shape>
                      <v:shape id="_x0000_s1026" o:spid="_x0000_s1026" o:spt="202" type="#_x0000_t202" style="position:absolute;left:2903856;top:446405;height:292100;width:638175;"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X5tXrVAAAABQEAAA8AAAAAAAAAAQAgAAAAIgAAAGRycy9kb3ducmV2LnhtbFBLAQIU&#10;ABQAAAAIAIdO4kBpz7B49gEAAMsDAAAOAAAAAAAAAAEAIAAAACQBAABkcnMvZTJvRG9jLnhtbFBL&#10;BQYAAAAABgAGAFkBAACMBQAAAAA=&#10;">
                        <v:fill on="f" focussize="0,0"/>
                        <v:stroke weight="0.25pt" color="#000000" joinstyle="miter"/>
                        <v:imagedata o:title=""/>
                        <o:lock v:ext="edit" aspectratio="f"/>
                        <v:textbox>
                          <w:txbxContent>
                            <w:p>
                              <w:pPr>
                                <w:jc w:val="center"/>
                                <w:rPr>
                                  <w:rFonts w:hint="eastAsia" w:eastAsia="宋体"/>
                                  <w:lang w:val="en-US" w:eastAsia="zh-CN"/>
                                </w:rPr>
                              </w:pPr>
                              <w:r>
                                <w:rPr>
                                  <w:rFonts w:hint="eastAsia"/>
                                  <w:lang w:val="en-US" w:eastAsia="zh-CN"/>
                                </w:rPr>
                                <w:t>机加工</w:t>
                              </w:r>
                            </w:p>
                          </w:txbxContent>
                        </v:textbox>
                      </v:shape>
                      <v:shape id="_x0000_s1026" o:spid="_x0000_s1026" o:spt="32" type="#_x0000_t32" style="position:absolute;left:3551555;top:598805;height:0;width:254000;" filled="f" stroked="t" coordsize="21600,21600" o:gfxdata="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oWFszUAAAABQEAAA8AAAAAAAAAAQAgAAAAIgAAAGRycy9kb3ducmV2LnhtbFBLAQIU&#10;ABQAAAAIAIdO4kDAJWxY9wEAAK4DAAAOAAAAAAAAAAEAIAAAACMBAABkcnMvZTJvRG9jLnhtbFBL&#10;BQYAAAAABgAGAFkBAACMBQAAAAA=&#10;">
                        <v:fill on="f" focussize="0,0"/>
                        <v:stroke weight="0.25pt" color="#000000" joinstyle="round" endarrow="block"/>
                        <v:imagedata o:title=""/>
                        <o:lock v:ext="edit" aspectratio="f"/>
                      </v:shape>
                      <v:shape id="_x0000_s1026" o:spid="_x0000_s1026" o:spt="202" type="#_x0000_t202" style="position:absolute;left:2808605;top:151130;height:292100;width:866140;" filled="f" stroked="f" coordsize="21600,21600" o:gfxdata="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rY1atQAAAAFAQAADwAAAAAA&#10;AAABACAAAAAiAAAAZHJzL2Rvd25yZXYueG1sUEsBAhQAFAAAAAgAh07iQOfv4BSlAQAAFQMAAA4A&#10;AAAAAAAAAQAgAAAAIwEAAGRycy9lMm9Eb2MueG1sUEsFBgAAAAAGAAYAWQEAADoFAAAAAA==&#10;">
                        <v:fill on="f" focussize="0,0"/>
                        <v:stroke on="f" weight="0.25pt"/>
                        <v:imagedata o:title=""/>
                        <o:lock v:ext="edit" aspectratio="f"/>
                        <v:textbox>
                          <w:txbxContent>
                            <w:p>
                              <w:pPr>
                                <w:ind w:firstLine="105" w:firstLineChars="50"/>
                              </w:pPr>
                              <w:r>
                                <w:rPr>
                                  <w:rFonts w:hint="eastAsia"/>
                                  <w:bCs/>
                                  <w:vertAlign w:val="subscript"/>
                                </w:rPr>
                                <w:t xml:space="preserve"> </w:t>
                              </w:r>
                              <w:r>
                                <w:rPr>
                                  <w:rFonts w:hint="eastAsia"/>
                                  <w:bCs/>
                                  <w:szCs w:val="21"/>
                                  <w:lang w:val="en-US" w:eastAsia="zh-CN"/>
                                </w:rPr>
                                <w:t>G</w:t>
                              </w:r>
                              <w:r>
                                <w:rPr>
                                  <w:rFonts w:hint="eastAsia"/>
                                  <w:bCs/>
                                  <w:szCs w:val="21"/>
                                  <w:vertAlign w:val="subscript"/>
                                  <w:lang w:val="en-US" w:eastAsia="zh-CN"/>
                                </w:rPr>
                                <w:t>1</w:t>
                              </w:r>
                              <w:r>
                                <w:rPr>
                                  <w:rFonts w:hint="eastAsia"/>
                                  <w:vertAlign w:val="subscript"/>
                                  <w:lang w:val="en-US" w:eastAsia="zh-CN"/>
                                </w:rPr>
                                <w:t xml:space="preserve"> </w:t>
                              </w:r>
                              <w:r>
                                <w:rPr>
                                  <w:rFonts w:hint="eastAsia"/>
                                  <w:bCs/>
                                  <w:szCs w:val="21"/>
                                </w:rPr>
                                <w:t>S</w:t>
                              </w:r>
                              <w:r>
                                <w:rPr>
                                  <w:rFonts w:hint="eastAsia"/>
                                  <w:vertAlign w:val="subscript"/>
                                  <w:lang w:val="en-US" w:eastAsia="zh-CN"/>
                                </w:rPr>
                                <w:t xml:space="preserve">1 </w:t>
                              </w:r>
                              <w:r>
                                <w:rPr>
                                  <w:rFonts w:hint="eastAsia"/>
                                  <w:bCs/>
                                  <w:szCs w:val="21"/>
                                </w:rPr>
                                <w:t>S</w:t>
                              </w:r>
                              <w:r>
                                <w:rPr>
                                  <w:rFonts w:hint="eastAsia"/>
                                  <w:vertAlign w:val="subscript"/>
                                  <w:lang w:val="en-US" w:eastAsia="zh-CN"/>
                                </w:rPr>
                                <w:t xml:space="preserve">2 </w:t>
                              </w:r>
                              <w:r>
                                <w:rPr>
                                  <w:rFonts w:hint="eastAsia"/>
                                </w:rPr>
                                <w:t>N</w:t>
                              </w:r>
                            </w:p>
                          </w:txbxContent>
                        </v:textbox>
                      </v:shape>
                      <v:shape id="_x0000_s1026" o:spid="_x0000_s1026" o:spt="202" type="#_x0000_t202" style="position:absolute;left:1798955;top:151130;height:292100;width:1187450;" filled="f" stroked="f" coordsize="21600,21600" o:gfxdata="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rY1atQAAAAFAQAADwAAAAAA&#10;AAABACAAAAAiAAAAZHJzL2Rvd25yZXYueG1sUEsBAhQAFAAAAAgAh07iQJ/O/lylAQAAFgMAAA4A&#10;AAAAAAAAAQAgAAAAIwEAAGRycy9lMm9Eb2MueG1sUEsFBgAAAAAGAAYAWQEAADoFAAAAAA==&#10;">
                        <v:fill on="f" focussize="0,0"/>
                        <v:stroke on="f" weight="0.25pt"/>
                        <v:imagedata o:title=""/>
                        <o:lock v:ext="edit" aspectratio="f"/>
                        <v:textbox>
                          <w:txbxContent>
                            <w:p>
                              <w:pPr>
                                <w:ind w:firstLine="105" w:firstLineChars="50"/>
                              </w:pPr>
                              <w:r>
                                <w:rPr>
                                  <w:rFonts w:hint="eastAsia"/>
                                  <w:bCs/>
                                  <w:color w:val="auto"/>
                                  <w:vertAlign w:val="subscript"/>
                                </w:rPr>
                                <w:t xml:space="preserve"> </w:t>
                              </w:r>
                              <w:r>
                                <w:rPr>
                                  <w:bCs/>
                                  <w:color w:val="auto"/>
                                </w:rPr>
                                <w:t>G</w:t>
                              </w:r>
                              <w:r>
                                <w:rPr>
                                  <w:rFonts w:hint="eastAsia"/>
                                  <w:bCs/>
                                  <w:color w:val="auto"/>
                                  <w:vertAlign w:val="subscript"/>
                                  <w:lang w:val="en-US" w:eastAsia="zh-CN"/>
                                </w:rPr>
                                <w:t>2</w:t>
                              </w:r>
                              <w:r>
                                <w:rPr>
                                  <w:bCs/>
                                  <w:color w:val="auto"/>
                                </w:rPr>
                                <w:t>G</w:t>
                              </w:r>
                              <w:r>
                                <w:rPr>
                                  <w:rFonts w:hint="eastAsia"/>
                                  <w:bCs/>
                                  <w:color w:val="auto"/>
                                  <w:vertAlign w:val="subscript"/>
                                  <w:lang w:val="en-US" w:eastAsia="zh-CN"/>
                                </w:rPr>
                                <w:t xml:space="preserve">3 </w:t>
                              </w:r>
                              <w:r>
                                <w:rPr>
                                  <w:rFonts w:hint="eastAsia"/>
                                  <w:bCs/>
                                  <w:szCs w:val="21"/>
                                </w:rPr>
                                <w:t>S</w:t>
                              </w:r>
                              <w:r>
                                <w:rPr>
                                  <w:rFonts w:hint="eastAsia"/>
                                  <w:bCs/>
                                  <w:szCs w:val="21"/>
                                  <w:vertAlign w:val="subscript"/>
                                  <w:lang w:val="en-US" w:eastAsia="zh-CN"/>
                                </w:rPr>
                                <w:t xml:space="preserve">2 </w:t>
                              </w:r>
                              <w:r>
                                <w:rPr>
                                  <w:rFonts w:hint="eastAsia"/>
                                </w:rPr>
                                <w:t>N</w:t>
                              </w:r>
                            </w:p>
                          </w:txbxContent>
                        </v:textbox>
                      </v:shape>
                      <v:shape id="_x0000_s1026" o:spid="_x0000_s1026" o:spt="202" type="#_x0000_t202" style="position:absolute;left:3837305;top:159385;height:272415;width:551815;" filled="f" stroked="f" coordsize="21600,21600" o:gfxdata="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rY1atQAAAAFAQAADwAAAAAA&#10;AAABACAAAAAiAAAAZHJzL2Rvd25yZXYueG1sUEsBAhQAFAAAAAgAh07iQFv946ylAQAAFQMAAA4A&#10;AAAAAAAAAQAgAAAAIwEAAGRycy9lMm9Eb2MueG1sUEsFBgAAAAAGAAYAWQEAADoFAAAAAA==&#10;">
                        <v:fill on="f" focussize="0,0"/>
                        <v:stroke on="f" weight="0.25pt"/>
                        <v:imagedata o:title=""/>
                        <o:lock v:ext="edit" aspectratio="f"/>
                        <v:textbox>
                          <w:txbxContent>
                            <w:p>
                              <w:pPr>
                                <w:ind w:firstLine="105" w:firstLineChars="50"/>
                                <w:rPr>
                                  <w:rFonts w:hint="eastAsia" w:eastAsia="宋体"/>
                                  <w:lang w:val="en-US" w:eastAsia="zh-CN"/>
                                </w:rPr>
                              </w:pPr>
                              <w:r>
                                <w:rPr>
                                  <w:rFonts w:hint="eastAsia"/>
                                  <w:bCs/>
                                  <w:vertAlign w:val="subscript"/>
                                </w:rPr>
                                <w:t xml:space="preserve"> </w:t>
                              </w:r>
                              <w:r>
                                <w:rPr>
                                  <w:rFonts w:hint="eastAsia"/>
                                  <w:bCs/>
                                  <w:szCs w:val="21"/>
                                </w:rPr>
                                <w:t>S</w:t>
                              </w:r>
                              <w:r>
                                <w:rPr>
                                  <w:rFonts w:hint="eastAsia"/>
                                  <w:bCs/>
                                  <w:szCs w:val="21"/>
                                  <w:vertAlign w:val="subscript"/>
                                  <w:lang w:val="en-US" w:eastAsia="zh-CN"/>
                                </w:rPr>
                                <w:t>1</w:t>
                              </w:r>
                            </w:p>
                          </w:txbxContent>
                        </v:textbox>
                      </v:shape>
                      <v:shape id="_x0000_s1026" o:spid="_x0000_s1026" o:spt="202" type="#_x0000_t202" style="position:absolute;left:3805555;top:446405;height:279400;width:609600;"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X5tXrVAAAABQEAAA8AAAAAAAAAAQAgAAAAIgAAAGRycy9kb3ducmV2LnhtbFBLAQIU&#10;ABQAAAAIAIdO4kD/y4KQ9gEAAMsDAAAOAAAAAAAAAAEAIAAAACQBAABkcnMvZTJvRG9jLnhtbFBL&#10;BQYAAAAABgAGAFkBAACMBQAAAAA=&#10;">
                        <v:fill on="f" focussize="0,0"/>
                        <v:stroke weight="0.25pt" color="#000000" joinstyle="miter"/>
                        <v:imagedata o:title=""/>
                        <o:lock v:ext="edit" aspectratio="f"/>
                        <v:textbox>
                          <w:txbxContent>
                            <w:p>
                              <w:pPr>
                                <w:jc w:val="center"/>
                                <w:rPr>
                                  <w:rFonts w:hint="eastAsia" w:eastAsia="宋体"/>
                                  <w:lang w:eastAsia="zh-CN"/>
                                </w:rPr>
                              </w:pPr>
                              <w:r>
                                <w:rPr>
                                  <w:rFonts w:hint="eastAsia"/>
                                  <w:lang w:eastAsia="zh-CN"/>
                                </w:rPr>
                                <w:t>检验</w:t>
                              </w:r>
                            </w:p>
                          </w:txbxContent>
                        </v:textbox>
                      </v:shape>
                      <v:shape id="_x0000_s1026" o:spid="_x0000_s1026" o:spt="32" type="#_x0000_t32" style="position:absolute;left:4415155;top:582930;flip:y;height:3175;width:316230;" filled="f" stroked="t" coordsize="21600,21600" o:gfxdata="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gnf11wAAAAUBAAAPAAAAAAAAAAEAIAAAACIA&#10;AABkcnMvZG93bnJldi54bWxQSwECFAAUAAAACACHTuJAKiwNjQoCAADiAwAADgAAAAAAAAABACAA&#10;AAAmAQAAZHJzL2Uyb0RvYy54bWxQSwUGAAAAAAYABgBZAQAAogUAAAAA&#10;">
                        <v:fill on="f" focussize="0,0"/>
                        <v:stroke weight="0.25pt" color="#000000" joinstyle="round" endarrow="block"/>
                        <v:imagedata o:title=""/>
                        <o:lock v:ext="edit" aspectratio="f"/>
                      </v:shape>
                      <v:shape id="_x0000_s1026" o:spid="_x0000_s1026" o:spt="202" type="#_x0000_t202" style="position:absolute;left:4739005;top:446405;height:279400;width:609600;" filled="f" stroked="t" coordsize="21600,21600" o:gfxdata="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bV61QAAAAUBAAAPAAAAAAAAAAEAIAAAACIAAABkcnMvZG93bnJldi54bWxQSwECFAAU&#10;AAAACACHTuJA7e2ZHfQBAADLAwAADgAAAAAAAAABACAAAAAkAQAAZHJzL2Uyb0RvYy54bWxQSwUG&#10;AAAAAAYABgBZAQAAigUAAAAA&#10;">
                        <v:fill on="f" focussize="0,0"/>
                        <v:stroke weight="0.25pt" color="#000000" joinstyle="miter"/>
                        <v:imagedata o:title=""/>
                        <o:lock v:ext="edit" aspectratio="f"/>
                        <v:textbox>
                          <w:txbxContent>
                            <w:p>
                              <w:pPr>
                                <w:jc w:val="center"/>
                                <w:rPr>
                                  <w:rFonts w:hint="eastAsia" w:eastAsia="宋体"/>
                                  <w:lang w:eastAsia="zh-CN"/>
                                </w:rPr>
                              </w:pPr>
                              <w:r>
                                <w:rPr>
                                  <w:rFonts w:hint="eastAsia"/>
                                  <w:lang w:eastAsia="zh-CN"/>
                                </w:rPr>
                                <w:t>包装</w:t>
                              </w:r>
                            </w:p>
                          </w:txbxContent>
                        </v:textbox>
                      </v:shape>
                      <v:shape id="_x0000_s1026" o:spid="_x0000_s1026" o:spt="202" type="#_x0000_t202" style="position:absolute;left:4770755;top:179705;height:266700;width:542290;" filled="f" stroked="f" coordsize="21600,21600" o:gfxdata="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utjVq1AAAAAUBAAAPAAAA&#10;AAAAAAEAIAAAACIAAABkcnMvZG93bnJldi54bWxQSwECFAAUAAAACACHTuJAVd05gKcBAAAVAwAA&#10;DgAAAAAAAAABACAAAAAjAQAAZHJzL2Uyb0RvYy54bWxQSwUGAAAAAAYABgBZAQAAPAUAAAAA&#10;">
                        <v:fill on="f" focussize="0,0"/>
                        <v:stroke on="f" weight="0.25pt"/>
                        <v:imagedata o:title=""/>
                        <o:lock v:ext="edit" aspectratio="f"/>
                        <v:textbox>
                          <w:txbxContent>
                            <w:p>
                              <w:pPr>
                                <w:ind w:firstLine="105" w:firstLineChars="50"/>
                                <w:rPr>
                                  <w:rFonts w:hint="eastAsia" w:eastAsia="宋体"/>
                                  <w:lang w:val="en-US" w:eastAsia="zh-CN"/>
                                </w:rPr>
                              </w:pPr>
                              <w:r>
                                <w:rPr>
                                  <w:rFonts w:hint="eastAsia"/>
                                  <w:bCs/>
                                  <w:vertAlign w:val="subscript"/>
                                </w:rPr>
                                <w:t xml:space="preserve"> </w:t>
                              </w:r>
                              <w:r>
                                <w:rPr>
                                  <w:rFonts w:hint="eastAsia"/>
                                  <w:bCs/>
                                  <w:szCs w:val="21"/>
                                </w:rPr>
                                <w:t>S</w:t>
                              </w:r>
                              <w:r>
                                <w:rPr>
                                  <w:rFonts w:hint="eastAsia"/>
                                  <w:bCs/>
                                  <w:szCs w:val="21"/>
                                  <w:vertAlign w:val="subscript"/>
                                  <w:lang w:val="en-US" w:eastAsia="zh-CN"/>
                                </w:rPr>
                                <w:t>1</w:t>
                              </w:r>
                            </w:p>
                          </w:txbxContent>
                        </v:textbox>
                      </v:shape>
                      <w10:wrap type="none"/>
                      <w10:anchorlock/>
                    </v:group>
                  </w:pict>
                </mc:Fallback>
              </mc:AlternateContent>
            </w:r>
            <w:r>
              <w:rPr>
                <w:rFonts w:hint="eastAsia" w:ascii="Times New Roman" w:hAnsi="Times New Roman" w:eastAsia="宋体" w:cs="Times New Roman"/>
                <w:b/>
                <w:color w:val="auto"/>
                <w:kern w:val="0"/>
                <w:sz w:val="24"/>
                <w:szCs w:val="24"/>
                <w:highlight w:val="none"/>
                <w:lang w:val="en-US" w:eastAsia="zh-CN" w:bidi="ar-SA"/>
              </w:rPr>
              <w:t>图</w:t>
            </w:r>
            <w:r>
              <w:rPr>
                <w:rFonts w:hint="eastAsia" w:ascii="Times New Roman" w:hAnsi="Times New Roman" w:cs="Times New Roman"/>
                <w:b/>
                <w:color w:val="auto"/>
                <w:kern w:val="0"/>
                <w:sz w:val="24"/>
                <w:szCs w:val="24"/>
                <w:highlight w:val="none"/>
                <w:lang w:val="en-US" w:eastAsia="zh-CN" w:bidi="ar-SA"/>
              </w:rPr>
              <w:t>5</w:t>
            </w:r>
            <w:r>
              <w:rPr>
                <w:rFonts w:hint="eastAsia" w:ascii="Times New Roman" w:hAnsi="Times New Roman" w:eastAsia="宋体" w:cs="Times New Roman"/>
                <w:b/>
                <w:color w:val="auto"/>
                <w:kern w:val="0"/>
                <w:sz w:val="24"/>
                <w:szCs w:val="24"/>
                <w:highlight w:val="none"/>
                <w:lang w:val="en-US" w:eastAsia="zh-CN" w:bidi="ar-SA"/>
              </w:rPr>
              <w:t xml:space="preserve">-1   </w:t>
            </w:r>
            <w:r>
              <w:rPr>
                <w:rFonts w:hint="eastAsia"/>
                <w:b/>
                <w:color w:val="auto"/>
                <w:sz w:val="24"/>
                <w:szCs w:val="24"/>
                <w:highlight w:val="none"/>
                <w:lang w:eastAsia="zh-CN"/>
              </w:rPr>
              <w:t>五金卫浴配件</w:t>
            </w:r>
            <w:r>
              <w:rPr>
                <w:rFonts w:hint="eastAsia" w:ascii="Times New Roman" w:hAnsi="Times New Roman" w:eastAsia="宋体" w:cs="Times New Roman"/>
                <w:b/>
                <w:color w:val="auto"/>
                <w:kern w:val="0"/>
                <w:sz w:val="24"/>
                <w:szCs w:val="24"/>
                <w:highlight w:val="none"/>
                <w:lang w:val="en-US" w:eastAsia="zh-CN" w:bidi="ar-SA"/>
              </w:rPr>
              <w:t>工艺流程及产污环节图</w:t>
            </w:r>
          </w:p>
          <w:p>
            <w:pPr>
              <w:pStyle w:val="19"/>
              <w:spacing w:line="360" w:lineRule="auto"/>
              <w:rPr>
                <w:b/>
                <w:color w:val="auto"/>
                <w:kern w:val="0"/>
                <w:sz w:val="24"/>
                <w:szCs w:val="24"/>
                <w:highlight w:val="none"/>
              </w:rPr>
            </w:pPr>
            <w:r>
              <w:rPr>
                <w:rFonts w:hint="eastAsia"/>
                <w:b/>
                <w:color w:val="auto"/>
                <w:kern w:val="0"/>
                <w:sz w:val="24"/>
                <w:szCs w:val="24"/>
                <w:highlight w:val="none"/>
                <w:lang w:val="en-US" w:eastAsia="zh-CN"/>
              </w:rPr>
              <w:t>1、</w:t>
            </w:r>
            <w:r>
              <w:rPr>
                <w:rFonts w:hint="eastAsia"/>
                <w:b/>
                <w:color w:val="auto"/>
                <w:sz w:val="24"/>
                <w:szCs w:val="24"/>
                <w:highlight w:val="none"/>
                <w:lang w:eastAsia="zh-CN"/>
              </w:rPr>
              <w:t>五金卫浴配件</w:t>
            </w:r>
            <w:r>
              <w:rPr>
                <w:b/>
                <w:color w:val="auto"/>
                <w:kern w:val="0"/>
                <w:sz w:val="24"/>
                <w:szCs w:val="24"/>
                <w:highlight w:val="none"/>
              </w:rPr>
              <w:t>工艺流程简述</w:t>
            </w:r>
            <w:r>
              <w:rPr>
                <w:b/>
                <w:color w:val="auto"/>
                <w:sz w:val="24"/>
                <w:szCs w:val="24"/>
                <w:highlight w:val="none"/>
              </w:rPr>
              <w:t>：</w:t>
            </w:r>
          </w:p>
          <w:p>
            <w:pPr>
              <w:pStyle w:val="19"/>
              <w:spacing w:line="360" w:lineRule="auto"/>
              <w:ind w:firstLine="480" w:firstLineChars="200"/>
              <w:rPr>
                <w:rFonts w:hint="eastAsia"/>
                <w:bCs/>
                <w:color w:val="auto"/>
                <w:kern w:val="0"/>
                <w:sz w:val="24"/>
                <w:szCs w:val="24"/>
                <w:highlight w:val="none"/>
                <w:lang w:eastAsia="zh-CN"/>
              </w:rPr>
            </w:pP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1</w:t>
            </w:r>
            <w:r>
              <w:rPr>
                <w:rFonts w:hint="eastAsia"/>
                <w:bCs/>
                <w:color w:val="auto"/>
                <w:kern w:val="0"/>
                <w:sz w:val="24"/>
                <w:szCs w:val="24"/>
                <w:highlight w:val="none"/>
                <w:lang w:eastAsia="zh-CN"/>
              </w:rPr>
              <w:t>）开料：外购回来的</w:t>
            </w:r>
            <w:r>
              <w:rPr>
                <w:rFonts w:hint="eastAsia"/>
                <w:color w:val="auto"/>
                <w:sz w:val="24"/>
                <w:highlight w:val="none"/>
                <w:lang w:eastAsia="zh-CN"/>
              </w:rPr>
              <w:t>铜棒</w:t>
            </w:r>
            <w:r>
              <w:rPr>
                <w:rFonts w:hint="eastAsia"/>
                <w:bCs/>
                <w:color w:val="auto"/>
                <w:kern w:val="0"/>
                <w:sz w:val="24"/>
                <w:szCs w:val="24"/>
                <w:highlight w:val="none"/>
                <w:lang w:eastAsia="zh-CN"/>
              </w:rPr>
              <w:t>使用开料机切割为大小均匀的铜块；该过程产生金属粉尘、噪声。</w:t>
            </w:r>
          </w:p>
          <w:p>
            <w:pPr>
              <w:pStyle w:val="19"/>
              <w:spacing w:line="360" w:lineRule="auto"/>
              <w:ind w:firstLine="480" w:firstLineChars="200"/>
              <w:rPr>
                <w:rFonts w:hint="eastAsia"/>
                <w:bCs/>
                <w:color w:val="auto"/>
                <w:kern w:val="0"/>
                <w:sz w:val="24"/>
                <w:szCs w:val="24"/>
                <w:highlight w:val="none"/>
                <w:lang w:val="en-US" w:eastAsia="zh-CN"/>
              </w:rPr>
            </w:pPr>
            <w:r>
              <w:rPr>
                <w:rFonts w:hint="eastAsia"/>
                <w:bCs/>
                <w:color w:val="auto"/>
                <w:kern w:val="0"/>
                <w:sz w:val="24"/>
                <w:szCs w:val="24"/>
                <w:highlight w:val="none"/>
                <w:lang w:val="en-US" w:eastAsia="zh-CN"/>
              </w:rPr>
              <w:t>（2）锻压：</w:t>
            </w:r>
            <w:r>
              <w:rPr>
                <w:rFonts w:hint="eastAsia" w:hAnsi="宋体"/>
                <w:bCs/>
                <w:color w:val="auto"/>
                <w:sz w:val="24"/>
                <w:highlight w:val="none"/>
              </w:rPr>
              <w:t>项目使用锻压机</w:t>
            </w:r>
            <w:r>
              <w:rPr>
                <w:rFonts w:hint="eastAsia" w:hAnsi="宋体"/>
                <w:bCs/>
                <w:color w:val="auto"/>
                <w:sz w:val="24"/>
                <w:highlight w:val="none"/>
                <w:lang w:eastAsia="zh-CN"/>
              </w:rPr>
              <w:t>对铜块</w:t>
            </w:r>
            <w:r>
              <w:rPr>
                <w:rFonts w:hint="eastAsia" w:hAnsi="宋体"/>
                <w:bCs/>
                <w:color w:val="auto"/>
                <w:sz w:val="24"/>
                <w:highlight w:val="none"/>
              </w:rPr>
              <w:t>进行</w:t>
            </w:r>
            <w:r>
              <w:rPr>
                <w:rFonts w:hint="eastAsia" w:hAnsi="宋体"/>
                <w:bCs/>
                <w:color w:val="auto"/>
                <w:sz w:val="24"/>
                <w:highlight w:val="none"/>
                <w:lang w:eastAsia="zh-CN"/>
              </w:rPr>
              <w:t>直接</w:t>
            </w:r>
            <w:r>
              <w:rPr>
                <w:rFonts w:hint="eastAsia" w:hAnsi="宋体"/>
                <w:bCs/>
                <w:color w:val="auto"/>
                <w:sz w:val="24"/>
                <w:highlight w:val="none"/>
              </w:rPr>
              <w:t>加热（锻压机配套加热槽）并冲压成型，加热温度约为</w:t>
            </w:r>
            <w:r>
              <w:rPr>
                <w:rFonts w:hint="eastAsia"/>
                <w:bCs/>
                <w:color w:val="auto"/>
                <w:sz w:val="24"/>
                <w:highlight w:val="none"/>
              </w:rPr>
              <w:t>600</w:t>
            </w:r>
            <w:r>
              <w:rPr>
                <w:rFonts w:hint="eastAsia" w:hAnsi="宋体"/>
                <w:bCs/>
                <w:color w:val="auto"/>
                <w:sz w:val="24"/>
                <w:highlight w:val="none"/>
              </w:rPr>
              <w:t>℃，加热的主要作用在于减少金属的变形抗力和提高铜棒的可塑性，使铜棒稳定地改变形状而不出现破裂。加热使用的燃料为天然气，会产生少量燃料废气；冲压过程需使用润滑油对锻压头进行润滑，润滑油</w:t>
            </w:r>
            <w:r>
              <w:rPr>
                <w:rFonts w:hAnsi="宋体"/>
                <w:color w:val="auto"/>
                <w:sz w:val="24"/>
                <w:highlight w:val="none"/>
              </w:rPr>
              <w:t>受热分解产生</w:t>
            </w:r>
            <w:r>
              <w:rPr>
                <w:rFonts w:hint="eastAsia" w:hAnsi="宋体"/>
                <w:color w:val="auto"/>
                <w:sz w:val="24"/>
                <w:highlight w:val="none"/>
              </w:rPr>
              <w:t>油雾</w:t>
            </w:r>
            <w:r>
              <w:rPr>
                <w:rFonts w:hAnsi="宋体"/>
                <w:color w:val="auto"/>
                <w:sz w:val="24"/>
                <w:highlight w:val="none"/>
              </w:rPr>
              <w:t>，</w:t>
            </w:r>
            <w:r>
              <w:rPr>
                <w:rFonts w:hint="eastAsia" w:hAnsi="宋体"/>
                <w:color w:val="auto"/>
                <w:sz w:val="24"/>
                <w:highlight w:val="none"/>
              </w:rPr>
              <w:t>主要污染物为非甲烷总烃。</w:t>
            </w:r>
            <w:r>
              <w:rPr>
                <w:rFonts w:hint="eastAsia" w:hAnsi="宋体"/>
                <w:bCs/>
                <w:color w:val="auto"/>
                <w:sz w:val="24"/>
                <w:highlight w:val="none"/>
              </w:rPr>
              <w:t>因此该过程产生少量非甲烷总烃、燃料废气、</w:t>
            </w:r>
            <w:r>
              <w:rPr>
                <w:rFonts w:hint="eastAsia" w:hAnsi="宋体"/>
                <w:bCs/>
                <w:color w:val="auto"/>
                <w:sz w:val="24"/>
                <w:highlight w:val="none"/>
                <w:lang w:eastAsia="zh-CN"/>
              </w:rPr>
              <w:t>废润滑油油桶</w:t>
            </w:r>
            <w:r>
              <w:rPr>
                <w:rFonts w:hint="eastAsia" w:hAnsi="宋体"/>
                <w:bCs/>
                <w:color w:val="auto"/>
                <w:sz w:val="24"/>
                <w:highlight w:val="none"/>
              </w:rPr>
              <w:t>、含油废抹布和手套和噪声。</w:t>
            </w:r>
          </w:p>
          <w:p>
            <w:pPr>
              <w:pStyle w:val="19"/>
              <w:spacing w:line="360" w:lineRule="auto"/>
              <w:ind w:firstLine="480" w:firstLineChars="200"/>
              <w:rPr>
                <w:rFonts w:hint="eastAsia"/>
                <w:bCs/>
                <w:color w:val="auto"/>
                <w:kern w:val="0"/>
                <w:sz w:val="24"/>
                <w:szCs w:val="24"/>
                <w:highlight w:val="none"/>
                <w:lang w:val="en-US" w:eastAsia="zh-CN"/>
              </w:rPr>
            </w:pPr>
            <w:r>
              <w:rPr>
                <w:rFonts w:hint="eastAsia"/>
                <w:bCs/>
                <w:color w:val="auto"/>
                <w:kern w:val="0"/>
                <w:sz w:val="24"/>
                <w:szCs w:val="24"/>
                <w:highlight w:val="none"/>
                <w:lang w:val="en-US" w:eastAsia="zh-CN"/>
              </w:rPr>
              <w:t>（3）机加工：将锻压后的工件通过冲压机、双头钻、单头钻、铣床和数控车床等设备进行机加工处理。</w:t>
            </w:r>
            <w:r>
              <w:rPr>
                <w:rFonts w:hint="eastAsia"/>
                <w:color w:val="auto"/>
                <w:sz w:val="24"/>
                <w:highlight w:val="none"/>
              </w:rPr>
              <w:t>车床加工</w:t>
            </w:r>
            <w:r>
              <w:rPr>
                <w:rFonts w:hint="eastAsia" w:hAnsi="宋体"/>
                <w:color w:val="auto"/>
                <w:sz w:val="24"/>
                <w:highlight w:val="none"/>
              </w:rPr>
              <w:t>过程需</w:t>
            </w:r>
            <w:r>
              <w:rPr>
                <w:rFonts w:hint="eastAsia"/>
                <w:color w:val="auto"/>
                <w:sz w:val="24"/>
                <w:highlight w:val="none"/>
              </w:rPr>
              <w:t>使用润滑油对设备内部机件进行润滑</w:t>
            </w:r>
            <w:r>
              <w:rPr>
                <w:bCs/>
                <w:color w:val="auto"/>
                <w:sz w:val="24"/>
                <w:highlight w:val="none"/>
              </w:rPr>
              <w:t>，</w:t>
            </w:r>
            <w:r>
              <w:rPr>
                <w:rFonts w:hint="eastAsia"/>
                <w:color w:val="auto"/>
                <w:sz w:val="24"/>
                <w:highlight w:val="none"/>
              </w:rPr>
              <w:t>润滑油</w:t>
            </w:r>
            <w:r>
              <w:rPr>
                <w:color w:val="auto"/>
                <w:sz w:val="24"/>
                <w:highlight w:val="none"/>
              </w:rPr>
              <w:t>循环使用，</w:t>
            </w:r>
            <w:r>
              <w:rPr>
                <w:rFonts w:hint="eastAsia"/>
                <w:color w:val="auto"/>
                <w:sz w:val="24"/>
                <w:highlight w:val="none"/>
              </w:rPr>
              <w:t>定期更换。因此该过程产生</w:t>
            </w:r>
            <w:r>
              <w:rPr>
                <w:rFonts w:hint="eastAsia"/>
                <w:color w:val="auto"/>
                <w:sz w:val="24"/>
                <w:highlight w:val="none"/>
                <w:lang w:eastAsia="zh-CN"/>
              </w:rPr>
              <w:t>金属粉尘</w:t>
            </w:r>
            <w:r>
              <w:rPr>
                <w:rFonts w:hint="eastAsia"/>
                <w:color w:val="auto"/>
                <w:sz w:val="24"/>
                <w:highlight w:val="none"/>
              </w:rPr>
              <w:t>、金属边角料、含油废抹布和手套</w:t>
            </w:r>
            <w:r>
              <w:rPr>
                <w:rFonts w:hint="eastAsia"/>
                <w:color w:val="auto"/>
                <w:sz w:val="24"/>
                <w:highlight w:val="none"/>
                <w:lang w:eastAsia="zh-CN"/>
              </w:rPr>
              <w:t>、</w:t>
            </w:r>
            <w:r>
              <w:rPr>
                <w:rFonts w:hint="eastAsia"/>
                <w:color w:val="auto"/>
                <w:sz w:val="24"/>
                <w:highlight w:val="none"/>
              </w:rPr>
              <w:t>废润滑油、</w:t>
            </w:r>
            <w:r>
              <w:rPr>
                <w:rFonts w:hint="eastAsia" w:hAnsi="宋体"/>
                <w:bCs/>
                <w:color w:val="auto"/>
                <w:sz w:val="24"/>
                <w:highlight w:val="none"/>
                <w:lang w:eastAsia="zh-CN"/>
              </w:rPr>
              <w:t>废润滑油油桶</w:t>
            </w:r>
            <w:r>
              <w:rPr>
                <w:rFonts w:hint="eastAsia"/>
                <w:color w:val="auto"/>
                <w:sz w:val="24"/>
                <w:highlight w:val="none"/>
              </w:rPr>
              <w:t>和噪声。</w:t>
            </w:r>
          </w:p>
          <w:p>
            <w:pPr>
              <w:spacing w:line="360" w:lineRule="auto"/>
              <w:ind w:firstLine="480" w:firstLineChars="200"/>
              <w:rPr>
                <w:b/>
                <w:color w:val="auto"/>
                <w:sz w:val="24"/>
                <w:highlight w:val="none"/>
              </w:rPr>
            </w:pPr>
            <w:r>
              <w:rPr>
                <w:rFonts w:hint="eastAsia"/>
                <w:bCs/>
                <w:color w:val="auto"/>
                <w:kern w:val="0"/>
                <w:sz w:val="24"/>
                <w:szCs w:val="24"/>
                <w:highlight w:val="none"/>
                <w:lang w:val="en-US" w:eastAsia="zh-CN"/>
              </w:rPr>
              <w:t>（4）</w:t>
            </w:r>
            <w:r>
              <w:rPr>
                <w:rFonts w:hint="eastAsia"/>
                <w:b w:val="0"/>
                <w:bCs/>
                <w:color w:val="auto"/>
                <w:sz w:val="24"/>
                <w:highlight w:val="none"/>
              </w:rPr>
              <w:t>检验：</w:t>
            </w:r>
            <w:r>
              <w:rPr>
                <w:rFonts w:hint="eastAsia"/>
                <w:bCs/>
                <w:color w:val="auto"/>
                <w:sz w:val="24"/>
                <w:highlight w:val="none"/>
              </w:rPr>
              <w:t>人工对</w:t>
            </w:r>
            <w:r>
              <w:rPr>
                <w:rFonts w:hint="eastAsia"/>
                <w:bCs/>
                <w:color w:val="auto"/>
                <w:sz w:val="24"/>
                <w:highlight w:val="none"/>
                <w:lang w:eastAsia="zh-CN"/>
              </w:rPr>
              <w:t>机加工</w:t>
            </w:r>
            <w:r>
              <w:rPr>
                <w:rFonts w:hint="eastAsia"/>
                <w:bCs/>
                <w:color w:val="auto"/>
                <w:sz w:val="24"/>
                <w:highlight w:val="none"/>
              </w:rPr>
              <w:t>后的工件进行质检，</w:t>
            </w:r>
            <w:r>
              <w:rPr>
                <w:bCs/>
                <w:color w:val="auto"/>
                <w:sz w:val="24"/>
                <w:highlight w:val="none"/>
              </w:rPr>
              <w:t>该过程产生</w:t>
            </w:r>
            <w:r>
              <w:rPr>
                <w:rFonts w:hint="eastAsia"/>
                <w:bCs/>
                <w:color w:val="auto"/>
                <w:sz w:val="24"/>
                <w:highlight w:val="none"/>
              </w:rPr>
              <w:t>不合格品</w:t>
            </w:r>
            <w:r>
              <w:rPr>
                <w:bCs/>
                <w:color w:val="auto"/>
                <w:sz w:val="24"/>
                <w:highlight w:val="none"/>
              </w:rPr>
              <w:t>。</w:t>
            </w:r>
          </w:p>
          <w:p>
            <w:pPr>
              <w:spacing w:line="360" w:lineRule="auto"/>
              <w:ind w:firstLine="480" w:firstLineChars="200"/>
              <w:rPr>
                <w:rFonts w:hint="eastAsia"/>
                <w:bCs/>
                <w:color w:val="auto"/>
                <w:kern w:val="0"/>
                <w:sz w:val="24"/>
                <w:szCs w:val="24"/>
                <w:highlight w:val="none"/>
                <w:lang w:val="en-US" w:eastAsia="zh-CN"/>
              </w:rPr>
            </w:pPr>
            <w:r>
              <w:rPr>
                <w:rFonts w:hint="eastAsia"/>
                <w:bCs/>
                <w:color w:val="auto"/>
                <w:kern w:val="0"/>
                <w:sz w:val="24"/>
                <w:szCs w:val="24"/>
                <w:highlight w:val="none"/>
                <w:lang w:val="en-US" w:eastAsia="zh-CN"/>
              </w:rPr>
              <w:t>（5）</w:t>
            </w:r>
            <w:r>
              <w:rPr>
                <w:rFonts w:hint="eastAsia"/>
                <w:color w:val="auto"/>
                <w:sz w:val="24"/>
                <w:highlight w:val="none"/>
                <w:lang w:eastAsia="zh-CN"/>
              </w:rPr>
              <w:t>包装</w:t>
            </w:r>
            <w:r>
              <w:rPr>
                <w:rFonts w:hint="eastAsia"/>
                <w:bCs/>
                <w:color w:val="auto"/>
                <w:kern w:val="0"/>
                <w:sz w:val="24"/>
                <w:szCs w:val="24"/>
                <w:highlight w:val="none"/>
                <w:lang w:val="en-US" w:eastAsia="zh-CN"/>
              </w:rPr>
              <w:t>：</w:t>
            </w:r>
            <w:r>
              <w:rPr>
                <w:rFonts w:hint="eastAsia"/>
                <w:color w:val="auto"/>
                <w:sz w:val="24"/>
                <w:highlight w:val="none"/>
              </w:rPr>
              <w:t>人工将成品用包装材料进行包装后即可出货，该过程产生废包装材料。</w:t>
            </w:r>
          </w:p>
          <w:p>
            <w:pPr>
              <w:pStyle w:val="19"/>
              <w:spacing w:line="360" w:lineRule="auto"/>
              <w:ind w:firstLine="480" w:firstLineChars="200"/>
              <w:rPr>
                <w:rFonts w:cs="宋体"/>
                <w:color w:val="auto"/>
                <w:kern w:val="0"/>
                <w:sz w:val="24"/>
                <w:szCs w:val="24"/>
                <w:highlight w:val="none"/>
              </w:rPr>
            </w:pPr>
            <w:r>
              <w:rPr>
                <w:rFonts w:hint="eastAsia" w:cs="宋体"/>
                <w:color w:val="auto"/>
                <w:kern w:val="0"/>
                <w:sz w:val="24"/>
                <w:szCs w:val="24"/>
                <w:highlight w:val="none"/>
              </w:rPr>
              <w:t>产污环节如下表：</w:t>
            </w:r>
          </w:p>
          <w:p>
            <w:pPr>
              <w:pStyle w:val="19"/>
              <w:spacing w:line="360" w:lineRule="auto"/>
              <w:ind w:firstLine="422" w:firstLineChars="200"/>
              <w:jc w:val="center"/>
              <w:rPr>
                <w:rFonts w:cs="宋体"/>
                <w:b/>
                <w:bCs/>
                <w:color w:val="auto"/>
                <w:kern w:val="0"/>
                <w:sz w:val="21"/>
                <w:szCs w:val="21"/>
                <w:highlight w:val="none"/>
              </w:rPr>
            </w:pPr>
            <w:r>
              <w:rPr>
                <w:rFonts w:hint="eastAsia" w:cs="宋体"/>
                <w:b/>
                <w:bCs/>
                <w:color w:val="auto"/>
                <w:kern w:val="0"/>
                <w:sz w:val="21"/>
                <w:szCs w:val="21"/>
                <w:highlight w:val="none"/>
              </w:rPr>
              <w:t>表5-1 项目产污环节</w:t>
            </w:r>
          </w:p>
          <w:tbl>
            <w:tblPr>
              <w:tblStyle w:val="34"/>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7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vAlign w:val="center"/>
                </w:tcPr>
                <w:p>
                  <w:pPr>
                    <w:pStyle w:val="19"/>
                    <w:spacing w:line="240" w:lineRule="auto"/>
                    <w:jc w:val="center"/>
                    <w:rPr>
                      <w:rFonts w:hint="eastAsia" w:cs="宋体"/>
                      <w:color w:val="auto"/>
                      <w:kern w:val="0"/>
                      <w:sz w:val="21"/>
                      <w:szCs w:val="21"/>
                      <w:highlight w:val="none"/>
                    </w:rPr>
                  </w:pPr>
                  <w:r>
                    <w:rPr>
                      <w:rFonts w:hint="eastAsia" w:cs="宋体"/>
                      <w:color w:val="auto"/>
                      <w:kern w:val="0"/>
                      <w:sz w:val="21"/>
                      <w:szCs w:val="21"/>
                      <w:highlight w:val="none"/>
                    </w:rPr>
                    <w:t>生产工艺</w:t>
                  </w:r>
                </w:p>
              </w:tc>
              <w:tc>
                <w:tcPr>
                  <w:tcW w:w="7469" w:type="dxa"/>
                  <w:vAlign w:val="center"/>
                </w:tcPr>
                <w:p>
                  <w:pPr>
                    <w:pStyle w:val="19"/>
                    <w:spacing w:line="240" w:lineRule="auto"/>
                    <w:jc w:val="center"/>
                    <w:rPr>
                      <w:rFonts w:hint="eastAsia" w:cs="宋体"/>
                      <w:color w:val="auto"/>
                      <w:kern w:val="0"/>
                      <w:sz w:val="21"/>
                      <w:szCs w:val="21"/>
                      <w:highlight w:val="none"/>
                    </w:rPr>
                  </w:pPr>
                  <w:r>
                    <w:rPr>
                      <w:rFonts w:hint="eastAsia" w:cs="宋体"/>
                      <w:color w:val="auto"/>
                      <w:kern w:val="0"/>
                      <w:sz w:val="21"/>
                      <w:szCs w:val="21"/>
                      <w:highlight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eastAsia="zh-CN"/>
                    </w:rPr>
                    <w:t>开料工序</w:t>
                  </w:r>
                </w:p>
              </w:tc>
              <w:tc>
                <w:tcPr>
                  <w:tcW w:w="7469" w:type="dxa"/>
                  <w:vAlign w:val="center"/>
                </w:tcPr>
                <w:p>
                  <w:pPr>
                    <w:pStyle w:val="19"/>
                    <w:spacing w:line="240" w:lineRule="auto"/>
                    <w:jc w:val="center"/>
                    <w:rPr>
                      <w:rFonts w:hint="eastAsia" w:cs="宋体"/>
                      <w:color w:val="auto"/>
                      <w:kern w:val="0"/>
                      <w:sz w:val="21"/>
                      <w:szCs w:val="21"/>
                      <w:highlight w:val="none"/>
                    </w:rPr>
                  </w:pPr>
                  <w:r>
                    <w:rPr>
                      <w:rFonts w:hint="eastAsia" w:cs="宋体"/>
                      <w:color w:val="auto"/>
                      <w:kern w:val="0"/>
                      <w:sz w:val="21"/>
                      <w:szCs w:val="21"/>
                      <w:highlight w:val="none"/>
                      <w:lang w:eastAsia="zh-CN"/>
                    </w:rPr>
                    <w:t>金属粉尘、噪声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601"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锻压工序</w:t>
                  </w:r>
                </w:p>
              </w:tc>
              <w:tc>
                <w:tcPr>
                  <w:tcW w:w="7469"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非甲烷总烃、燃料废气、废润滑油油桶、含油废抹布和手套、噪声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机加工工序</w:t>
                  </w:r>
                </w:p>
              </w:tc>
              <w:tc>
                <w:tcPr>
                  <w:tcW w:w="7469"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金属粉尘、金属边角料、含油废抹布和手套、废润滑油、废润滑油油桶、噪声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601" w:type="dxa"/>
                  <w:vAlign w:val="center"/>
                </w:tcPr>
                <w:p>
                  <w:pPr>
                    <w:pStyle w:val="19"/>
                    <w:spacing w:line="240" w:lineRule="auto"/>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检验工序</w:t>
                  </w:r>
                </w:p>
              </w:tc>
              <w:tc>
                <w:tcPr>
                  <w:tcW w:w="7469" w:type="dxa"/>
                  <w:vAlign w:val="center"/>
                </w:tcPr>
                <w:p>
                  <w:pPr>
                    <w:pStyle w:val="19"/>
                    <w:spacing w:line="240" w:lineRule="auto"/>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eastAsia="zh-CN"/>
                    </w:rPr>
                    <w:t>包装</w:t>
                  </w:r>
                  <w:r>
                    <w:rPr>
                      <w:rFonts w:hint="eastAsia" w:cs="宋体"/>
                      <w:color w:val="auto"/>
                      <w:kern w:val="0"/>
                      <w:sz w:val="21"/>
                      <w:szCs w:val="21"/>
                      <w:highlight w:val="none"/>
                      <w:lang w:val="en-US" w:eastAsia="zh-CN"/>
                    </w:rPr>
                    <w:t>工序</w:t>
                  </w:r>
                </w:p>
              </w:tc>
              <w:tc>
                <w:tcPr>
                  <w:tcW w:w="7469"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1"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eastAsia="zh-CN"/>
                    </w:rPr>
                    <w:t>员工生活</w:t>
                  </w:r>
                </w:p>
              </w:tc>
              <w:tc>
                <w:tcPr>
                  <w:tcW w:w="7469" w:type="dxa"/>
                  <w:vAlign w:val="center"/>
                </w:tcPr>
                <w:p>
                  <w:pPr>
                    <w:pStyle w:val="19"/>
                    <w:spacing w:line="240" w:lineRule="auto"/>
                    <w:jc w:val="center"/>
                    <w:rPr>
                      <w:rFonts w:hint="eastAsia" w:cs="宋体"/>
                      <w:color w:val="auto"/>
                      <w:kern w:val="0"/>
                      <w:sz w:val="21"/>
                      <w:szCs w:val="21"/>
                      <w:highlight w:val="none"/>
                      <w:lang w:eastAsia="zh-CN"/>
                    </w:rPr>
                  </w:pPr>
                  <w:r>
                    <w:rPr>
                      <w:rFonts w:hint="eastAsia" w:cs="宋体"/>
                      <w:color w:val="auto"/>
                      <w:kern w:val="0"/>
                      <w:sz w:val="21"/>
                      <w:szCs w:val="21"/>
                      <w:highlight w:val="none"/>
                      <w:lang w:eastAsia="zh-CN"/>
                    </w:rPr>
                    <w:t>职工生活垃圾、生活污水</w:t>
                  </w:r>
                </w:p>
              </w:tc>
            </w:tr>
          </w:tbl>
          <w:p>
            <w:pPr>
              <w:pStyle w:val="19"/>
              <w:spacing w:line="360" w:lineRule="auto"/>
              <w:ind w:firstLine="482" w:firstLineChars="200"/>
              <w:rPr>
                <w:b/>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9286" w:type="dxa"/>
            <w:tcBorders>
              <w:bottom w:val="single" w:color="auto" w:sz="12" w:space="0"/>
            </w:tcBorders>
          </w:tcPr>
          <w:p>
            <w:pPr>
              <w:spacing w:line="360" w:lineRule="auto"/>
              <w:rPr>
                <w:b/>
                <w:color w:val="auto"/>
                <w:kern w:val="0"/>
                <w:sz w:val="24"/>
                <w:szCs w:val="24"/>
                <w:highlight w:val="none"/>
              </w:rPr>
            </w:pPr>
            <w:bookmarkStart w:id="50" w:name="OLE_LINK2"/>
            <w:bookmarkStart w:id="51" w:name="OLE_LINK1"/>
            <w:r>
              <w:rPr>
                <w:b/>
                <w:color w:val="auto"/>
                <w:kern w:val="0"/>
                <w:sz w:val="24"/>
                <w:szCs w:val="24"/>
                <w:highlight w:val="none"/>
              </w:rPr>
              <w:t>主要污染工序及污染源强</w:t>
            </w:r>
            <w:bookmarkEnd w:id="50"/>
            <w:bookmarkEnd w:id="51"/>
            <w:r>
              <w:rPr>
                <w:b/>
                <w:color w:val="auto"/>
                <w:kern w:val="0"/>
                <w:sz w:val="24"/>
                <w:szCs w:val="24"/>
                <w:highlight w:val="none"/>
              </w:rPr>
              <w:t>：</w:t>
            </w:r>
          </w:p>
          <w:p>
            <w:pPr>
              <w:autoSpaceDE w:val="0"/>
              <w:autoSpaceDN w:val="0"/>
              <w:adjustRightInd w:val="0"/>
              <w:spacing w:line="360" w:lineRule="auto"/>
              <w:jc w:val="left"/>
              <w:rPr>
                <w:b/>
                <w:bCs/>
                <w:color w:val="auto"/>
                <w:kern w:val="0"/>
                <w:sz w:val="24"/>
                <w:szCs w:val="24"/>
                <w:highlight w:val="none"/>
              </w:rPr>
            </w:pPr>
            <w:r>
              <w:rPr>
                <w:b/>
                <w:bCs/>
                <w:color w:val="auto"/>
                <w:kern w:val="0"/>
                <w:sz w:val="24"/>
                <w:szCs w:val="24"/>
                <w:highlight w:val="none"/>
              </w:rPr>
              <w:t>一、施工期主要污染工序</w:t>
            </w:r>
          </w:p>
          <w:p>
            <w:pPr>
              <w:autoSpaceDE w:val="0"/>
              <w:autoSpaceDN w:val="0"/>
              <w:adjustRightInd w:val="0"/>
              <w:spacing w:line="360" w:lineRule="auto"/>
              <w:ind w:firstLine="360" w:firstLineChars="150"/>
              <w:jc w:val="left"/>
              <w:rPr>
                <w:color w:val="auto"/>
                <w:sz w:val="24"/>
                <w:highlight w:val="none"/>
              </w:rPr>
            </w:pPr>
            <w:r>
              <w:rPr>
                <w:color w:val="auto"/>
                <w:sz w:val="24"/>
                <w:highlight w:val="none"/>
              </w:rPr>
              <w:t>本项目使用自有已建厂房，因此施工期间基本不存在土建工程。本项目施工期间产生的影响主要是设备安装、运输产生的噪声、交通废气、扬尘等。</w:t>
            </w:r>
          </w:p>
          <w:p>
            <w:pPr>
              <w:autoSpaceDE w:val="0"/>
              <w:autoSpaceDN w:val="0"/>
              <w:adjustRightInd w:val="0"/>
              <w:spacing w:line="360" w:lineRule="auto"/>
              <w:jc w:val="left"/>
              <w:rPr>
                <w:b/>
                <w:bCs/>
                <w:color w:val="auto"/>
                <w:kern w:val="0"/>
                <w:sz w:val="24"/>
                <w:szCs w:val="24"/>
                <w:highlight w:val="none"/>
              </w:rPr>
            </w:pPr>
            <w:r>
              <w:rPr>
                <w:b/>
                <w:bCs/>
                <w:color w:val="auto"/>
                <w:kern w:val="0"/>
                <w:sz w:val="24"/>
                <w:szCs w:val="24"/>
                <w:highlight w:val="none"/>
              </w:rPr>
              <w:t>二、营运期主要污染工序</w:t>
            </w:r>
          </w:p>
          <w:p>
            <w:pPr>
              <w:autoSpaceDE w:val="0"/>
              <w:autoSpaceDN w:val="0"/>
              <w:adjustRightInd w:val="0"/>
              <w:spacing w:line="360" w:lineRule="auto"/>
              <w:jc w:val="left"/>
              <w:rPr>
                <w:b/>
                <w:bCs/>
                <w:color w:val="auto"/>
                <w:kern w:val="0"/>
                <w:sz w:val="24"/>
                <w:szCs w:val="24"/>
                <w:highlight w:val="none"/>
              </w:rPr>
            </w:pPr>
            <w:r>
              <w:rPr>
                <w:b/>
                <w:color w:val="auto"/>
                <w:kern w:val="0"/>
                <w:sz w:val="24"/>
                <w:szCs w:val="24"/>
                <w:highlight w:val="none"/>
              </w:rPr>
              <w:t>主要污染物产生排放情况：</w:t>
            </w:r>
          </w:p>
          <w:p>
            <w:pPr>
              <w:autoSpaceDE w:val="0"/>
              <w:autoSpaceDN w:val="0"/>
              <w:adjustRightInd w:val="0"/>
              <w:spacing w:line="360" w:lineRule="auto"/>
              <w:ind w:firstLine="479" w:firstLineChars="199"/>
              <w:jc w:val="left"/>
              <w:rPr>
                <w:b/>
                <w:bCs/>
                <w:color w:val="auto"/>
                <w:kern w:val="0"/>
                <w:sz w:val="24"/>
                <w:szCs w:val="24"/>
                <w:highlight w:val="none"/>
              </w:rPr>
            </w:pPr>
            <w:r>
              <w:rPr>
                <w:b/>
                <w:bCs/>
                <w:color w:val="auto"/>
                <w:kern w:val="0"/>
                <w:sz w:val="24"/>
                <w:szCs w:val="24"/>
                <w:highlight w:val="none"/>
              </w:rPr>
              <w:t>1、水污染源</w:t>
            </w:r>
          </w:p>
          <w:p>
            <w:pPr>
              <w:autoSpaceDE w:val="0"/>
              <w:autoSpaceDN w:val="0"/>
              <w:adjustRightInd w:val="0"/>
              <w:spacing w:line="360" w:lineRule="auto"/>
              <w:ind w:firstLine="479" w:firstLineChars="199"/>
              <w:jc w:val="left"/>
              <w:rPr>
                <w:rFonts w:hint="eastAsia"/>
                <w:b/>
                <w:bCs/>
                <w:color w:val="auto"/>
                <w:kern w:val="0"/>
                <w:sz w:val="24"/>
                <w:szCs w:val="24"/>
                <w:highlight w:val="none"/>
                <w:lang w:eastAsia="zh-CN"/>
              </w:rPr>
            </w:pPr>
            <w:r>
              <w:rPr>
                <w:rFonts w:hint="eastAsia"/>
                <w:b/>
                <w:bCs/>
                <w:color w:val="auto"/>
                <w:kern w:val="0"/>
                <w:sz w:val="24"/>
                <w:szCs w:val="24"/>
                <w:highlight w:val="none"/>
                <w:lang w:eastAsia="zh-CN"/>
              </w:rPr>
              <w:t>◇生活污水</w:t>
            </w:r>
          </w:p>
          <w:p>
            <w:pPr>
              <w:numPr>
                <w:ilvl w:val="0"/>
                <w:numId w:val="0"/>
              </w:numPr>
              <w:autoSpaceDE w:val="0"/>
              <w:autoSpaceDN w:val="0"/>
              <w:adjustRightInd w:val="0"/>
              <w:spacing w:line="360" w:lineRule="auto"/>
              <w:ind w:firstLine="480" w:firstLineChars="200"/>
              <w:rPr>
                <w:bCs/>
                <w:color w:val="auto"/>
                <w:kern w:val="0"/>
                <w:sz w:val="24"/>
                <w:szCs w:val="24"/>
                <w:highlight w:val="none"/>
              </w:rPr>
            </w:pPr>
            <w:r>
              <w:rPr>
                <w:rFonts w:hint="eastAsia"/>
                <w:bCs/>
                <w:color w:val="auto"/>
                <w:kern w:val="0"/>
                <w:sz w:val="24"/>
                <w:szCs w:val="24"/>
                <w:highlight w:val="none"/>
                <w:lang w:eastAsia="zh-CN"/>
              </w:rPr>
              <w:t>项目外排废水主要为工作人员的生活污水。</w:t>
            </w:r>
            <w:r>
              <w:rPr>
                <w:bCs/>
                <w:color w:val="auto"/>
                <w:kern w:val="0"/>
                <w:sz w:val="24"/>
                <w:szCs w:val="24"/>
                <w:highlight w:val="none"/>
              </w:rPr>
              <w:t>项目有</w:t>
            </w:r>
            <w:r>
              <w:rPr>
                <w:rFonts w:hint="eastAsia"/>
                <w:bCs/>
                <w:color w:val="auto"/>
                <w:kern w:val="0"/>
                <w:sz w:val="24"/>
                <w:szCs w:val="24"/>
                <w:highlight w:val="none"/>
                <w:lang w:val="en-US" w:eastAsia="zh-CN"/>
              </w:rPr>
              <w:t>5</w:t>
            </w:r>
            <w:r>
              <w:rPr>
                <w:bCs/>
                <w:color w:val="auto"/>
                <w:kern w:val="0"/>
                <w:sz w:val="24"/>
                <w:szCs w:val="24"/>
                <w:highlight w:val="none"/>
              </w:rPr>
              <w:t>个工作人员，年工作300天，厂内</w:t>
            </w:r>
            <w:r>
              <w:rPr>
                <w:rFonts w:hint="eastAsia"/>
                <w:color w:val="auto"/>
                <w:sz w:val="24"/>
                <w:szCs w:val="24"/>
                <w:highlight w:val="none"/>
                <w:lang w:eastAsia="zh-CN"/>
              </w:rPr>
              <w:t>不设置食堂及</w:t>
            </w:r>
            <w:r>
              <w:rPr>
                <w:color w:val="auto"/>
                <w:sz w:val="24"/>
                <w:szCs w:val="24"/>
                <w:highlight w:val="none"/>
              </w:rPr>
              <w:t>员工宿舍</w:t>
            </w:r>
            <w:r>
              <w:rPr>
                <w:bCs/>
                <w:color w:val="auto"/>
                <w:kern w:val="0"/>
                <w:sz w:val="24"/>
                <w:szCs w:val="24"/>
                <w:highlight w:val="none"/>
              </w:rPr>
              <w:t>，</w:t>
            </w:r>
            <w:r>
              <w:rPr>
                <w:bCs/>
                <w:color w:val="auto"/>
                <w:sz w:val="24"/>
                <w:highlight w:val="none"/>
              </w:rPr>
              <w:t>根据《广东省用水定额》（DB44/T1461-2014）可知，本项目职工生活用水量按</w:t>
            </w:r>
            <w:r>
              <w:rPr>
                <w:rFonts w:hint="eastAsia"/>
                <w:bCs/>
                <w:color w:val="auto"/>
                <w:sz w:val="24"/>
                <w:highlight w:val="none"/>
                <w:lang w:val="en-US" w:eastAsia="zh-CN"/>
              </w:rPr>
              <w:t>40</w:t>
            </w:r>
            <w:r>
              <w:rPr>
                <w:bCs/>
                <w:color w:val="auto"/>
                <w:sz w:val="24"/>
                <w:highlight w:val="none"/>
              </w:rPr>
              <w:t>L/人·d计，</w:t>
            </w:r>
            <w:r>
              <w:rPr>
                <w:bCs/>
                <w:color w:val="auto"/>
                <w:kern w:val="0"/>
                <w:sz w:val="24"/>
                <w:szCs w:val="24"/>
                <w:highlight w:val="none"/>
              </w:rPr>
              <w:t>则生活用水量</w:t>
            </w:r>
            <w:r>
              <w:rPr>
                <w:rFonts w:hint="eastAsia"/>
                <w:bCs/>
                <w:color w:val="auto"/>
                <w:kern w:val="0"/>
                <w:sz w:val="24"/>
                <w:szCs w:val="24"/>
                <w:highlight w:val="none"/>
                <w:lang w:val="en-US" w:eastAsia="zh-CN"/>
              </w:rPr>
              <w:t>60</w:t>
            </w:r>
            <w:r>
              <w:rPr>
                <w:bCs/>
                <w:color w:val="auto"/>
                <w:kern w:val="0"/>
                <w:sz w:val="24"/>
                <w:szCs w:val="24"/>
                <w:highlight w:val="none"/>
              </w:rPr>
              <w:t>m³/a。污水排放量按用水量的90%算，则生活污水排放量约</w:t>
            </w:r>
            <w:r>
              <w:rPr>
                <w:rFonts w:hint="eastAsia"/>
                <w:bCs/>
                <w:color w:val="auto"/>
                <w:kern w:val="0"/>
                <w:sz w:val="24"/>
                <w:szCs w:val="24"/>
                <w:highlight w:val="none"/>
                <w:lang w:val="en-US" w:eastAsia="zh-CN"/>
              </w:rPr>
              <w:t>54</w:t>
            </w:r>
            <w:r>
              <w:rPr>
                <w:bCs/>
                <w:color w:val="auto"/>
                <w:kern w:val="0"/>
                <w:sz w:val="24"/>
                <w:szCs w:val="24"/>
                <w:highlight w:val="none"/>
              </w:rPr>
              <w:t>m</w:t>
            </w:r>
            <w:r>
              <w:rPr>
                <w:bCs/>
                <w:color w:val="auto"/>
                <w:kern w:val="0"/>
                <w:sz w:val="24"/>
                <w:szCs w:val="24"/>
                <w:highlight w:val="none"/>
                <w:vertAlign w:val="superscript"/>
              </w:rPr>
              <w:t>3</w:t>
            </w:r>
            <w:r>
              <w:rPr>
                <w:bCs/>
                <w:color w:val="auto"/>
                <w:kern w:val="0"/>
                <w:sz w:val="24"/>
                <w:szCs w:val="24"/>
                <w:highlight w:val="none"/>
              </w:rPr>
              <w:t>/a，这部分污水主要含COD、BOD</w:t>
            </w:r>
            <w:r>
              <w:rPr>
                <w:bCs/>
                <w:color w:val="auto"/>
                <w:kern w:val="0"/>
                <w:sz w:val="24"/>
                <w:szCs w:val="24"/>
                <w:highlight w:val="none"/>
                <w:vertAlign w:val="subscript"/>
              </w:rPr>
              <w:t>5</w:t>
            </w:r>
            <w:r>
              <w:rPr>
                <w:bCs/>
                <w:color w:val="auto"/>
                <w:kern w:val="0"/>
                <w:sz w:val="24"/>
                <w:szCs w:val="24"/>
                <w:highlight w:val="none"/>
              </w:rPr>
              <w:t>、SS、NH</w:t>
            </w:r>
            <w:r>
              <w:rPr>
                <w:bCs/>
                <w:color w:val="auto"/>
                <w:kern w:val="0"/>
                <w:sz w:val="24"/>
                <w:szCs w:val="24"/>
                <w:highlight w:val="none"/>
                <w:vertAlign w:val="subscript"/>
              </w:rPr>
              <w:t>3</w:t>
            </w:r>
            <w:r>
              <w:rPr>
                <w:bCs/>
                <w:color w:val="auto"/>
                <w:kern w:val="0"/>
                <w:sz w:val="24"/>
                <w:szCs w:val="24"/>
                <w:highlight w:val="none"/>
              </w:rPr>
              <w:t>-N等污染物。</w:t>
            </w:r>
          </w:p>
          <w:p>
            <w:pPr>
              <w:adjustRightIn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生活污水经三级化粪池预处理后，达到广东省地方标准《水污染物排放限值》（DB44/26-2001）第二时段三级标准和《污水排入城镇下水道水质标准》(GB/T31962-2015 )B级标准较严者排放至市政污水管网，然后引至开平市水口污水处理厂处理后达到《城镇污水处理厂污染物排放标准》（GB18918-2002）中一级A 标准及广东省地方标准《水污染物排放限值》（DB44/26-2001）第二时段一级标准的较严值后</w:t>
            </w:r>
            <w:r>
              <w:rPr>
                <w:rFonts w:hint="eastAsia"/>
                <w:bCs/>
                <w:color w:val="auto"/>
                <w:kern w:val="0"/>
                <w:sz w:val="24"/>
                <w:szCs w:val="24"/>
                <w:highlight w:val="none"/>
              </w:rPr>
              <w:t>排入</w:t>
            </w:r>
            <w:r>
              <w:rPr>
                <w:rFonts w:hint="eastAsia"/>
                <w:bCs/>
                <w:color w:val="auto"/>
                <w:kern w:val="0"/>
                <w:sz w:val="24"/>
                <w:szCs w:val="24"/>
                <w:highlight w:val="none"/>
                <w:lang w:eastAsia="zh-CN"/>
              </w:rPr>
              <w:t>潭江</w:t>
            </w:r>
            <w:r>
              <w:rPr>
                <w:rFonts w:hint="eastAsia" w:cs="Times New Roman"/>
                <w:color w:val="auto"/>
                <w:sz w:val="24"/>
                <w:szCs w:val="24"/>
                <w:highlight w:val="none"/>
                <w:lang w:eastAsia="zh-CN"/>
              </w:rPr>
              <w:t>。</w:t>
            </w:r>
          </w:p>
          <w:p>
            <w:pPr>
              <w:autoSpaceDE w:val="0"/>
              <w:autoSpaceDN w:val="0"/>
              <w:adjustRightInd w:val="0"/>
              <w:spacing w:line="360" w:lineRule="auto"/>
              <w:ind w:firstLine="480" w:firstLineChars="200"/>
              <w:rPr>
                <w:rFonts w:hint="eastAsia"/>
                <w:color w:val="auto"/>
                <w:kern w:val="0"/>
                <w:sz w:val="24"/>
                <w:highlight w:val="none"/>
              </w:rPr>
            </w:pPr>
            <w:r>
              <w:rPr>
                <w:rFonts w:hint="eastAsia"/>
                <w:bCs/>
                <w:color w:val="auto"/>
                <w:kern w:val="0"/>
                <w:sz w:val="24"/>
                <w:szCs w:val="24"/>
                <w:highlight w:val="none"/>
              </w:rPr>
              <w:t>项目生活污水污染物产排情况如下：</w:t>
            </w:r>
            <w:r>
              <w:rPr>
                <w:rFonts w:hint="eastAsia"/>
                <w:color w:val="auto"/>
                <w:kern w:val="0"/>
                <w:sz w:val="24"/>
                <w:highlight w:val="none"/>
              </w:rPr>
              <w:t xml:space="preserve"> </w:t>
            </w:r>
          </w:p>
          <w:p>
            <w:pPr>
              <w:spacing w:line="360" w:lineRule="auto"/>
              <w:jc w:val="center"/>
              <w:rPr>
                <w:b/>
                <w:color w:val="auto"/>
                <w:szCs w:val="21"/>
                <w:highlight w:val="none"/>
              </w:rPr>
            </w:pPr>
            <w:r>
              <w:rPr>
                <w:b/>
                <w:color w:val="auto"/>
                <w:szCs w:val="21"/>
                <w:highlight w:val="none"/>
              </w:rPr>
              <w:t>表5-</w:t>
            </w:r>
            <w:r>
              <w:rPr>
                <w:rFonts w:hint="eastAsia"/>
                <w:b/>
                <w:color w:val="auto"/>
                <w:szCs w:val="21"/>
                <w:highlight w:val="none"/>
                <w:lang w:val="en-US" w:eastAsia="zh-CN"/>
              </w:rPr>
              <w:t xml:space="preserve">2 </w:t>
            </w:r>
            <w:r>
              <w:rPr>
                <w:b/>
                <w:color w:val="auto"/>
                <w:szCs w:val="21"/>
                <w:highlight w:val="none"/>
              </w:rPr>
              <w:t xml:space="preserve"> 项目生活污水主要污染物的浓度和产排量</w:t>
            </w:r>
          </w:p>
          <w:tbl>
            <w:tblPr>
              <w:tblStyle w:val="34"/>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362"/>
              <w:gridCol w:w="1361"/>
              <w:gridCol w:w="1361"/>
              <w:gridCol w:w="1530"/>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废水量</w:t>
                  </w:r>
                </w:p>
              </w:tc>
              <w:tc>
                <w:tcPr>
                  <w:tcW w:w="1362" w:type="dxa"/>
                  <w:vMerge w:val="restart"/>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污染物</w:t>
                  </w:r>
                </w:p>
              </w:tc>
              <w:tc>
                <w:tcPr>
                  <w:tcW w:w="2722" w:type="dxa"/>
                  <w:gridSpan w:val="2"/>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产生情况</w:t>
                  </w:r>
                </w:p>
              </w:tc>
              <w:tc>
                <w:tcPr>
                  <w:tcW w:w="3056" w:type="dxa"/>
                  <w:gridSpan w:val="2"/>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b/>
                      <w:bCs/>
                      <w:color w:val="auto"/>
                      <w:kern w:val="0"/>
                      <w:szCs w:val="21"/>
                      <w:highlight w:val="none"/>
                    </w:rPr>
                  </w:pPr>
                </w:p>
              </w:tc>
              <w:tc>
                <w:tcPr>
                  <w:tcW w:w="1362" w:type="dxa"/>
                  <w:vMerge w:val="continue"/>
                  <w:tcBorders>
                    <w:tl2br w:val="nil"/>
                    <w:tr2bl w:val="nil"/>
                  </w:tcBorders>
                  <w:noWrap w:val="0"/>
                  <w:vAlign w:val="center"/>
                </w:tcPr>
                <w:p>
                  <w:pPr>
                    <w:widowControl/>
                    <w:jc w:val="center"/>
                    <w:rPr>
                      <w:rFonts w:ascii="Times New Roman" w:hAnsi="Times New Roman"/>
                      <w:b/>
                      <w:bCs/>
                      <w:color w:val="auto"/>
                      <w:kern w:val="0"/>
                      <w:szCs w:val="21"/>
                      <w:highlight w:val="none"/>
                    </w:rPr>
                  </w:pPr>
                </w:p>
              </w:tc>
              <w:tc>
                <w:tcPr>
                  <w:tcW w:w="1361" w:type="dxa"/>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产生浓度</w:t>
                  </w:r>
                </w:p>
              </w:tc>
              <w:tc>
                <w:tcPr>
                  <w:tcW w:w="1361" w:type="dxa"/>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产生量</w:t>
                  </w:r>
                </w:p>
              </w:tc>
              <w:tc>
                <w:tcPr>
                  <w:tcW w:w="1530" w:type="dxa"/>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排放浓度</w:t>
                  </w:r>
                </w:p>
              </w:tc>
              <w:tc>
                <w:tcPr>
                  <w:tcW w:w="1526" w:type="dxa"/>
                  <w:tcBorders>
                    <w:tl2br w:val="nil"/>
                    <w:tr2bl w:val="nil"/>
                  </w:tcBorders>
                  <w:noWrap w:val="0"/>
                  <w:vAlign w:val="center"/>
                </w:tcPr>
                <w:p>
                  <w:pPr>
                    <w:widowControl/>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restart"/>
                  <w:tcBorders>
                    <w:tl2br w:val="nil"/>
                    <w:tr2bl w:val="nil"/>
                  </w:tcBorders>
                  <w:noWrap w:val="0"/>
                  <w:vAlign w:val="center"/>
                </w:tcPr>
                <w:p>
                  <w:pPr>
                    <w:jc w:val="center"/>
                    <w:rPr>
                      <w:rFonts w:ascii="Times New Roman" w:hAnsi="Times New Roman"/>
                      <w:color w:val="auto"/>
                      <w:szCs w:val="21"/>
                      <w:highlight w:val="none"/>
                    </w:rPr>
                  </w:pPr>
                  <w:r>
                    <w:rPr>
                      <w:rFonts w:hint="eastAsia"/>
                      <w:color w:val="auto"/>
                      <w:szCs w:val="21"/>
                      <w:highlight w:val="none"/>
                      <w:lang w:val="en-US" w:eastAsia="zh-CN"/>
                    </w:rPr>
                    <w:t>54</w:t>
                  </w:r>
                  <w:r>
                    <w:rPr>
                      <w:rFonts w:hint="eastAsia" w:ascii="Times New Roman" w:hAnsi="Times New Roman"/>
                      <w:color w:val="auto"/>
                      <w:szCs w:val="21"/>
                      <w:highlight w:val="none"/>
                      <w:lang w:val="en-US" w:eastAsia="zh-CN"/>
                    </w:rPr>
                    <w:t>t</w:t>
                  </w:r>
                  <w:r>
                    <w:rPr>
                      <w:rFonts w:ascii="Times New Roman" w:hAnsi="Times New Roman"/>
                      <w:color w:val="auto"/>
                      <w:szCs w:val="21"/>
                      <w:highlight w:val="none"/>
                    </w:rPr>
                    <w:t>/a</w:t>
                  </w:r>
                </w:p>
              </w:tc>
              <w:tc>
                <w:tcPr>
                  <w:tcW w:w="1362" w:type="dxa"/>
                  <w:tcBorders>
                    <w:tl2br w:val="nil"/>
                    <w:tr2bl w:val="nil"/>
                  </w:tcBorders>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COD</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250mg/L</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hint="default" w:ascii="Times New Roman" w:hAnsi="Times New Roman"/>
                      <w:bCs/>
                      <w:color w:val="auto"/>
                      <w:kern w:val="0"/>
                      <w:szCs w:val="21"/>
                      <w:highlight w:val="none"/>
                      <w:lang w:val="en-US" w:eastAsia="zh-CN"/>
                    </w:rPr>
                    <w:t>0.014</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530"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200mg/L</w:t>
                  </w:r>
                </w:p>
              </w:tc>
              <w:tc>
                <w:tcPr>
                  <w:tcW w:w="1526" w:type="dxa"/>
                  <w:tcBorders>
                    <w:tl2br w:val="nil"/>
                    <w:tr2bl w:val="nil"/>
                  </w:tcBorders>
                  <w:noWrap w:val="0"/>
                  <w:vAlign w:val="center"/>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0.011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Cs w:val="21"/>
                      <w:highlight w:val="none"/>
                    </w:rPr>
                  </w:pPr>
                </w:p>
              </w:tc>
              <w:tc>
                <w:tcPr>
                  <w:tcW w:w="1362" w:type="dxa"/>
                  <w:tcBorders>
                    <w:tl2br w:val="nil"/>
                    <w:tr2bl w:val="nil"/>
                  </w:tcBorders>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BOD</w:t>
                  </w:r>
                  <w:r>
                    <w:rPr>
                      <w:rFonts w:ascii="Times New Roman" w:hAnsi="Times New Roman"/>
                      <w:color w:val="auto"/>
                      <w:szCs w:val="21"/>
                      <w:highlight w:val="none"/>
                      <w:vertAlign w:val="subscript"/>
                    </w:rPr>
                    <w:t>5</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150mg/L</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hint="default" w:ascii="Times New Roman" w:hAnsi="Times New Roman"/>
                      <w:bCs/>
                      <w:color w:val="auto"/>
                      <w:kern w:val="0"/>
                      <w:szCs w:val="21"/>
                      <w:highlight w:val="none"/>
                      <w:lang w:val="en-US" w:eastAsia="zh-CN"/>
                    </w:rPr>
                    <w:t>0.008</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530"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120mg/L</w:t>
                  </w:r>
                </w:p>
              </w:tc>
              <w:tc>
                <w:tcPr>
                  <w:tcW w:w="1526" w:type="dxa"/>
                  <w:tcBorders>
                    <w:tl2br w:val="nil"/>
                    <w:tr2bl w:val="nil"/>
                  </w:tcBorders>
                  <w:noWrap w:val="0"/>
                  <w:vAlign w:val="center"/>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0.006</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Cs w:val="21"/>
                      <w:highlight w:val="none"/>
                    </w:rPr>
                  </w:pPr>
                </w:p>
              </w:tc>
              <w:tc>
                <w:tcPr>
                  <w:tcW w:w="1362" w:type="dxa"/>
                  <w:tcBorders>
                    <w:tl2br w:val="nil"/>
                    <w:tr2bl w:val="nil"/>
                  </w:tcBorders>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SS</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150mg/L</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hint="default" w:ascii="Times New Roman" w:hAnsi="Times New Roman"/>
                      <w:bCs/>
                      <w:color w:val="auto"/>
                      <w:kern w:val="0"/>
                      <w:szCs w:val="21"/>
                      <w:highlight w:val="none"/>
                      <w:lang w:val="en-US" w:eastAsia="zh-CN"/>
                    </w:rPr>
                    <w:t>0.008</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530"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120mg/L</w:t>
                  </w:r>
                </w:p>
              </w:tc>
              <w:tc>
                <w:tcPr>
                  <w:tcW w:w="1526" w:type="dxa"/>
                  <w:tcBorders>
                    <w:tl2br w:val="nil"/>
                    <w:tr2bl w:val="nil"/>
                  </w:tcBorders>
                  <w:noWrap w:val="0"/>
                  <w:vAlign w:val="center"/>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0.006</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4" w:type="dxa"/>
                  <w:vMerge w:val="continue"/>
                  <w:tcBorders>
                    <w:tl2br w:val="nil"/>
                    <w:tr2bl w:val="nil"/>
                  </w:tcBorders>
                  <w:noWrap w:val="0"/>
                  <w:vAlign w:val="center"/>
                </w:tcPr>
                <w:p>
                  <w:pPr>
                    <w:widowControl/>
                    <w:jc w:val="center"/>
                    <w:rPr>
                      <w:rFonts w:ascii="Times New Roman" w:hAnsi="Times New Roman"/>
                      <w:color w:val="auto"/>
                      <w:szCs w:val="21"/>
                      <w:highlight w:val="none"/>
                    </w:rPr>
                  </w:pPr>
                </w:p>
              </w:tc>
              <w:tc>
                <w:tcPr>
                  <w:tcW w:w="1362" w:type="dxa"/>
                  <w:tcBorders>
                    <w:tl2br w:val="nil"/>
                    <w:tr2bl w:val="nil"/>
                  </w:tcBorders>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NH</w:t>
                  </w:r>
                  <w:r>
                    <w:rPr>
                      <w:rFonts w:ascii="Times New Roman" w:hAnsi="Times New Roman"/>
                      <w:color w:val="auto"/>
                      <w:szCs w:val="21"/>
                      <w:highlight w:val="none"/>
                      <w:vertAlign w:val="subscript"/>
                    </w:rPr>
                    <w:t>3</w:t>
                  </w:r>
                  <w:r>
                    <w:rPr>
                      <w:rFonts w:ascii="Times New Roman" w:hAnsi="Times New Roman"/>
                      <w:color w:val="auto"/>
                      <w:szCs w:val="21"/>
                      <w:highlight w:val="none"/>
                    </w:rPr>
                    <w:t>-N</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25mg/L</w:t>
                  </w:r>
                </w:p>
              </w:tc>
              <w:tc>
                <w:tcPr>
                  <w:tcW w:w="1361" w:type="dxa"/>
                  <w:tcBorders>
                    <w:tl2br w:val="nil"/>
                    <w:tr2bl w:val="nil"/>
                  </w:tcBorders>
                  <w:noWrap w:val="0"/>
                  <w:vAlign w:val="center"/>
                </w:tcPr>
                <w:p>
                  <w:pPr>
                    <w:jc w:val="center"/>
                    <w:rPr>
                      <w:rFonts w:ascii="Times New Roman" w:hAnsi="Times New Roman"/>
                      <w:bCs/>
                      <w:color w:val="auto"/>
                      <w:kern w:val="0"/>
                      <w:szCs w:val="21"/>
                      <w:highlight w:val="none"/>
                    </w:rPr>
                  </w:pPr>
                  <w:r>
                    <w:rPr>
                      <w:rFonts w:hint="default" w:ascii="Times New Roman" w:hAnsi="Times New Roman"/>
                      <w:bCs/>
                      <w:color w:val="auto"/>
                      <w:kern w:val="0"/>
                      <w:szCs w:val="21"/>
                      <w:highlight w:val="none"/>
                      <w:lang w:val="en-US" w:eastAsia="zh-CN"/>
                    </w:rPr>
                    <w:t>0.001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530" w:type="dxa"/>
                  <w:tcBorders>
                    <w:tl2br w:val="nil"/>
                    <w:tr2bl w:val="nil"/>
                  </w:tcBorders>
                  <w:noWrap w:val="0"/>
                  <w:vAlign w:val="center"/>
                </w:tcPr>
                <w:p>
                  <w:pPr>
                    <w:jc w:val="center"/>
                    <w:rPr>
                      <w:rFonts w:ascii="Times New Roman" w:hAnsi="Times New Roman"/>
                      <w:bCs/>
                      <w:color w:val="auto"/>
                      <w:kern w:val="0"/>
                      <w:szCs w:val="21"/>
                      <w:highlight w:val="none"/>
                    </w:rPr>
                  </w:pPr>
                  <w:r>
                    <w:rPr>
                      <w:rFonts w:ascii="Times New Roman" w:hAnsi="Times New Roman"/>
                      <w:bCs/>
                      <w:color w:val="auto"/>
                      <w:kern w:val="0"/>
                      <w:szCs w:val="21"/>
                      <w:highlight w:val="none"/>
                    </w:rPr>
                    <w:t>20mg/L</w:t>
                  </w:r>
                </w:p>
              </w:tc>
              <w:tc>
                <w:tcPr>
                  <w:tcW w:w="1526" w:type="dxa"/>
                  <w:tcBorders>
                    <w:tl2br w:val="nil"/>
                    <w:tr2bl w:val="nil"/>
                  </w:tcBorders>
                  <w:noWrap w:val="0"/>
                  <w:vAlign w:val="center"/>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0.001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bl>
          <w:p>
            <w:pPr>
              <w:autoSpaceDE w:val="0"/>
              <w:autoSpaceDN w:val="0"/>
              <w:adjustRightInd w:val="0"/>
              <w:spacing w:line="360" w:lineRule="auto"/>
              <w:ind w:firstLine="479" w:firstLineChars="199"/>
              <w:jc w:val="left"/>
              <w:rPr>
                <w:rFonts w:hint="eastAsia"/>
                <w:b/>
                <w:bCs/>
                <w:color w:val="auto"/>
                <w:kern w:val="0"/>
                <w:sz w:val="24"/>
                <w:szCs w:val="24"/>
                <w:highlight w:val="none"/>
                <w:lang w:eastAsia="zh-CN"/>
              </w:rPr>
            </w:pPr>
            <w:r>
              <w:rPr>
                <w:rFonts w:hint="eastAsia"/>
                <w:b/>
                <w:bCs/>
                <w:color w:val="auto"/>
                <w:kern w:val="0"/>
                <w:sz w:val="24"/>
                <w:szCs w:val="24"/>
                <w:highlight w:val="none"/>
                <w:lang w:eastAsia="zh-CN"/>
              </w:rPr>
              <w:t>◇</w:t>
            </w:r>
            <w:r>
              <w:rPr>
                <w:rFonts w:hint="eastAsia" w:hAnsi="宋体"/>
                <w:b/>
                <w:color w:val="auto"/>
                <w:sz w:val="24"/>
                <w:highlight w:val="none"/>
                <w:lang w:eastAsia="zh-CN"/>
              </w:rPr>
              <w:t>喷淋废水</w:t>
            </w:r>
          </w:p>
          <w:p>
            <w:pPr>
              <w:widowControl w:val="0"/>
              <w:spacing w:after="0" w:line="360" w:lineRule="auto"/>
              <w:ind w:right="170" w:firstLine="470" w:firstLineChars="196"/>
              <w:jc w:val="both"/>
              <w:rPr>
                <w:rFonts w:hint="default" w:ascii="Times New Roman" w:hAnsi="Times New Roman" w:eastAsia="宋体" w:cs="Times New Roman"/>
                <w:color w:val="auto"/>
                <w:kern w:val="2"/>
                <w:sz w:val="24"/>
                <w:szCs w:val="24"/>
                <w:highlight w:val="none"/>
              </w:rPr>
            </w:pPr>
            <w:r>
              <w:rPr>
                <w:rFonts w:hint="eastAsia" w:hAnsi="宋体"/>
                <w:color w:val="auto"/>
                <w:sz w:val="24"/>
                <w:highlight w:val="none"/>
              </w:rPr>
              <w:t>项目采用</w:t>
            </w:r>
            <w:r>
              <w:rPr>
                <w:rFonts w:hint="eastAsia" w:hAnsi="宋体"/>
                <w:color w:val="auto"/>
                <w:sz w:val="24"/>
                <w:highlight w:val="none"/>
                <w:lang w:val="en-US" w:eastAsia="zh-CN"/>
              </w:rPr>
              <w:t>水喷淋塔+等离子油烟净化器</w:t>
            </w:r>
            <w:r>
              <w:rPr>
                <w:rFonts w:hint="eastAsia" w:hAnsi="宋体"/>
                <w:color w:val="auto"/>
                <w:sz w:val="24"/>
                <w:highlight w:val="none"/>
              </w:rPr>
              <w:t>对</w:t>
            </w:r>
            <w:r>
              <w:rPr>
                <w:rFonts w:hint="eastAsia" w:hAnsi="宋体"/>
                <w:color w:val="auto"/>
                <w:sz w:val="24"/>
                <w:highlight w:val="none"/>
                <w:lang w:eastAsia="zh-CN"/>
              </w:rPr>
              <w:t>锻压</w:t>
            </w:r>
            <w:r>
              <w:rPr>
                <w:rFonts w:hint="eastAsia" w:hAnsi="宋体"/>
                <w:color w:val="auto"/>
                <w:sz w:val="24"/>
                <w:highlight w:val="none"/>
              </w:rPr>
              <w:t>工序产生的</w:t>
            </w:r>
            <w:r>
              <w:rPr>
                <w:rFonts w:hint="eastAsia" w:hAnsi="宋体"/>
                <w:color w:val="auto"/>
                <w:sz w:val="24"/>
                <w:highlight w:val="none"/>
                <w:lang w:eastAsia="zh-CN"/>
              </w:rPr>
              <w:t>废气</w:t>
            </w:r>
            <w:r>
              <w:rPr>
                <w:rFonts w:hint="eastAsia" w:hAnsi="宋体"/>
                <w:color w:val="auto"/>
                <w:sz w:val="24"/>
                <w:highlight w:val="none"/>
              </w:rPr>
              <w:t>进行处理，</w:t>
            </w:r>
            <w:r>
              <w:rPr>
                <w:rFonts w:hint="default" w:ascii="Times New Roman" w:hAnsi="Times New Roman" w:eastAsia="宋体" w:cs="Times New Roman"/>
                <w:color w:val="auto"/>
                <w:kern w:val="2"/>
                <w:sz w:val="24"/>
                <w:szCs w:val="24"/>
                <w:highlight w:val="none"/>
              </w:rPr>
              <w:t>喷淋废水</w:t>
            </w:r>
            <w:r>
              <w:rPr>
                <w:rFonts w:hint="eastAsia" w:cs="Times New Roman"/>
                <w:color w:val="auto"/>
                <w:kern w:val="2"/>
                <w:sz w:val="24"/>
                <w:szCs w:val="24"/>
                <w:highlight w:val="none"/>
                <w:lang w:eastAsia="zh-CN"/>
              </w:rPr>
              <w:t>主要污染物为</w:t>
            </w:r>
            <w:r>
              <w:rPr>
                <w:rFonts w:hint="eastAsia"/>
                <w:color w:val="auto"/>
                <w:sz w:val="24"/>
                <w:szCs w:val="24"/>
                <w:highlight w:val="none"/>
                <w:lang w:eastAsia="zh-CN"/>
              </w:rPr>
              <w:t>石油类，</w:t>
            </w:r>
            <w:r>
              <w:rPr>
                <w:rFonts w:hint="default" w:ascii="Times New Roman" w:hAnsi="Times New Roman" w:eastAsia="宋体" w:cs="Times New Roman"/>
                <w:color w:val="auto"/>
                <w:kern w:val="2"/>
                <w:sz w:val="24"/>
                <w:szCs w:val="24"/>
                <w:highlight w:val="none"/>
              </w:rPr>
              <w:t>经喷淋塔配套循环水池循环后使用，</w:t>
            </w:r>
            <w:r>
              <w:rPr>
                <w:rFonts w:hint="default" w:ascii="Times New Roman" w:hAnsi="Times New Roman" w:cs="Times New Roman"/>
                <w:color w:val="auto"/>
                <w:sz w:val="24"/>
                <w:highlight w:val="none"/>
              </w:rPr>
              <w:t>因受热等因素损失，需定期补充新鲜水，</w:t>
            </w:r>
            <w:r>
              <w:rPr>
                <w:rFonts w:hint="default" w:ascii="Times New Roman" w:hAnsi="Times New Roman" w:cs="Times New Roman"/>
                <w:color w:val="auto"/>
                <w:sz w:val="24"/>
                <w:highlight w:val="none"/>
                <w:lang w:eastAsia="zh-CN"/>
              </w:rPr>
              <w:t>根据建设单位提供的资料，水喷淋装置循环水池有效水容积为</w:t>
            </w:r>
            <w:r>
              <w:rPr>
                <w:rFonts w:hint="default" w:ascii="Times New Roman" w:hAnsi="Times New Roman" w:cs="Times New Roman"/>
                <w:color w:val="auto"/>
                <w:sz w:val="24"/>
                <w:highlight w:val="none"/>
                <w:lang w:val="en-US" w:eastAsia="zh-CN"/>
              </w:rPr>
              <w:t>4m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eastAsia="zh-CN"/>
              </w:rPr>
              <w:t>，每天</w:t>
            </w:r>
            <w:r>
              <w:rPr>
                <w:rFonts w:hint="default" w:ascii="Times New Roman" w:hAnsi="Times New Roman" w:cs="Times New Roman"/>
                <w:color w:val="auto"/>
                <w:sz w:val="24"/>
                <w:highlight w:val="none"/>
              </w:rPr>
              <w:t>补充损耗水量约为</w:t>
            </w:r>
            <w:r>
              <w:rPr>
                <w:rFonts w:hint="default" w:ascii="Times New Roman" w:hAnsi="Times New Roman" w:cs="Times New Roman"/>
                <w:color w:val="auto"/>
                <w:sz w:val="24"/>
                <w:highlight w:val="none"/>
                <w:lang w:eastAsia="zh-CN"/>
              </w:rPr>
              <w:t>水池容积的</w:t>
            </w:r>
            <w:r>
              <w:rPr>
                <w:rFonts w:hint="default" w:ascii="Times New Roman" w:hAnsi="Times New Roman" w:cs="Times New Roman"/>
                <w:color w:val="auto"/>
                <w:sz w:val="24"/>
                <w:highlight w:val="none"/>
                <w:lang w:val="en-US" w:eastAsia="zh-CN"/>
              </w:rPr>
              <w:t>5%，0.2</w:t>
            </w:r>
            <w:r>
              <w:rPr>
                <w:rFonts w:hint="default" w:ascii="Times New Roman" w:hAnsi="Times New Roman" w:cs="Times New Roman"/>
                <w:color w:val="auto"/>
                <w:sz w:val="24"/>
                <w:highlight w:val="none"/>
              </w:rPr>
              <w:t>t/</w:t>
            </w:r>
            <w:r>
              <w:rPr>
                <w:rFonts w:hint="default" w:ascii="Times New Roman" w:hAnsi="Times New Roman" w:eastAsia="宋体" w:cs="Times New Roman"/>
                <w:color w:val="auto"/>
                <w:sz w:val="24"/>
                <w:highlight w:val="none"/>
                <w:lang w:val="en-US" w:eastAsia="zh-CN"/>
              </w:rPr>
              <w:t>d，即60</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ascii="Times New Roman" w:hAnsi="Times New Roman" w:cs="Times New Roman"/>
                <w:color w:val="auto"/>
                <w:sz w:val="24"/>
                <w:szCs w:val="22"/>
                <w:highlight w:val="none"/>
                <w:lang w:val="en-US" w:eastAsia="zh-CN"/>
              </w:rPr>
              <w:t>4</w:t>
            </w:r>
            <w:r>
              <w:rPr>
                <w:rFonts w:hint="default" w:ascii="Times New Roman" w:hAnsi="Times New Roman" w:cs="Times New Roman"/>
                <w:color w:val="auto"/>
                <w:sz w:val="24"/>
                <w:szCs w:val="22"/>
                <w:highlight w:val="none"/>
              </w:rPr>
              <w:t>吨/次，则更换废水产生量为</w:t>
            </w:r>
            <w:r>
              <w:rPr>
                <w:rFonts w:hint="eastAsia" w:ascii="Times New Roman" w:hAnsi="Times New Roman" w:cs="Times New Roman"/>
                <w:color w:val="auto"/>
                <w:sz w:val="24"/>
                <w:szCs w:val="22"/>
                <w:highlight w:val="none"/>
                <w:lang w:val="en-US" w:eastAsia="zh-CN"/>
              </w:rPr>
              <w:t>16</w:t>
            </w:r>
            <w:r>
              <w:rPr>
                <w:rFonts w:hint="default" w:ascii="Times New Roman" w:hAnsi="Times New Roman" w:cs="Times New Roman"/>
                <w:color w:val="auto"/>
                <w:sz w:val="24"/>
                <w:szCs w:val="22"/>
                <w:highlight w:val="none"/>
              </w:rPr>
              <w:t>t/a。该废水经收集后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pStyle w:val="41"/>
              <w:spacing w:line="360" w:lineRule="auto"/>
              <w:rPr>
                <w:b/>
                <w:bCs/>
                <w:color w:val="auto"/>
                <w:kern w:val="0"/>
                <w:sz w:val="24"/>
                <w:szCs w:val="24"/>
                <w:highlight w:val="none"/>
              </w:rPr>
            </w:pPr>
            <w:r>
              <w:rPr>
                <w:b/>
                <w:bCs/>
                <w:color w:val="auto"/>
                <w:kern w:val="0"/>
                <w:sz w:val="24"/>
                <w:szCs w:val="24"/>
                <w:highlight w:val="none"/>
              </w:rPr>
              <w:t>2、大气污染源</w:t>
            </w:r>
          </w:p>
          <w:p>
            <w:pPr>
              <w:autoSpaceDE w:val="0"/>
              <w:autoSpaceDN w:val="0"/>
              <w:adjustRightInd w:val="0"/>
              <w:spacing w:line="360" w:lineRule="auto"/>
              <w:ind w:firstLine="480" w:firstLineChars="200"/>
              <w:jc w:val="left"/>
              <w:rPr>
                <w:bCs/>
                <w:color w:val="auto"/>
                <w:kern w:val="0"/>
                <w:sz w:val="24"/>
                <w:highlight w:val="none"/>
              </w:rPr>
            </w:pPr>
            <w:r>
              <w:rPr>
                <w:bCs/>
                <w:color w:val="auto"/>
                <w:kern w:val="0"/>
                <w:sz w:val="24"/>
                <w:highlight w:val="none"/>
              </w:rPr>
              <w:t>本项目营运过</w:t>
            </w:r>
            <w:r>
              <w:rPr>
                <w:bCs/>
                <w:color w:val="auto"/>
                <w:kern w:val="0"/>
                <w:sz w:val="24"/>
                <w:szCs w:val="22"/>
                <w:highlight w:val="none"/>
              </w:rPr>
              <w:t>程中大气污染主要为</w:t>
            </w:r>
            <w:r>
              <w:rPr>
                <w:rFonts w:hint="eastAsia"/>
                <w:bCs/>
                <w:color w:val="auto"/>
                <w:kern w:val="0"/>
                <w:sz w:val="24"/>
                <w:szCs w:val="22"/>
                <w:highlight w:val="none"/>
                <w:lang w:eastAsia="zh-CN"/>
              </w:rPr>
              <w:t>锻压过程中产生的非甲烷总烃；开料、机加工过程中产生的金属粉尘</w:t>
            </w:r>
            <w:r>
              <w:rPr>
                <w:bCs/>
                <w:color w:val="auto"/>
                <w:kern w:val="0"/>
                <w:sz w:val="24"/>
                <w:szCs w:val="22"/>
                <w:highlight w:val="none"/>
              </w:rPr>
              <w:t>。</w:t>
            </w:r>
          </w:p>
          <w:p>
            <w:pPr>
              <w:autoSpaceDE w:val="0"/>
              <w:autoSpaceDN w:val="0"/>
              <w:adjustRightInd w:val="0"/>
              <w:spacing w:line="360" w:lineRule="auto"/>
              <w:ind w:firstLine="482" w:firstLineChars="200"/>
              <w:jc w:val="left"/>
              <w:rPr>
                <w:rFonts w:hint="eastAsia"/>
                <w:b/>
                <w:bCs w:val="0"/>
                <w:color w:val="auto"/>
                <w:kern w:val="0"/>
                <w:sz w:val="24"/>
                <w:szCs w:val="22"/>
                <w:highlight w:val="none"/>
                <w:lang w:eastAsia="zh-CN"/>
              </w:rPr>
            </w:pPr>
            <w:r>
              <w:rPr>
                <w:rFonts w:hint="eastAsia"/>
                <w:b/>
                <w:bCs w:val="0"/>
                <w:color w:val="auto"/>
                <w:kern w:val="0"/>
                <w:sz w:val="24"/>
                <w:szCs w:val="22"/>
                <w:highlight w:val="none"/>
                <w:lang w:eastAsia="zh-CN"/>
              </w:rPr>
              <w:t>◇锻压工序产生的非甲烷总烃</w:t>
            </w:r>
          </w:p>
          <w:p>
            <w:pPr>
              <w:pStyle w:val="2"/>
              <w:spacing w:line="360" w:lineRule="auto"/>
              <w:ind w:firstLine="480"/>
              <w:rPr>
                <w:rFonts w:hint="default" w:ascii="Times New Roman" w:hAnsi="Times New Roman" w:eastAsia="宋体" w:cs="Times New Roman"/>
                <w:color w:val="auto"/>
                <w:kern w:val="0"/>
                <w:sz w:val="24"/>
                <w:szCs w:val="24"/>
                <w:highlight w:val="none"/>
                <w:lang w:val="en-US" w:eastAsia="zh-CN" w:bidi="ar-SA"/>
              </w:rPr>
            </w:pPr>
            <w:r>
              <w:rPr>
                <w:rFonts w:hint="eastAsia" w:hAnsi="宋体" w:eastAsia="宋体"/>
                <w:color w:val="auto"/>
                <w:kern w:val="2"/>
                <w:sz w:val="24"/>
                <w:szCs w:val="24"/>
                <w:highlight w:val="none"/>
              </w:rPr>
              <w:t>项目锻压工序冲压成型过程需使用润滑油对锻压头进行润滑，</w:t>
            </w:r>
            <w:r>
              <w:rPr>
                <w:rFonts w:hint="eastAsia" w:ascii="Times New Roman" w:hAnsi="Times New Roman" w:cs="Times New Roman"/>
                <w:color w:val="auto"/>
                <w:kern w:val="0"/>
                <w:sz w:val="24"/>
                <w:szCs w:val="24"/>
                <w:highlight w:val="none"/>
                <w:lang w:val="en-US" w:eastAsia="zh-CN" w:bidi="ar-SA"/>
              </w:rPr>
              <w:t>润滑油</w:t>
            </w:r>
            <w:r>
              <w:rPr>
                <w:rFonts w:hint="eastAsia"/>
                <w:color w:val="auto"/>
                <w:highlight w:val="none"/>
                <w:lang w:eastAsia="zh-CN"/>
              </w:rPr>
              <w:t>在</w:t>
            </w:r>
            <w:r>
              <w:rPr>
                <w:rFonts w:hint="eastAsia" w:ascii="Times New Roman" w:hAnsi="Times New Roman" w:eastAsia="宋体" w:cs="Times New Roman"/>
                <w:color w:val="auto"/>
                <w:kern w:val="0"/>
                <w:sz w:val="24"/>
                <w:szCs w:val="24"/>
                <w:highlight w:val="none"/>
                <w:lang w:val="en-US" w:eastAsia="zh-CN" w:bidi="ar-SA"/>
              </w:rPr>
              <w:t>高温下</w:t>
            </w:r>
            <w:r>
              <w:rPr>
                <w:rFonts w:hint="eastAsia" w:ascii="Times New Roman" w:hAnsi="Times New Roman" w:cs="Times New Roman"/>
                <w:color w:val="auto"/>
                <w:kern w:val="0"/>
                <w:sz w:val="24"/>
                <w:szCs w:val="24"/>
                <w:highlight w:val="none"/>
                <w:lang w:val="en-US" w:eastAsia="zh-CN" w:bidi="ar-SA"/>
              </w:rPr>
              <w:t>（600℃）</w:t>
            </w:r>
            <w:r>
              <w:rPr>
                <w:rFonts w:hint="eastAsia" w:hAnsi="宋体" w:eastAsia="宋体"/>
                <w:color w:val="auto"/>
                <w:kern w:val="2"/>
                <w:sz w:val="24"/>
                <w:szCs w:val="24"/>
                <w:highlight w:val="none"/>
              </w:rPr>
              <w:t>受热分解产生油雾，主要污染物为非甲烷总烃。本项目锻压工序润滑油年使用量为</w:t>
            </w:r>
            <w:r>
              <w:rPr>
                <w:rFonts w:hint="default" w:ascii="Times New Roman" w:hAnsi="Times New Roman" w:eastAsia="宋体" w:cs="Times New Roman"/>
                <w:color w:val="auto"/>
                <w:kern w:val="2"/>
                <w:sz w:val="24"/>
                <w:szCs w:val="24"/>
                <w:highlight w:val="none"/>
              </w:rPr>
              <w:t>0.2t</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2"/>
                <w:sz w:val="24"/>
                <w:szCs w:val="24"/>
                <w:highlight w:val="none"/>
              </w:rPr>
              <w:t>根据建设单位提供的润滑油MSDS，润滑油主要成分为基础油＞90%，添加剂＜10%，其中基础油为不挥发成分，添加剂为挥发成分，本项目挥发成分取最大值，即10%。因此可得非甲烷总烃产生量为0.02t/a。</w:t>
            </w:r>
          </w:p>
          <w:p>
            <w:pPr>
              <w:pStyle w:val="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项目设有锻压机3台，拟在锻压工序</w:t>
            </w:r>
            <w:r>
              <w:rPr>
                <w:rFonts w:hint="default" w:ascii="Times New Roman" w:hAnsi="Times New Roman" w:cs="Times New Roman"/>
                <w:color w:val="auto"/>
                <w:sz w:val="24"/>
                <w:highlight w:val="none"/>
                <w:lang w:eastAsia="zh-CN"/>
              </w:rPr>
              <w:t>侧方</w:t>
            </w:r>
            <w:r>
              <w:rPr>
                <w:rFonts w:hint="default" w:ascii="Times New Roman" w:hAnsi="Times New Roman" w:cs="Times New Roman"/>
                <w:color w:val="auto"/>
                <w:sz w:val="24"/>
                <w:highlight w:val="none"/>
              </w:rPr>
              <w:t>设置集气</w:t>
            </w:r>
            <w:r>
              <w:rPr>
                <w:rFonts w:hint="default" w:ascii="Times New Roman" w:hAnsi="Times New Roman" w:cs="Times New Roman"/>
                <w:color w:val="auto"/>
                <w:sz w:val="24"/>
                <w:highlight w:val="none"/>
                <w:lang w:eastAsia="zh-CN"/>
              </w:rPr>
              <w:t>罩（背面侧吸）</w:t>
            </w:r>
            <w:r>
              <w:rPr>
                <w:rFonts w:hint="default" w:ascii="Times New Roman" w:hAnsi="Times New Roman" w:cs="Times New Roman"/>
                <w:color w:val="auto"/>
                <w:sz w:val="24"/>
                <w:highlight w:val="none"/>
              </w:rPr>
              <w:t>，集气</w:t>
            </w:r>
            <w:r>
              <w:rPr>
                <w:rFonts w:hint="default" w:ascii="Times New Roman" w:hAnsi="Times New Roman" w:cs="Times New Roman"/>
                <w:color w:val="auto"/>
                <w:sz w:val="24"/>
                <w:highlight w:val="none"/>
                <w:lang w:eastAsia="zh-CN"/>
              </w:rPr>
              <w:t>罩</w:t>
            </w:r>
            <w:r>
              <w:rPr>
                <w:rFonts w:hint="default" w:ascii="Times New Roman" w:hAnsi="Times New Roman" w:cs="Times New Roman"/>
                <w:color w:val="auto"/>
                <w:sz w:val="24"/>
                <w:highlight w:val="none"/>
              </w:rPr>
              <w:t>的尺寸为0.</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m*0.</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lang w:val="en-US" w:eastAsia="zh-CN"/>
              </w:rPr>
              <w:t>离源距离为0.</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风速取</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m/s，</w:t>
            </w:r>
            <w:r>
              <w:rPr>
                <w:rFonts w:hint="default" w:ascii="Times New Roman" w:hAnsi="Times New Roman" w:cs="Times New Roman"/>
                <w:color w:val="auto"/>
                <w:sz w:val="24"/>
                <w:highlight w:val="none"/>
                <w:shd w:val="clear" w:color="auto" w:fill="auto"/>
                <w:lang w:val="en-US" w:eastAsia="zh-CN"/>
              </w:rPr>
              <w:t>则单个集气罩的风量为1.4*（0.</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m*2+0.</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m*2）*0.</w:t>
            </w:r>
            <w:r>
              <w:rPr>
                <w:rFonts w:hint="eastAsia" w:ascii="Times New Roman" w:hAnsi="Times New Roman" w:cs="Times New Roman"/>
                <w:color w:val="auto"/>
                <w:sz w:val="24"/>
                <w:highlight w:val="none"/>
                <w:shd w:val="clear" w:color="auto" w:fill="auto"/>
                <w:lang w:val="en-US" w:eastAsia="zh-CN"/>
              </w:rPr>
              <w:t>3</w:t>
            </w:r>
            <w:r>
              <w:rPr>
                <w:rFonts w:hint="default" w:ascii="Times New Roman" w:hAnsi="Times New Roman" w:cs="Times New Roman"/>
                <w:color w:val="auto"/>
                <w:sz w:val="24"/>
                <w:highlight w:val="none"/>
                <w:shd w:val="clear" w:color="auto" w:fill="auto"/>
                <w:lang w:val="en-US" w:eastAsia="zh-CN"/>
              </w:rPr>
              <w:t>m*</w:t>
            </w:r>
            <w:r>
              <w:rPr>
                <w:rFonts w:hint="eastAsia" w:ascii="Times New Roman" w:hAnsi="Times New Roman" w:cs="Times New Roman"/>
                <w:color w:val="auto"/>
                <w:sz w:val="24"/>
                <w:highlight w:val="none"/>
                <w:shd w:val="clear" w:color="auto" w:fill="auto"/>
                <w:lang w:val="en-US" w:eastAsia="zh-CN"/>
              </w:rPr>
              <w:t>1</w:t>
            </w:r>
            <w:r>
              <w:rPr>
                <w:rFonts w:hint="default" w:ascii="Times New Roman" w:hAnsi="Times New Roman" w:cs="Times New Roman"/>
                <w:color w:val="auto"/>
                <w:sz w:val="24"/>
                <w:highlight w:val="none"/>
                <w:shd w:val="clear" w:color="auto" w:fill="auto"/>
                <w:lang w:val="en-US" w:eastAsia="zh-CN"/>
              </w:rPr>
              <w:t>m/s*3600s≈</w:t>
            </w:r>
            <w:r>
              <w:rPr>
                <w:rFonts w:hint="eastAsia" w:ascii="Times New Roman" w:hAnsi="Times New Roman" w:cs="Times New Roman"/>
                <w:color w:val="auto"/>
                <w:sz w:val="24"/>
                <w:highlight w:val="none"/>
                <w:shd w:val="clear" w:color="auto" w:fill="auto"/>
                <w:lang w:val="en-US" w:eastAsia="zh-CN"/>
              </w:rPr>
              <w:t>3000</w:t>
            </w:r>
            <w:r>
              <w:rPr>
                <w:rFonts w:hint="default" w:ascii="Times New Roman" w:hAnsi="Times New Roman" w:cs="Times New Roman"/>
                <w:color w:val="auto"/>
                <w:sz w:val="24"/>
                <w:highlight w:val="none"/>
                <w:shd w:val="clear" w:color="auto" w:fill="auto"/>
              </w:rPr>
              <w:t>m</w:t>
            </w:r>
            <w:r>
              <w:rPr>
                <w:rFonts w:hint="default" w:ascii="Times New Roman" w:hAnsi="Times New Roman" w:cs="Times New Roman"/>
                <w:color w:val="auto"/>
                <w:sz w:val="24"/>
                <w:highlight w:val="none"/>
                <w:shd w:val="clear" w:color="auto" w:fill="auto"/>
                <w:vertAlign w:val="superscript"/>
              </w:rPr>
              <w:t>3</w:t>
            </w:r>
            <w:r>
              <w:rPr>
                <w:rFonts w:hint="default" w:ascii="Times New Roman" w:hAnsi="Times New Roman" w:cs="Times New Roman"/>
                <w:color w:val="auto"/>
                <w:sz w:val="24"/>
                <w:highlight w:val="none"/>
                <w:shd w:val="clear" w:color="auto" w:fill="auto"/>
              </w:rPr>
              <w:t>/h</w:t>
            </w:r>
            <w:r>
              <w:rPr>
                <w:rFonts w:hint="default" w:ascii="Times New Roman" w:hAnsi="Times New Roman" w:cs="Times New Roman"/>
                <w:color w:val="auto"/>
                <w:sz w:val="24"/>
                <w:highlight w:val="none"/>
                <w:shd w:val="clear" w:color="auto" w:fill="auto"/>
                <w:lang w:eastAsia="zh-CN"/>
              </w:rPr>
              <w:t>，即总风机风量约为</w:t>
            </w:r>
            <w:r>
              <w:rPr>
                <w:rFonts w:hint="eastAsia" w:ascii="Times New Roman" w:hAnsi="Times New Roman" w:cs="Times New Roman"/>
                <w:color w:val="auto"/>
                <w:sz w:val="24"/>
                <w:highlight w:val="none"/>
                <w:shd w:val="clear" w:color="auto" w:fill="auto"/>
                <w:lang w:val="en-US" w:eastAsia="zh-CN"/>
              </w:rPr>
              <w:t>9000</w:t>
            </w:r>
            <w:r>
              <w:rPr>
                <w:rFonts w:hint="default" w:ascii="Times New Roman" w:hAnsi="Times New Roman" w:cs="Times New Roman"/>
                <w:color w:val="auto"/>
                <w:sz w:val="24"/>
                <w:highlight w:val="none"/>
                <w:shd w:val="clear" w:color="auto" w:fill="auto"/>
              </w:rPr>
              <w:t>m</w:t>
            </w:r>
            <w:r>
              <w:rPr>
                <w:rFonts w:hint="default" w:ascii="Times New Roman" w:hAnsi="Times New Roman" w:cs="Times New Roman"/>
                <w:color w:val="auto"/>
                <w:sz w:val="24"/>
                <w:highlight w:val="none"/>
                <w:shd w:val="clear" w:color="auto" w:fill="auto"/>
                <w:vertAlign w:val="superscript"/>
              </w:rPr>
              <w:t>3</w:t>
            </w:r>
            <w:r>
              <w:rPr>
                <w:rFonts w:hint="default" w:ascii="Times New Roman" w:hAnsi="Times New Roman" w:cs="Times New Roman"/>
                <w:color w:val="auto"/>
                <w:sz w:val="24"/>
                <w:highlight w:val="none"/>
                <w:shd w:val="clear" w:color="auto" w:fill="auto"/>
              </w:rPr>
              <w:t>/h，</w:t>
            </w:r>
            <w:r>
              <w:rPr>
                <w:rFonts w:hint="eastAsia" w:ascii="Times New Roman" w:hAnsi="Times New Roman" w:cs="Times New Roman"/>
                <w:color w:val="auto"/>
                <w:sz w:val="24"/>
                <w:highlight w:val="none"/>
                <w:shd w:val="clear" w:color="auto" w:fill="auto"/>
                <w:lang w:eastAsia="zh-CN"/>
              </w:rPr>
              <w:t>根据集气罩的设置情况，</w:t>
            </w:r>
            <w:r>
              <w:rPr>
                <w:rFonts w:hint="default" w:ascii="Times New Roman" w:hAnsi="Times New Roman" w:cs="Times New Roman"/>
                <w:color w:val="auto"/>
                <w:sz w:val="24"/>
                <w:highlight w:val="none"/>
              </w:rPr>
              <w:t>收集效率可达</w:t>
            </w:r>
            <w:r>
              <w:rPr>
                <w:rFonts w:hint="eastAsia"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%，将有机废气统一收集至</w:t>
            </w:r>
            <w:r>
              <w:rPr>
                <w:rFonts w:hint="eastAsia" w:ascii="Times New Roman" w:hAnsi="Times New Roman" w:cs="Times New Roman"/>
                <w:color w:val="auto"/>
                <w:sz w:val="24"/>
                <w:highlight w:val="none"/>
                <w:lang w:eastAsia="zh-CN"/>
              </w:rPr>
              <w:t>水喷淋塔</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低温等离子油烟净化器处理，</w:t>
            </w:r>
            <w:r>
              <w:rPr>
                <w:rFonts w:hint="eastAsia" w:ascii="Times New Roman" w:hAnsi="Times New Roman" w:cs="Times New Roman"/>
                <w:color w:val="auto"/>
                <w:sz w:val="24"/>
                <w:highlight w:val="none"/>
                <w:lang w:eastAsia="zh-CN"/>
              </w:rPr>
              <w:t>根据《广东省木质家具制造行业挥发性有机化合物排放系数使用指南》表</w:t>
            </w:r>
            <w:r>
              <w:rPr>
                <w:rFonts w:hint="eastAsia" w:ascii="Times New Roman" w:hAnsi="Times New Roman" w:cs="Times New Roman"/>
                <w:color w:val="auto"/>
                <w:sz w:val="24"/>
                <w:highlight w:val="none"/>
                <w:lang w:val="en-US" w:eastAsia="zh-CN"/>
              </w:rPr>
              <w:t>4.3-1，水喷淋处理效率为15%。根据《广东省家具制造行业挥发性有机废气治理技术指南》表4，低温等离子体法处理效率为50-90%，本项目取76%，即总</w:t>
            </w:r>
            <w:r>
              <w:rPr>
                <w:rFonts w:hint="default" w:ascii="Times New Roman" w:hAnsi="Times New Roman" w:cs="Times New Roman"/>
                <w:color w:val="auto"/>
                <w:sz w:val="24"/>
                <w:highlight w:val="none"/>
              </w:rPr>
              <w:t>处理效率可达</w:t>
            </w:r>
            <w:r>
              <w:rPr>
                <w:rFonts w:hint="eastAsia"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%，处理达标后经排气筒（编号为G1）引至楼顶高空排放，排气筒高度</w:t>
            </w:r>
            <w:r>
              <w:rPr>
                <w:rFonts w:hint="eastAsia" w:ascii="Times New Roman" w:hAnsi="Times New Roman" w:cs="Times New Roman"/>
                <w:color w:val="auto"/>
                <w:sz w:val="24"/>
                <w:highlight w:val="none"/>
                <w:lang w:eastAsia="zh-CN"/>
              </w:rPr>
              <w:t>为</w:t>
            </w:r>
            <w:r>
              <w:rPr>
                <w:rFonts w:hint="default" w:ascii="Times New Roman" w:hAnsi="Times New Roman" w:cs="Times New Roman"/>
                <w:color w:val="auto"/>
                <w:sz w:val="24"/>
                <w:highlight w:val="none"/>
              </w:rPr>
              <w:t>15米。项目锻压废气产生和排放情况如下表所示。</w:t>
            </w:r>
          </w:p>
          <w:p>
            <w:pPr>
              <w:pStyle w:val="88"/>
              <w:numPr>
                <w:ilvl w:val="0"/>
                <w:numId w:val="0"/>
              </w:numPr>
              <w:tabs>
                <w:tab w:val="left" w:pos="420"/>
              </w:tabs>
              <w:spacing w:line="360" w:lineRule="auto"/>
              <w:ind w:left="471" w:leftChars="0"/>
              <w:jc w:val="center"/>
              <w:rPr>
                <w:rFonts w:eastAsia="宋体" w:cs="Times New Roman"/>
                <w:b/>
                <w:color w:val="auto"/>
                <w:sz w:val="21"/>
                <w:szCs w:val="21"/>
                <w:highlight w:val="none"/>
              </w:rPr>
            </w:pPr>
            <w:r>
              <w:rPr>
                <w:rFonts w:hint="eastAsia" w:eastAsia="宋体" w:cs="Times New Roman"/>
                <w:b/>
                <w:color w:val="auto"/>
                <w:sz w:val="21"/>
                <w:szCs w:val="21"/>
                <w:highlight w:val="none"/>
                <w:lang w:eastAsia="zh-CN"/>
              </w:rPr>
              <w:t>表</w:t>
            </w:r>
            <w:r>
              <w:rPr>
                <w:rFonts w:hint="eastAsia" w:eastAsia="宋体" w:cs="Times New Roman"/>
                <w:b/>
                <w:color w:val="auto"/>
                <w:sz w:val="21"/>
                <w:szCs w:val="21"/>
                <w:highlight w:val="none"/>
                <w:lang w:val="en-US" w:eastAsia="zh-CN"/>
              </w:rPr>
              <w:t xml:space="preserve">5-3  </w:t>
            </w:r>
            <w:r>
              <w:rPr>
                <w:rFonts w:eastAsia="宋体" w:cs="Times New Roman"/>
                <w:b/>
                <w:color w:val="auto"/>
                <w:sz w:val="21"/>
                <w:szCs w:val="21"/>
                <w:highlight w:val="none"/>
              </w:rPr>
              <w:t>项目</w:t>
            </w:r>
            <w:r>
              <w:rPr>
                <w:rFonts w:hint="eastAsia" w:eastAsia="宋体" w:cs="Times New Roman"/>
                <w:b/>
                <w:color w:val="auto"/>
                <w:sz w:val="21"/>
                <w:szCs w:val="21"/>
                <w:highlight w:val="none"/>
              </w:rPr>
              <w:t>锻压</w:t>
            </w:r>
            <w:r>
              <w:rPr>
                <w:rFonts w:eastAsia="宋体" w:cs="Times New Roman"/>
                <w:b/>
                <w:color w:val="auto"/>
                <w:sz w:val="21"/>
                <w:szCs w:val="21"/>
                <w:highlight w:val="none"/>
              </w:rPr>
              <w:t>废气</w:t>
            </w:r>
            <w:r>
              <w:rPr>
                <w:rFonts w:hint="eastAsia" w:eastAsia="宋体" w:cs="Times New Roman"/>
                <w:b/>
                <w:color w:val="auto"/>
                <w:sz w:val="21"/>
                <w:szCs w:val="21"/>
                <w:highlight w:val="none"/>
              </w:rPr>
              <w:t>产生和</w:t>
            </w:r>
            <w:r>
              <w:rPr>
                <w:rFonts w:eastAsia="宋体" w:cs="Times New Roman"/>
                <w:b/>
                <w:color w:val="auto"/>
                <w:sz w:val="21"/>
                <w:szCs w:val="21"/>
                <w:highlight w:val="none"/>
              </w:rPr>
              <w:t>排放情况一览表</w:t>
            </w:r>
          </w:p>
          <w:tbl>
            <w:tblPr>
              <w:tblStyle w:val="3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210"/>
              <w:gridCol w:w="1216"/>
              <w:gridCol w:w="1152"/>
              <w:gridCol w:w="1021"/>
              <w:gridCol w:w="1327"/>
              <w:gridCol w:w="1152"/>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58"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污染物</w:t>
                  </w:r>
                </w:p>
              </w:tc>
              <w:tc>
                <w:tcPr>
                  <w:tcW w:w="1210"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排放方式</w:t>
                  </w:r>
                </w:p>
              </w:tc>
              <w:tc>
                <w:tcPr>
                  <w:tcW w:w="1216"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产生浓度（mg/m³）</w:t>
                  </w:r>
                </w:p>
              </w:tc>
              <w:tc>
                <w:tcPr>
                  <w:tcW w:w="1152"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产生速率</w:t>
                  </w:r>
                </w:p>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（kg/h）</w:t>
                  </w:r>
                </w:p>
              </w:tc>
              <w:tc>
                <w:tcPr>
                  <w:tcW w:w="1021"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产生量</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w:t>
                  </w:r>
                  <w:r>
                    <w:rPr>
                      <w:rFonts w:hint="eastAsia" w:ascii="Times New Roman" w:hAnsi="Times New Roman" w:eastAsia="宋体" w:cs="Times New Roman"/>
                      <w:b/>
                      <w:color w:val="auto"/>
                      <w:kern w:val="2"/>
                      <w:sz w:val="21"/>
                      <w:szCs w:val="21"/>
                      <w:highlight w:val="none"/>
                    </w:rPr>
                    <w:t>t</w:t>
                  </w:r>
                  <w:r>
                    <w:rPr>
                      <w:rFonts w:ascii="Times New Roman" w:hAnsi="Times New Roman" w:eastAsia="宋体" w:cs="Times New Roman"/>
                      <w:b/>
                      <w:color w:val="auto"/>
                      <w:kern w:val="2"/>
                      <w:sz w:val="21"/>
                      <w:szCs w:val="21"/>
                      <w:highlight w:val="none"/>
                    </w:rPr>
                    <w:t>/a）</w:t>
                  </w:r>
                </w:p>
              </w:tc>
              <w:tc>
                <w:tcPr>
                  <w:tcW w:w="1327"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排放浓度</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（mg/m³）</w:t>
                  </w:r>
                </w:p>
              </w:tc>
              <w:tc>
                <w:tcPr>
                  <w:tcW w:w="1152"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排放速率</w:t>
                  </w:r>
                </w:p>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（kg/h）</w:t>
                  </w:r>
                </w:p>
              </w:tc>
              <w:tc>
                <w:tcPr>
                  <w:tcW w:w="1021"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排放量</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w:t>
                  </w:r>
                  <w:r>
                    <w:rPr>
                      <w:rFonts w:hint="eastAsia" w:ascii="Times New Roman" w:hAnsi="Times New Roman" w:eastAsia="宋体" w:cs="Times New Roman"/>
                      <w:b/>
                      <w:color w:val="auto"/>
                      <w:kern w:val="2"/>
                      <w:sz w:val="21"/>
                      <w:szCs w:val="21"/>
                      <w:highlight w:val="none"/>
                    </w:rPr>
                    <w:t>t</w:t>
                  </w:r>
                  <w:r>
                    <w:rPr>
                      <w:rFonts w:ascii="Times New Roman" w:hAnsi="Times New Roman" w:eastAsia="宋体" w:cs="Times New Roman"/>
                      <w:b/>
                      <w:color w:val="auto"/>
                      <w:kern w:val="2"/>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958" w:type="dxa"/>
                  <w:vMerge w:val="restart"/>
                  <w:tcBorders>
                    <w:tl2br w:val="nil"/>
                    <w:tr2bl w:val="nil"/>
                  </w:tcBorders>
                  <w:vAlign w:val="center"/>
                </w:tcPr>
                <w:p>
                  <w:pPr>
                    <w:widowControl w:val="0"/>
                    <w:tabs>
                      <w:tab w:val="left" w:pos="607"/>
                    </w:tabs>
                    <w:autoSpaceDE w:val="0"/>
                    <w:autoSpaceDN w:val="0"/>
                    <w:adjustRightInd w:val="0"/>
                    <w:snapToGrid w:val="0"/>
                    <w:jc w:val="center"/>
                    <w:rPr>
                      <w:rFonts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非甲烷总烃</w:t>
                  </w:r>
                </w:p>
              </w:tc>
              <w:tc>
                <w:tcPr>
                  <w:tcW w:w="1210"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有组织</w:t>
                  </w:r>
                </w:p>
              </w:tc>
              <w:tc>
                <w:tcPr>
                  <w:tcW w:w="1216"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0.741</w:t>
                  </w:r>
                </w:p>
              </w:tc>
              <w:tc>
                <w:tcPr>
                  <w:tcW w:w="1152"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07</w:t>
                  </w:r>
                </w:p>
              </w:tc>
              <w:tc>
                <w:tcPr>
                  <w:tcW w:w="1021"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16</w:t>
                  </w:r>
                </w:p>
              </w:tc>
              <w:tc>
                <w:tcPr>
                  <w:tcW w:w="1327"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0.148</w:t>
                  </w:r>
                </w:p>
              </w:tc>
              <w:tc>
                <w:tcPr>
                  <w:tcW w:w="1152"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01</w:t>
                  </w:r>
                </w:p>
              </w:tc>
              <w:tc>
                <w:tcPr>
                  <w:tcW w:w="1021"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8" w:type="dxa"/>
                  <w:vMerge w:val="continue"/>
                  <w:tcBorders>
                    <w:tl2br w:val="nil"/>
                    <w:tr2bl w:val="nil"/>
                  </w:tcBorders>
                  <w:vAlign w:val="center"/>
                </w:tcPr>
                <w:p>
                  <w:pPr>
                    <w:widowControl w:val="0"/>
                    <w:tabs>
                      <w:tab w:val="left" w:pos="607"/>
                    </w:tabs>
                    <w:autoSpaceDE w:val="0"/>
                    <w:autoSpaceDN w:val="0"/>
                    <w:adjustRightInd w:val="0"/>
                    <w:snapToGrid w:val="0"/>
                    <w:spacing w:line="360" w:lineRule="auto"/>
                    <w:jc w:val="center"/>
                    <w:rPr>
                      <w:rFonts w:ascii="Times New Roman" w:hAnsi="Times New Roman" w:eastAsia="宋体" w:cs="Times New Roman"/>
                      <w:bCs/>
                      <w:color w:val="auto"/>
                      <w:sz w:val="21"/>
                      <w:szCs w:val="21"/>
                      <w:highlight w:val="none"/>
                      <w:lang w:val="en-US" w:eastAsia="zh-CN" w:bidi="ar-SA"/>
                    </w:rPr>
                  </w:pPr>
                </w:p>
              </w:tc>
              <w:tc>
                <w:tcPr>
                  <w:tcW w:w="1210"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无组织</w:t>
                  </w:r>
                </w:p>
              </w:tc>
              <w:tc>
                <w:tcPr>
                  <w:tcW w:w="1216"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tc>
              <w:tc>
                <w:tcPr>
                  <w:tcW w:w="1152"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02</w:t>
                  </w:r>
                </w:p>
              </w:tc>
              <w:tc>
                <w:tcPr>
                  <w:tcW w:w="1021"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4</w:t>
                  </w:r>
                </w:p>
              </w:tc>
              <w:tc>
                <w:tcPr>
                  <w:tcW w:w="1327"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tc>
              <w:tc>
                <w:tcPr>
                  <w:tcW w:w="1152"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02</w:t>
                  </w:r>
                </w:p>
              </w:tc>
              <w:tc>
                <w:tcPr>
                  <w:tcW w:w="1021"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4</w:t>
                  </w:r>
                </w:p>
              </w:tc>
            </w:tr>
          </w:tbl>
          <w:p>
            <w:pPr>
              <w:spacing w:line="360" w:lineRule="auto"/>
              <w:ind w:firstLine="480" w:firstLineChars="200"/>
              <w:rPr>
                <w:color w:val="auto"/>
                <w:sz w:val="24"/>
                <w:highlight w:val="none"/>
              </w:rPr>
            </w:pPr>
            <w:r>
              <w:rPr>
                <w:color w:val="auto"/>
                <w:sz w:val="24"/>
                <w:highlight w:val="none"/>
              </w:rPr>
              <w:t>根据上表可知项目</w:t>
            </w:r>
            <w:r>
              <w:rPr>
                <w:rFonts w:hint="eastAsia"/>
                <w:color w:val="auto"/>
                <w:sz w:val="24"/>
                <w:highlight w:val="none"/>
              </w:rPr>
              <w:t>锻压废气有组织</w:t>
            </w:r>
            <w:r>
              <w:rPr>
                <w:color w:val="auto"/>
                <w:sz w:val="24"/>
                <w:highlight w:val="none"/>
              </w:rPr>
              <w:t>排放浓度和排放速率可以达到广东省地方标准《大气污染物排放限值》（DB44/27-2001）中第二时段二级标准，</w:t>
            </w:r>
            <w:r>
              <w:rPr>
                <w:rFonts w:hint="eastAsia"/>
                <w:color w:val="auto"/>
                <w:sz w:val="24"/>
                <w:highlight w:val="none"/>
                <w:shd w:val="clear" w:color="auto" w:fill="FFFFFF"/>
              </w:rPr>
              <w:t>无组织排放量较少，</w:t>
            </w:r>
            <w:r>
              <w:rPr>
                <w:color w:val="auto"/>
                <w:sz w:val="24"/>
                <w:highlight w:val="none"/>
                <w:shd w:val="clear" w:color="auto" w:fill="FFFFFF"/>
              </w:rPr>
              <w:t>根据估算，</w:t>
            </w:r>
            <w:r>
              <w:rPr>
                <w:color w:val="auto"/>
                <w:sz w:val="24"/>
                <w:highlight w:val="none"/>
              </w:rPr>
              <w:t>周界外非甲烷总烃</w:t>
            </w:r>
            <w:r>
              <w:rPr>
                <w:color w:val="auto"/>
                <w:kern w:val="0"/>
                <w:sz w:val="24"/>
                <w:highlight w:val="none"/>
              </w:rPr>
              <w:t>最大落地浓度未超过</w:t>
            </w:r>
            <w:r>
              <w:rPr>
                <w:color w:val="auto"/>
                <w:sz w:val="24"/>
                <w:highlight w:val="none"/>
              </w:rPr>
              <w:t>广东省地方标准《大气污染物排放限值》（DB44/ 27-2001）第二时段无组织排放监控浓度限值</w:t>
            </w:r>
            <w:r>
              <w:rPr>
                <w:rFonts w:hint="eastAsia"/>
                <w:color w:val="auto"/>
                <w:sz w:val="24"/>
                <w:highlight w:val="none"/>
              </w:rPr>
              <w:t>，对周围环境影响较小。</w:t>
            </w:r>
          </w:p>
          <w:p>
            <w:pPr>
              <w:autoSpaceDE w:val="0"/>
              <w:autoSpaceDN w:val="0"/>
              <w:adjustRightInd w:val="0"/>
              <w:spacing w:line="360" w:lineRule="auto"/>
              <w:ind w:firstLine="482" w:firstLineChars="200"/>
              <w:jc w:val="left"/>
              <w:rPr>
                <w:rFonts w:hint="eastAsia"/>
                <w:b/>
                <w:bCs w:val="0"/>
                <w:color w:val="auto"/>
                <w:kern w:val="0"/>
                <w:sz w:val="24"/>
                <w:szCs w:val="24"/>
                <w:highlight w:val="none"/>
              </w:rPr>
            </w:pPr>
            <w:r>
              <w:rPr>
                <w:rFonts w:hint="eastAsia"/>
                <w:b/>
                <w:bCs w:val="0"/>
                <w:color w:val="auto"/>
                <w:kern w:val="0"/>
                <w:sz w:val="24"/>
                <w:szCs w:val="22"/>
                <w:highlight w:val="none"/>
                <w:lang w:eastAsia="zh-CN"/>
              </w:rPr>
              <w:t>◇</w:t>
            </w:r>
            <w:r>
              <w:rPr>
                <w:rFonts w:hint="eastAsia"/>
                <w:b/>
                <w:bCs w:val="0"/>
                <w:color w:val="auto"/>
                <w:kern w:val="0"/>
                <w:sz w:val="24"/>
                <w:szCs w:val="24"/>
                <w:highlight w:val="none"/>
              </w:rPr>
              <w:t>燃料废气</w:t>
            </w:r>
          </w:p>
          <w:p>
            <w:pPr>
              <w:widowControl w:val="0"/>
              <w:spacing w:line="360" w:lineRule="auto"/>
              <w:ind w:firstLine="567"/>
              <w:jc w:val="both"/>
              <w:rPr>
                <w:rFonts w:hint="eastAsia"/>
                <w:color w:val="auto"/>
                <w:highlight w:val="none"/>
                <w:lang w:val="en-US" w:eastAsia="zh-CN"/>
              </w:rPr>
            </w:pPr>
            <w:r>
              <w:rPr>
                <w:rFonts w:hint="eastAsia"/>
                <w:b w:val="0"/>
                <w:bCs w:val="0"/>
                <w:color w:val="auto"/>
                <w:kern w:val="0"/>
                <w:sz w:val="24"/>
                <w:szCs w:val="24"/>
                <w:highlight w:val="none"/>
              </w:rPr>
              <w:t>项目</w:t>
            </w:r>
            <w:r>
              <w:rPr>
                <w:rFonts w:hint="eastAsia"/>
                <w:b w:val="0"/>
                <w:bCs w:val="0"/>
                <w:color w:val="auto"/>
                <w:kern w:val="0"/>
                <w:sz w:val="24"/>
                <w:szCs w:val="24"/>
                <w:highlight w:val="none"/>
                <w:lang w:eastAsia="zh-CN"/>
              </w:rPr>
              <w:t>锻压</w:t>
            </w:r>
            <w:r>
              <w:rPr>
                <w:rFonts w:hint="eastAsia"/>
                <w:b w:val="0"/>
                <w:bCs w:val="0"/>
                <w:color w:val="auto"/>
                <w:kern w:val="0"/>
                <w:sz w:val="24"/>
                <w:szCs w:val="24"/>
                <w:highlight w:val="none"/>
              </w:rPr>
              <w:t>机</w:t>
            </w:r>
            <w:r>
              <w:rPr>
                <w:rFonts w:hint="eastAsia"/>
                <w:b w:val="0"/>
                <w:bCs w:val="0"/>
                <w:color w:val="auto"/>
                <w:kern w:val="0"/>
                <w:sz w:val="24"/>
                <w:szCs w:val="24"/>
                <w:highlight w:val="none"/>
                <w:lang w:eastAsia="zh-CN"/>
              </w:rPr>
              <w:t>配套加热槽</w:t>
            </w:r>
            <w:r>
              <w:rPr>
                <w:rFonts w:hint="eastAsia"/>
                <w:b w:val="0"/>
                <w:bCs w:val="0"/>
                <w:color w:val="auto"/>
                <w:kern w:val="0"/>
                <w:sz w:val="24"/>
                <w:szCs w:val="24"/>
                <w:highlight w:val="none"/>
              </w:rPr>
              <w:t>以天然气为燃料，</w:t>
            </w:r>
            <w:r>
              <w:rPr>
                <w:rFonts w:hint="eastAsia" w:ascii="宋体" w:hAnsi="Times New Roman" w:eastAsia="宋体" w:cs="Times New Roman"/>
                <w:color w:val="auto"/>
                <w:kern w:val="2"/>
                <w:sz w:val="24"/>
                <w:szCs w:val="24"/>
                <w:highlight w:val="none"/>
                <w:lang w:val="en-US" w:eastAsia="zh-CN" w:bidi="ar-SA"/>
              </w:rPr>
              <w:t>其</w:t>
            </w:r>
            <w:r>
              <w:rPr>
                <w:rFonts w:ascii="Times New Roman" w:hAnsi="Times New Roman" w:eastAsia="宋体" w:cs="Times New Roman"/>
                <w:color w:val="auto"/>
                <w:kern w:val="2"/>
                <w:sz w:val="24"/>
                <w:szCs w:val="24"/>
                <w:highlight w:val="none"/>
                <w:lang w:val="en-US" w:eastAsia="zh-CN" w:bidi="ar-SA"/>
              </w:rPr>
              <w:t>主要污染因子为SO</w:t>
            </w:r>
            <w:r>
              <w:rPr>
                <w:rFonts w:ascii="Times New Roman" w:hAnsi="Times New Roman" w:eastAsia="宋体" w:cs="Times New Roman"/>
                <w:color w:val="auto"/>
                <w:kern w:val="2"/>
                <w:sz w:val="24"/>
                <w:szCs w:val="24"/>
                <w:highlight w:val="none"/>
                <w:vertAlign w:val="subscript"/>
                <w:lang w:val="en-US" w:eastAsia="zh-CN" w:bidi="ar-SA"/>
              </w:rPr>
              <w:t>2</w:t>
            </w:r>
            <w:r>
              <w:rPr>
                <w:rFonts w:ascii="Times New Roman" w:hAnsi="Times New Roman" w:eastAsia="宋体" w:cs="Times New Roman"/>
                <w:color w:val="auto"/>
                <w:kern w:val="2"/>
                <w:sz w:val="24"/>
                <w:szCs w:val="24"/>
                <w:highlight w:val="none"/>
                <w:lang w:val="en-US" w:eastAsia="zh-CN" w:bidi="ar-SA"/>
              </w:rPr>
              <w:t>、NOx、烟尘</w:t>
            </w:r>
            <w:r>
              <w:rPr>
                <w:rFonts w:hint="eastAsia" w:ascii="宋体"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项目天然气</w:t>
            </w:r>
            <w:r>
              <w:rPr>
                <w:rFonts w:hint="eastAsia" w:ascii="Times New Roman" w:hAnsi="Times New Roman" w:eastAsia="宋体" w:cs="Times New Roman"/>
                <w:color w:val="auto"/>
                <w:kern w:val="2"/>
                <w:sz w:val="24"/>
                <w:szCs w:val="24"/>
                <w:highlight w:val="none"/>
                <w:lang w:val="en-US" w:eastAsia="zh-CN" w:bidi="ar-SA"/>
              </w:rPr>
              <w:t>年</w:t>
            </w:r>
            <w:r>
              <w:rPr>
                <w:rFonts w:ascii="Times New Roman" w:hAnsi="Times New Roman" w:eastAsia="宋体" w:cs="Times New Roman"/>
                <w:color w:val="auto"/>
                <w:kern w:val="2"/>
                <w:sz w:val="24"/>
                <w:szCs w:val="24"/>
                <w:highlight w:val="none"/>
                <w:lang w:val="en-US" w:eastAsia="zh-CN" w:bidi="ar-SA"/>
              </w:rPr>
              <w:t>用量为</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0000</w:t>
            </w:r>
            <w:r>
              <w:rPr>
                <w:rFonts w:ascii="Times New Roman" w:hAnsi="Times New Roman" w:eastAsia="宋体" w:cs="Times New Roman"/>
                <w:color w:val="auto"/>
                <w:kern w:val="2"/>
                <w:sz w:val="24"/>
                <w:szCs w:val="24"/>
                <w:highlight w:val="none"/>
                <w:lang w:val="en-US" w:eastAsia="zh-CN" w:bidi="ar-SA"/>
              </w:rPr>
              <w:t>m</w:t>
            </w:r>
            <w:r>
              <w:rPr>
                <w:rFonts w:ascii="Times New Roman" w:hAnsi="Times New Roman" w:eastAsia="宋体" w:cs="Times New Roman"/>
                <w:color w:val="auto"/>
                <w:kern w:val="2"/>
                <w:sz w:val="24"/>
                <w:szCs w:val="24"/>
                <w:highlight w:val="none"/>
                <w:vertAlign w:val="superscript"/>
                <w:lang w:val="en-US" w:eastAsia="zh-CN" w:bidi="ar-SA"/>
              </w:rPr>
              <w:t>3</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年工作300天，每天工作8小时，根据</w:t>
            </w:r>
            <w:r>
              <w:rPr>
                <w:rFonts w:ascii="Times New Roman" w:hAnsi="Times New Roman" w:eastAsia="宋体" w:cs="Times New Roman"/>
                <w:bCs/>
                <w:color w:val="auto"/>
                <w:kern w:val="2"/>
                <w:sz w:val="24"/>
                <w:szCs w:val="24"/>
                <w:highlight w:val="none"/>
                <w:lang w:val="en-US" w:eastAsia="zh-CN" w:bidi="ar-SA"/>
              </w:rPr>
              <w:t>《第一次全国污染源普查工业污染</w:t>
            </w:r>
            <w:r>
              <w:rPr>
                <w:rFonts w:hint="eastAsia" w:ascii="Times New Roman" w:hAnsi="Times New Roman" w:eastAsia="宋体" w:cs="Times New Roman"/>
                <w:bCs/>
                <w:color w:val="auto"/>
                <w:kern w:val="2"/>
                <w:sz w:val="24"/>
                <w:szCs w:val="24"/>
                <w:highlight w:val="none"/>
                <w:lang w:val="en-US" w:eastAsia="zh-CN" w:bidi="ar-SA"/>
              </w:rPr>
              <w:t>源</w:t>
            </w:r>
            <w:r>
              <w:rPr>
                <w:rFonts w:ascii="Times New Roman" w:hAnsi="Times New Roman" w:eastAsia="宋体" w:cs="Times New Roman"/>
                <w:bCs/>
                <w:color w:val="auto"/>
                <w:kern w:val="2"/>
                <w:sz w:val="24"/>
                <w:szCs w:val="24"/>
                <w:highlight w:val="none"/>
                <w:lang w:val="en-US" w:eastAsia="zh-CN" w:bidi="ar-SA"/>
              </w:rPr>
              <w:t>产排污系数手册》中4430工业锅炉产排污系数表-燃气工业锅炉</w:t>
            </w:r>
            <w:r>
              <w:rPr>
                <w:rFonts w:hint="eastAsia" w:ascii="Times New Roman" w:hAnsi="Times New Roman" w:eastAsia="宋体" w:cs="Times New Roman"/>
                <w:bCs/>
                <w:color w:val="auto"/>
                <w:kern w:val="2"/>
                <w:sz w:val="24"/>
                <w:szCs w:val="24"/>
                <w:highlight w:val="none"/>
                <w:lang w:val="en-US" w:eastAsia="zh-CN" w:bidi="ar-SA"/>
              </w:rPr>
              <w:t>和</w:t>
            </w:r>
            <w:r>
              <w:rPr>
                <w:rFonts w:ascii="Times New Roman" w:hAnsi="Times New Roman" w:eastAsia="宋体" w:cs="Times New Roman"/>
                <w:color w:val="auto"/>
                <w:kern w:val="2"/>
                <w:sz w:val="24"/>
                <w:szCs w:val="24"/>
                <w:highlight w:val="none"/>
                <w:lang w:val="en-US" w:eastAsia="zh-CN" w:bidi="ar-SA"/>
              </w:rPr>
              <w:t>《环境保护实用数据手册》（胡名操，机械工业出版社，1994年）</w:t>
            </w:r>
            <w:r>
              <w:rPr>
                <w:rFonts w:hint="eastAsia" w:ascii="Times New Roman" w:hAnsi="Times New Roman" w:eastAsia="宋体" w:cs="Times New Roman"/>
                <w:color w:val="auto"/>
                <w:kern w:val="2"/>
                <w:sz w:val="24"/>
                <w:szCs w:val="24"/>
                <w:highlight w:val="none"/>
                <w:lang w:val="en-US" w:eastAsia="zh-CN" w:bidi="ar-SA"/>
              </w:rPr>
              <w:t>，项目天然气燃烧废气产污系数和计算结果如下表所示：</w:t>
            </w:r>
          </w:p>
          <w:p>
            <w:pPr>
              <w:widowControl/>
              <w:numPr>
                <w:ilvl w:val="0"/>
                <w:numId w:val="0"/>
              </w:numPr>
              <w:tabs>
                <w:tab w:val="left" w:pos="420"/>
              </w:tabs>
              <w:adjustRightInd w:val="0"/>
              <w:snapToGrid w:val="0"/>
              <w:spacing w:line="240" w:lineRule="auto"/>
              <w:ind w:left="471" w:leftChars="0"/>
              <w:jc w:val="center"/>
              <w:rPr>
                <w:rFonts w:ascii="Times New Roman" w:hAnsi="Times New Roman" w:eastAsia="宋体" w:cs="Times New Roman"/>
                <w:b/>
                <w:color w:val="auto"/>
                <w:kern w:val="0"/>
                <w:sz w:val="21"/>
                <w:szCs w:val="21"/>
                <w:highlight w:val="none"/>
                <w:shd w:val="clear" w:color="auto" w:fill="auto"/>
                <w:lang w:val="en-US" w:eastAsia="zh-CN" w:bidi="ar-SA"/>
              </w:rPr>
            </w:pPr>
            <w:r>
              <w:rPr>
                <w:rFonts w:hint="eastAsia" w:cs="Times New Roman"/>
                <w:b/>
                <w:color w:val="auto"/>
                <w:kern w:val="0"/>
                <w:sz w:val="21"/>
                <w:szCs w:val="21"/>
                <w:highlight w:val="none"/>
                <w:shd w:val="clear" w:color="auto" w:fill="auto"/>
                <w:lang w:val="en-US" w:eastAsia="zh-CN" w:bidi="ar-SA"/>
              </w:rPr>
              <w:t xml:space="preserve">表5-4  </w:t>
            </w:r>
            <w:r>
              <w:rPr>
                <w:rFonts w:hint="eastAsia" w:ascii="Times New Roman" w:hAnsi="Times New Roman" w:eastAsia="宋体" w:cs="Times New Roman"/>
                <w:b/>
                <w:color w:val="auto"/>
                <w:kern w:val="0"/>
                <w:sz w:val="21"/>
                <w:szCs w:val="21"/>
                <w:highlight w:val="none"/>
                <w:shd w:val="clear" w:color="auto" w:fill="auto"/>
                <w:lang w:val="en-US" w:eastAsia="zh-CN" w:bidi="ar-SA"/>
              </w:rPr>
              <w:t>天然气燃烧废气产污系数和计算结果</w:t>
            </w:r>
          </w:p>
          <w:tbl>
            <w:tblPr>
              <w:tblStyle w:val="34"/>
              <w:tblW w:w="88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7"/>
              <w:gridCol w:w="1215"/>
              <w:gridCol w:w="1215"/>
              <w:gridCol w:w="2524"/>
              <w:gridCol w:w="1485"/>
              <w:gridCol w:w="15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77" w:type="dxa"/>
                  <w:noWrap w:val="0"/>
                  <w:vAlign w:val="center"/>
                </w:tcPr>
                <w:p>
                  <w:pPr>
                    <w:widowControl w:val="0"/>
                    <w:adjustRightInd w:val="0"/>
                    <w:snapToGrid w:val="0"/>
                    <w:spacing w:after="0" w:line="240" w:lineRule="auto"/>
                    <w:jc w:val="center"/>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原料名称</w:t>
                  </w:r>
                </w:p>
              </w:tc>
              <w:tc>
                <w:tcPr>
                  <w:tcW w:w="1215" w:type="dxa"/>
                  <w:noWrap w:val="0"/>
                  <w:vAlign w:val="center"/>
                </w:tcPr>
                <w:p>
                  <w:pPr>
                    <w:widowControl w:val="0"/>
                    <w:adjustRightInd w:val="0"/>
                    <w:snapToGrid w:val="0"/>
                    <w:spacing w:after="0" w:line="240" w:lineRule="auto"/>
                    <w:jc w:val="center"/>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污染物指标</w:t>
                  </w:r>
                </w:p>
              </w:tc>
              <w:tc>
                <w:tcPr>
                  <w:tcW w:w="1215" w:type="dxa"/>
                  <w:tcBorders>
                    <w:right w:val="single" w:color="auto" w:sz="4" w:space="0"/>
                  </w:tcBorders>
                  <w:noWrap w:val="0"/>
                  <w:vAlign w:val="center"/>
                </w:tcPr>
                <w:p>
                  <w:pPr>
                    <w:widowControl w:val="0"/>
                    <w:adjustRightInd w:val="0"/>
                    <w:snapToGrid w:val="0"/>
                    <w:spacing w:after="0" w:line="240" w:lineRule="auto"/>
                    <w:jc w:val="center"/>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产污系数</w:t>
                  </w:r>
                </w:p>
              </w:tc>
              <w:tc>
                <w:tcPr>
                  <w:tcW w:w="2524" w:type="dxa"/>
                  <w:tcBorders>
                    <w:lef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b/>
                      <w:color w:val="auto"/>
                      <w:kern w:val="2"/>
                      <w:sz w:val="21"/>
                      <w:szCs w:val="21"/>
                      <w:highlight w:val="none"/>
                      <w:lang w:val="en-US" w:eastAsia="zh-CN"/>
                    </w:rPr>
                  </w:pPr>
                  <w:r>
                    <w:rPr>
                      <w:rFonts w:hint="eastAsia" w:ascii="Times New Roman" w:hAnsi="Times New Roman" w:eastAsia="宋体" w:cs="Times New Roman"/>
                      <w:b/>
                      <w:color w:val="auto"/>
                      <w:kern w:val="2"/>
                      <w:sz w:val="21"/>
                      <w:szCs w:val="21"/>
                      <w:highlight w:val="none"/>
                      <w:lang w:val="en-US" w:eastAsia="zh-CN"/>
                    </w:rPr>
                    <w:t>单位</w:t>
                  </w:r>
                </w:p>
              </w:tc>
              <w:tc>
                <w:tcPr>
                  <w:tcW w:w="1485" w:type="dxa"/>
                  <w:tcBorders>
                    <w:right w:val="single" w:color="auto" w:sz="4" w:space="0"/>
                  </w:tcBorders>
                  <w:noWrap w:val="0"/>
                  <w:vAlign w:val="center"/>
                </w:tcPr>
                <w:p>
                  <w:pPr>
                    <w:widowControl w:val="0"/>
                    <w:adjustRightInd w:val="0"/>
                    <w:snapToGrid w:val="0"/>
                    <w:spacing w:after="0" w:line="240" w:lineRule="auto"/>
                    <w:jc w:val="center"/>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系数来源</w:t>
                  </w:r>
                </w:p>
              </w:tc>
              <w:tc>
                <w:tcPr>
                  <w:tcW w:w="1544" w:type="dxa"/>
                  <w:tcBorders>
                    <w:left w:val="single" w:color="auto" w:sz="4" w:space="0"/>
                  </w:tcBorders>
                  <w:noWrap w:val="0"/>
                  <w:vAlign w:val="center"/>
                </w:tcPr>
                <w:p>
                  <w:pPr>
                    <w:widowControl w:val="0"/>
                    <w:adjustRightInd w:val="0"/>
                    <w:snapToGrid w:val="0"/>
                    <w:spacing w:after="0" w:line="240" w:lineRule="auto"/>
                    <w:jc w:val="center"/>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计算结果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77" w:type="dxa"/>
                  <w:vMerge w:val="restart"/>
                  <w:noWrap w:val="0"/>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天然气</w:t>
                  </w:r>
                </w:p>
              </w:tc>
              <w:tc>
                <w:tcPr>
                  <w:tcW w:w="1215" w:type="dxa"/>
                  <w:noWrap w:val="0"/>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工业废气量</w:t>
                  </w:r>
                </w:p>
              </w:tc>
              <w:tc>
                <w:tcPr>
                  <w:tcW w:w="1215" w:type="dxa"/>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136,259.17</w:t>
                  </w:r>
                </w:p>
              </w:tc>
              <w:tc>
                <w:tcPr>
                  <w:tcW w:w="2524" w:type="dxa"/>
                  <w:tcBorders>
                    <w:lef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标立方米/万立方米-原料</w:t>
                  </w:r>
                </w:p>
              </w:tc>
              <w:tc>
                <w:tcPr>
                  <w:tcW w:w="1485" w:type="dxa"/>
                  <w:vMerge w:val="restart"/>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《第一次全国污染源普查工业污染源产排污系数手册》</w:t>
                  </w:r>
                </w:p>
              </w:tc>
              <w:tc>
                <w:tcPr>
                  <w:tcW w:w="1544" w:type="dxa"/>
                  <w:tcBorders>
                    <w:left w:val="single" w:color="auto" w:sz="4" w:space="0"/>
                    <w:bottom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13.63</w:t>
                  </w:r>
                  <w:r>
                    <w:rPr>
                      <w:rFonts w:ascii="Times New Roman" w:hAnsi="Times New Roman" w:eastAsia="宋体" w:cs="Times New Roman"/>
                      <w:color w:val="auto"/>
                      <w:kern w:val="2"/>
                      <w:sz w:val="21"/>
                      <w:szCs w:val="21"/>
                      <w:highlight w:val="none"/>
                      <w:lang w:val="en-US" w:eastAsia="zh-CN" w:bidi="ar-SA"/>
                    </w:rPr>
                    <w:t>×10</w:t>
                  </w:r>
                  <w:r>
                    <w:rPr>
                      <w:rFonts w:ascii="Times New Roman" w:hAnsi="Times New Roman" w:eastAsia="宋体" w:cs="Times New Roman"/>
                      <w:color w:val="auto"/>
                      <w:kern w:val="2"/>
                      <w:sz w:val="21"/>
                      <w:szCs w:val="21"/>
                      <w:highlight w:val="none"/>
                      <w:vertAlign w:val="superscript"/>
                      <w:lang w:val="en-US" w:eastAsia="zh-CN" w:bidi="ar-SA"/>
                    </w:rPr>
                    <w:t>4</w:t>
                  </w:r>
                  <w:r>
                    <w:rPr>
                      <w:rFonts w:ascii="Times New Roman" w:hAnsi="Times New Roman" w:eastAsia="宋体" w:cs="Times New Roman"/>
                      <w:color w:val="auto"/>
                      <w:kern w:val="2"/>
                      <w:sz w:val="21"/>
                      <w:szCs w:val="21"/>
                      <w:highlight w:val="none"/>
                      <w:lang w:val="en-US" w:eastAsia="zh-CN" w:bidi="ar-SA"/>
                    </w:rPr>
                    <w:t>m</w:t>
                  </w:r>
                  <w:r>
                    <w:rPr>
                      <w:rFonts w:ascii="Times New Roman" w:hAnsi="Times New Roman" w:eastAsia="宋体" w:cs="Times New Roman"/>
                      <w:color w:val="auto"/>
                      <w:kern w:val="2"/>
                      <w:sz w:val="21"/>
                      <w:szCs w:val="21"/>
                      <w:highlight w:val="none"/>
                      <w:vertAlign w:val="superscript"/>
                      <w:lang w:val="en-US" w:eastAsia="zh-CN" w:bidi="ar-SA"/>
                    </w:rPr>
                    <w:t>3</w:t>
                  </w:r>
                  <w:r>
                    <w:rPr>
                      <w:rFonts w:ascii="Times New Roman" w:hAnsi="Times New Roman" w:eastAsia="宋体" w:cs="Times New Roman"/>
                      <w:color w:val="auto"/>
                      <w:kern w:val="2"/>
                      <w:sz w:val="21"/>
                      <w:szCs w:val="21"/>
                      <w:highlight w:val="none"/>
                      <w:lang w:val="en-US" w:eastAsia="zh-CN" w:bidi="ar-SA"/>
                    </w:rPr>
                    <w:t>/a</w:t>
                  </w:r>
                  <w:r>
                    <w:rPr>
                      <w:rFonts w:hint="default" w:ascii="Times New Roman" w:hAnsi="Times New Roman" w:eastAsia="宋体" w:cs="Times New Roman"/>
                      <w:color w:val="auto"/>
                      <w:kern w:val="2"/>
                      <w:sz w:val="21"/>
                      <w:szCs w:val="21"/>
                      <w:highlight w:val="none"/>
                      <w:lang w:val="en-US"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77" w:type="dxa"/>
                  <w:vMerge w:val="continue"/>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p>
              </w:tc>
              <w:tc>
                <w:tcPr>
                  <w:tcW w:w="1215" w:type="dxa"/>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1215" w:type="dxa"/>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0.02S</w:t>
                  </w:r>
                  <w:r>
                    <w:rPr>
                      <w:rFonts w:hint="default" w:ascii="Times New Roman" w:hAnsi="Times New Roman" w:eastAsia="宋体" w:cs="Times New Roman"/>
                      <w:color w:val="auto"/>
                      <w:kern w:val="2"/>
                      <w:sz w:val="21"/>
                      <w:szCs w:val="21"/>
                      <w:highlight w:val="none"/>
                      <w:vertAlign w:val="superscript"/>
                      <w:lang w:eastAsia="zh-CN"/>
                    </w:rPr>
                    <w:fldChar w:fldCharType="begin"/>
                  </w:r>
                  <w:r>
                    <w:rPr>
                      <w:rFonts w:hint="default" w:ascii="Times New Roman" w:hAnsi="Times New Roman" w:eastAsia="宋体" w:cs="Times New Roman"/>
                      <w:color w:val="auto"/>
                      <w:kern w:val="2"/>
                      <w:sz w:val="21"/>
                      <w:szCs w:val="21"/>
                      <w:highlight w:val="none"/>
                      <w:vertAlign w:val="superscript"/>
                      <w:lang w:eastAsia="zh-CN"/>
                    </w:rPr>
                    <w:instrText xml:space="preserve"> = 1 \* GB3 </w:instrText>
                  </w:r>
                  <w:r>
                    <w:rPr>
                      <w:rFonts w:hint="default" w:ascii="Times New Roman" w:hAnsi="Times New Roman" w:eastAsia="宋体" w:cs="Times New Roman"/>
                      <w:color w:val="auto"/>
                      <w:kern w:val="2"/>
                      <w:sz w:val="21"/>
                      <w:szCs w:val="21"/>
                      <w:highlight w:val="none"/>
                      <w:vertAlign w:val="superscript"/>
                      <w:lang w:eastAsia="zh-CN"/>
                    </w:rPr>
                    <w:fldChar w:fldCharType="separate"/>
                  </w:r>
                  <w:r>
                    <w:rPr>
                      <w:rFonts w:hint="default" w:ascii="Times New Roman" w:hAnsi="Times New Roman" w:eastAsia="宋体" w:cs="Times New Roman"/>
                      <w:color w:val="auto"/>
                      <w:kern w:val="2"/>
                      <w:sz w:val="21"/>
                      <w:szCs w:val="21"/>
                      <w:highlight w:val="none"/>
                      <w:vertAlign w:val="superscript"/>
                      <w:lang w:eastAsia="zh-CN"/>
                    </w:rPr>
                    <w:t>①</w:t>
                  </w:r>
                  <w:r>
                    <w:rPr>
                      <w:rFonts w:hint="default" w:ascii="Times New Roman" w:hAnsi="Times New Roman" w:eastAsia="宋体" w:cs="Times New Roman"/>
                      <w:color w:val="auto"/>
                      <w:kern w:val="2"/>
                      <w:sz w:val="21"/>
                      <w:szCs w:val="21"/>
                      <w:highlight w:val="none"/>
                      <w:vertAlign w:val="superscript"/>
                      <w:lang w:eastAsia="zh-CN"/>
                    </w:rPr>
                    <w:fldChar w:fldCharType="end"/>
                  </w:r>
                </w:p>
              </w:tc>
              <w:tc>
                <w:tcPr>
                  <w:tcW w:w="2524" w:type="dxa"/>
                  <w:tcBorders>
                    <w:left w:val="single" w:color="auto" w:sz="4" w:space="0"/>
                  </w:tcBorders>
                  <w:noWrap w:val="0"/>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标立方米/万立方米-原料</w:t>
                  </w:r>
                </w:p>
              </w:tc>
              <w:tc>
                <w:tcPr>
                  <w:tcW w:w="1485" w:type="dxa"/>
                  <w:vMerge w:val="continue"/>
                  <w:tcBorders>
                    <w:bottom w:val="single" w:color="auto" w:sz="4" w:space="0"/>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p>
              </w:tc>
              <w:tc>
                <w:tcPr>
                  <w:tcW w:w="1544" w:type="dxa"/>
                  <w:tcBorders>
                    <w:top w:val="single" w:color="auto" w:sz="4" w:space="0"/>
                    <w:left w:val="single" w:color="auto" w:sz="4" w:space="0"/>
                    <w:bottom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0.004</w:t>
                  </w:r>
                  <w:r>
                    <w:rPr>
                      <w:rFonts w:ascii="Times New Roman" w:hAnsi="Times New Roman" w:eastAsia="宋体" w:cs="Times New Roman"/>
                      <w:color w:val="auto"/>
                      <w:kern w:val="2"/>
                      <w:sz w:val="21"/>
                      <w:szCs w:val="21"/>
                      <w:highlight w:val="none"/>
                      <w:lang w:val="en-US" w:eastAsia="zh-CN" w:bidi="ar-SA"/>
                    </w:rPr>
                    <w:t>t/a</w:t>
                  </w:r>
                  <w:r>
                    <w:rPr>
                      <w:rFonts w:hint="default" w:ascii="Times New Roman" w:hAnsi="Times New Roman" w:eastAsia="宋体" w:cs="Times New Roman"/>
                      <w:color w:val="auto"/>
                      <w:kern w:val="2"/>
                      <w:sz w:val="21"/>
                      <w:szCs w:val="21"/>
                      <w:highlight w:val="none"/>
                      <w:lang w:val="en-US"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77" w:type="dxa"/>
                  <w:vMerge w:val="continue"/>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p>
              </w:tc>
              <w:tc>
                <w:tcPr>
                  <w:tcW w:w="1215" w:type="dxa"/>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x</w:t>
                  </w:r>
                </w:p>
              </w:tc>
              <w:tc>
                <w:tcPr>
                  <w:tcW w:w="1215" w:type="dxa"/>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6.3</w:t>
                  </w:r>
                </w:p>
              </w:tc>
              <w:tc>
                <w:tcPr>
                  <w:tcW w:w="2524" w:type="dxa"/>
                  <w:tcBorders>
                    <w:lef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千克/万立方米-原料</w:t>
                  </w:r>
                </w:p>
              </w:tc>
              <w:tc>
                <w:tcPr>
                  <w:tcW w:w="1485" w:type="dxa"/>
                  <w:vMerge w:val="restart"/>
                  <w:tcBorders>
                    <w:top w:val="single" w:color="auto" w:sz="4" w:space="0"/>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《环境保护实用数据手册》</w:t>
                  </w:r>
                </w:p>
              </w:tc>
              <w:tc>
                <w:tcPr>
                  <w:tcW w:w="1544" w:type="dxa"/>
                  <w:tcBorders>
                    <w:top w:val="single" w:color="auto" w:sz="4" w:space="0"/>
                    <w:left w:val="single" w:color="auto" w:sz="4" w:space="0"/>
                    <w:bottom w:val="single" w:color="auto" w:sz="4" w:space="0"/>
                  </w:tcBorders>
                  <w:noWrap w:val="0"/>
                  <w:vAlign w:val="center"/>
                </w:tcPr>
                <w:p>
                  <w:pPr>
                    <w:widowControl w:val="0"/>
                    <w:adjustRightInd w:val="0"/>
                    <w:snapToGrid w:val="0"/>
                    <w:spacing w:after="0" w:line="240" w:lineRule="auto"/>
                    <w:jc w:val="center"/>
                    <w:rPr>
                      <w:rFonts w:hint="default" w:cs="Times New Roman"/>
                      <w:color w:val="auto"/>
                      <w:kern w:val="2"/>
                      <w:sz w:val="21"/>
                      <w:szCs w:val="21"/>
                      <w:highlight w:val="none"/>
                      <w:lang w:val="en-US" w:eastAsia="zh-CN"/>
                    </w:rPr>
                  </w:pPr>
                  <w:r>
                    <w:rPr>
                      <w:rFonts w:hint="default" w:cs="Times New Roman"/>
                      <w:color w:val="auto"/>
                      <w:kern w:val="2"/>
                      <w:sz w:val="21"/>
                      <w:szCs w:val="21"/>
                      <w:highlight w:val="none"/>
                      <w:lang w:val="en-US" w:eastAsia="zh-CN"/>
                    </w:rPr>
                    <w:t xml:space="preserve">0.006 </w:t>
                  </w:r>
                  <w:r>
                    <w:rPr>
                      <w:rFonts w:hint="eastAsia" w:cs="Times New Roman"/>
                      <w:color w:val="auto"/>
                      <w:kern w:val="2"/>
                      <w:sz w:val="21"/>
                      <w:szCs w:val="21"/>
                      <w:highlight w:val="none"/>
                      <w:lang w:val="en-US" w:eastAsia="zh-CN"/>
                    </w:rPr>
                    <w:t>t/a</w:t>
                  </w:r>
                  <w:r>
                    <w:rPr>
                      <w:rFonts w:hint="default" w:cs="Times New Roman"/>
                      <w:color w:val="auto"/>
                      <w:kern w:val="2"/>
                      <w:sz w:val="21"/>
                      <w:szCs w:val="21"/>
                      <w:highlight w:val="none"/>
                      <w:lang w:val="en-US"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877" w:type="dxa"/>
                  <w:vMerge w:val="continue"/>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p>
              </w:tc>
              <w:tc>
                <w:tcPr>
                  <w:tcW w:w="1215" w:type="dxa"/>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烟尘</w:t>
                  </w:r>
                </w:p>
              </w:tc>
              <w:tc>
                <w:tcPr>
                  <w:tcW w:w="1215" w:type="dxa"/>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2.4</w:t>
                  </w:r>
                </w:p>
              </w:tc>
              <w:tc>
                <w:tcPr>
                  <w:tcW w:w="2524" w:type="dxa"/>
                  <w:tcBorders>
                    <w:lef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千克/万立方米-原料</w:t>
                  </w:r>
                </w:p>
              </w:tc>
              <w:tc>
                <w:tcPr>
                  <w:tcW w:w="1485" w:type="dxa"/>
                  <w:vMerge w:val="continue"/>
                  <w:tcBorders>
                    <w:right w:val="single" w:color="auto" w:sz="4" w:space="0"/>
                  </w:tcBorders>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rPr>
                  </w:pPr>
                </w:p>
              </w:tc>
              <w:tc>
                <w:tcPr>
                  <w:tcW w:w="1544" w:type="dxa"/>
                  <w:tcBorders>
                    <w:top w:val="single" w:color="auto" w:sz="4" w:space="0"/>
                    <w:left w:val="single" w:color="auto" w:sz="4" w:space="0"/>
                  </w:tcBorders>
                  <w:noWrap w:val="0"/>
                  <w:vAlign w:val="center"/>
                </w:tcPr>
                <w:p>
                  <w:pPr>
                    <w:widowControl w:val="0"/>
                    <w:adjustRightInd w:val="0"/>
                    <w:snapToGrid w:val="0"/>
                    <w:spacing w:after="0" w:line="240" w:lineRule="auto"/>
                    <w:jc w:val="center"/>
                    <w:rPr>
                      <w:rFonts w:hint="default" w:cs="Times New Roman"/>
                      <w:color w:val="auto"/>
                      <w:kern w:val="2"/>
                      <w:sz w:val="21"/>
                      <w:szCs w:val="21"/>
                      <w:highlight w:val="none"/>
                      <w:lang w:val="en-US" w:eastAsia="zh-CN"/>
                    </w:rPr>
                  </w:pPr>
                  <w:r>
                    <w:rPr>
                      <w:rFonts w:hint="default" w:cs="Times New Roman"/>
                      <w:color w:val="auto"/>
                      <w:kern w:val="2"/>
                      <w:sz w:val="21"/>
                      <w:szCs w:val="21"/>
                      <w:highlight w:val="none"/>
                      <w:lang w:val="en-US" w:eastAsia="zh-CN"/>
                    </w:rPr>
                    <w:t>0.002</w:t>
                  </w:r>
                  <w:r>
                    <w:rPr>
                      <w:rFonts w:hint="eastAsia" w:cs="Times New Roman"/>
                      <w:color w:val="auto"/>
                      <w:kern w:val="2"/>
                      <w:sz w:val="21"/>
                      <w:szCs w:val="21"/>
                      <w:highlight w:val="none"/>
                      <w:lang w:val="en-US" w:eastAsia="zh-CN"/>
                    </w:rPr>
                    <w:t>t/a</w:t>
                  </w:r>
                  <w:r>
                    <w:rPr>
                      <w:rFonts w:hint="default" w:cs="Times New Roman"/>
                      <w:color w:val="auto"/>
                      <w:kern w:val="2"/>
                      <w:sz w:val="21"/>
                      <w:szCs w:val="21"/>
                      <w:highlight w:val="none"/>
                      <w:lang w:val="en-US" w:eastAsia="zh-CN"/>
                    </w:rPr>
                    <w:t xml:space="preserve"> </w:t>
                  </w:r>
                </w:p>
              </w:tc>
            </w:tr>
          </w:tbl>
          <w:p>
            <w:pPr>
              <w:pStyle w:val="2"/>
              <w:spacing w:line="360" w:lineRule="auto"/>
              <w:jc w:val="left"/>
              <w:rPr>
                <w:rFonts w:hint="eastAsia"/>
                <w:b w:val="0"/>
                <w:bCs w:val="0"/>
                <w:color w:val="auto"/>
                <w:kern w:val="0"/>
                <w:sz w:val="24"/>
                <w:szCs w:val="24"/>
                <w:highlight w:val="none"/>
              </w:rPr>
            </w:pPr>
            <w:r>
              <w:rPr>
                <w:rFonts w:hint="eastAsia" w:ascii="Times New Roman" w:hAnsi="Times New Roman"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注：</w:t>
            </w:r>
            <w:r>
              <w:rPr>
                <w:rFonts w:hint="eastAsia" w:ascii="Times New Roman" w:hAnsi="Times New Roman" w:eastAsia="宋体" w:cs="Times New Roman"/>
                <w:color w:val="auto"/>
                <w:kern w:val="2"/>
                <w:sz w:val="21"/>
                <w:szCs w:val="21"/>
                <w:highlight w:val="none"/>
                <w:lang w:val="en-US" w:eastAsia="zh-CN" w:bidi="ar-SA"/>
              </w:rPr>
              <w:fldChar w:fldCharType="begin"/>
            </w:r>
            <w:r>
              <w:rPr>
                <w:rFonts w:hint="eastAsia" w:ascii="Times New Roman" w:hAnsi="Times New Roman" w:eastAsia="宋体" w:cs="Times New Roman"/>
                <w:color w:val="auto"/>
                <w:kern w:val="2"/>
                <w:sz w:val="21"/>
                <w:szCs w:val="21"/>
                <w:highlight w:val="none"/>
                <w:lang w:val="en-US" w:eastAsia="zh-CN" w:bidi="ar-SA"/>
              </w:rPr>
              <w:instrText xml:space="preserve"> = 1 \* GB3 </w:instrText>
            </w:r>
            <w:r>
              <w:rPr>
                <w:rFonts w:hint="eastAsia" w:ascii="Times New Roman" w:hAnsi="Times New Roman" w:eastAsia="宋体" w:cs="Times New Roman"/>
                <w:color w:val="auto"/>
                <w:kern w:val="2"/>
                <w:sz w:val="21"/>
                <w:szCs w:val="21"/>
                <w:highlight w:val="none"/>
                <w:lang w:val="en-US" w:eastAsia="zh-CN" w:bidi="ar-SA"/>
              </w:rPr>
              <w:fldChar w:fldCharType="separate"/>
            </w:r>
            <w:r>
              <w:rPr>
                <w:rFonts w:hint="eastAsia" w:ascii="Times New Roman" w:hAnsi="Times New Roman" w:eastAsia="宋体" w:cs="Times New Roman"/>
                <w:color w:val="auto"/>
                <w:kern w:val="2"/>
                <w:sz w:val="21"/>
                <w:szCs w:val="21"/>
                <w:highlight w:val="none"/>
                <w:lang w:val="en-US" w:eastAsia="zh-CN" w:bidi="ar-SA"/>
              </w:rPr>
              <w:t>①</w:t>
            </w:r>
            <w:r>
              <w:rPr>
                <w:rFonts w:hint="eastAsia" w:ascii="Times New Roman" w:hAnsi="Times New Roman" w:eastAsia="宋体" w:cs="Times New Roman"/>
                <w:color w:val="auto"/>
                <w:kern w:val="2"/>
                <w:sz w:val="21"/>
                <w:szCs w:val="21"/>
                <w:highlight w:val="none"/>
                <w:lang w:val="en-US" w:eastAsia="zh-CN" w:bidi="ar-SA"/>
              </w:rPr>
              <w:fldChar w:fldCharType="end"/>
            </w:r>
            <w:r>
              <w:rPr>
                <w:rFonts w:hint="eastAsia" w:ascii="Times New Roman" w:hAnsi="Times New Roman" w:eastAsia="宋体" w:cs="Times New Roman"/>
                <w:color w:val="auto"/>
                <w:kern w:val="2"/>
                <w:sz w:val="21"/>
                <w:szCs w:val="21"/>
                <w:highlight w:val="none"/>
                <w:lang w:val="en-US" w:eastAsia="zh-CN" w:bidi="ar-SA"/>
              </w:rPr>
              <w:t>产排污系数表中二氧化硫的产排污系数是以含硫量（S）的形式表示的，其中含硫量（S）是指燃气收到基硫分含量，单位为毫克/立方米。例如燃料中含硫量（S）为200毫克/立方米，则S=200。根据《天然气》（GB17820-2012），作为民用燃料的二类天然气，总硫含量应符合≤200mg/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的技术指标。本项目所用天然气含硫量按200mg/m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计。</w:t>
            </w:r>
            <w:r>
              <w:rPr>
                <w:rFonts w:hint="eastAsia"/>
                <w:color w:val="auto"/>
                <w:highlight w:val="none"/>
                <w:lang w:val="en-US" w:eastAsia="zh-CN"/>
              </w:rPr>
              <w:t xml:space="preserve"> </w:t>
            </w:r>
          </w:p>
          <w:p>
            <w:pPr>
              <w:widowControl w:val="0"/>
              <w:spacing w:after="0" w:line="360" w:lineRule="auto"/>
              <w:ind w:firstLine="480" w:firstLineChars="200"/>
              <w:jc w:val="both"/>
              <w:rPr>
                <w:rFonts w:ascii="宋体" w:hAnsi="宋体" w:eastAsia="宋体" w:cs="Times New Roman"/>
                <w:color w:val="auto"/>
                <w:kern w:val="2"/>
                <w:sz w:val="24"/>
                <w:szCs w:val="24"/>
                <w:highlight w:val="none"/>
                <w:lang w:val="en-US" w:eastAsia="zh-CN" w:bidi="ar-SA"/>
              </w:rPr>
            </w:pPr>
            <w:r>
              <w:rPr>
                <w:rFonts w:hint="eastAsia" w:ascii="宋体" w:hAnsi="Times New Roman" w:eastAsia="宋体" w:cs="Times New Roman"/>
                <w:color w:val="auto"/>
                <w:kern w:val="2"/>
                <w:sz w:val="24"/>
                <w:szCs w:val="24"/>
                <w:highlight w:val="none"/>
                <w:lang w:val="en-US" w:eastAsia="zh-CN" w:bidi="ar-SA"/>
              </w:rPr>
              <w:t>天然气</w:t>
            </w:r>
            <w:r>
              <w:rPr>
                <w:rFonts w:hint="eastAsia" w:ascii="宋体" w:hAnsi="宋体" w:eastAsia="宋体" w:cs="Times New Roman"/>
                <w:color w:val="auto"/>
                <w:kern w:val="2"/>
                <w:sz w:val="24"/>
                <w:szCs w:val="24"/>
                <w:highlight w:val="none"/>
                <w:lang w:val="en-US" w:eastAsia="zh-CN" w:bidi="ar-SA"/>
              </w:rPr>
              <w:t>属于清洁能源，</w:t>
            </w:r>
            <w:r>
              <w:rPr>
                <w:rFonts w:ascii="宋体" w:hAnsi="宋体" w:eastAsia="宋体" w:cs="Times New Roman"/>
                <w:color w:val="auto"/>
                <w:kern w:val="2"/>
                <w:sz w:val="24"/>
                <w:szCs w:val="24"/>
                <w:highlight w:val="none"/>
                <w:lang w:val="en-US" w:eastAsia="zh-CN" w:bidi="ar-SA"/>
              </w:rPr>
              <w:t>其燃烧产生的大气污染物排放量较低，</w:t>
            </w:r>
            <w:r>
              <w:rPr>
                <w:rFonts w:hint="eastAsia" w:ascii="宋体" w:hAnsi="宋体" w:eastAsia="宋体" w:cs="Times New Roman"/>
                <w:color w:val="auto"/>
                <w:kern w:val="2"/>
                <w:sz w:val="24"/>
                <w:szCs w:val="24"/>
                <w:highlight w:val="none"/>
                <w:lang w:val="en-US" w:eastAsia="zh-CN" w:bidi="ar-SA"/>
              </w:rPr>
              <w:t>拟设</w:t>
            </w:r>
            <w:r>
              <w:rPr>
                <w:rFonts w:ascii="宋体" w:hAnsi="宋体" w:eastAsia="宋体" w:cs="Times New Roman"/>
                <w:color w:val="auto"/>
                <w:kern w:val="2"/>
                <w:sz w:val="24"/>
                <w:szCs w:val="24"/>
                <w:highlight w:val="none"/>
                <w:lang w:val="en-US" w:eastAsia="zh-CN" w:bidi="ar-SA"/>
              </w:rPr>
              <w:t>集气装置收集后引至楼顶高空排放</w:t>
            </w:r>
            <w:r>
              <w:rPr>
                <w:rFonts w:ascii="Times New Roman" w:hAnsi="Times New Roman" w:eastAsia="宋体" w:cs="Times New Roman"/>
                <w:color w:val="auto"/>
                <w:kern w:val="2"/>
                <w:sz w:val="24"/>
                <w:szCs w:val="24"/>
                <w:highlight w:val="none"/>
                <w:lang w:val="en-US" w:eastAsia="zh-CN" w:bidi="ar-SA"/>
              </w:rPr>
              <w:t>（编号为G2）</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排气筒高度为15米。</w:t>
            </w:r>
            <w:r>
              <w:rPr>
                <w:rFonts w:hint="eastAsia" w:ascii="宋体" w:hAnsi="宋体" w:eastAsia="宋体" w:cs="Times New Roman"/>
                <w:color w:val="auto"/>
                <w:kern w:val="2"/>
                <w:sz w:val="24"/>
                <w:szCs w:val="24"/>
                <w:highlight w:val="none"/>
                <w:lang w:val="en-US" w:eastAsia="zh-CN" w:bidi="ar-SA"/>
              </w:rPr>
              <w:t>项目燃料废气产生和排放情况如下表所示。</w:t>
            </w:r>
          </w:p>
          <w:p>
            <w:pPr>
              <w:widowControl/>
              <w:numPr>
                <w:ilvl w:val="0"/>
                <w:numId w:val="0"/>
              </w:numPr>
              <w:tabs>
                <w:tab w:val="left" w:pos="420"/>
              </w:tabs>
              <w:adjustRightInd w:val="0"/>
              <w:snapToGrid w:val="0"/>
              <w:spacing w:line="240" w:lineRule="auto"/>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表5-5  </w:t>
            </w:r>
            <w:r>
              <w:rPr>
                <w:rFonts w:ascii="Times New Roman" w:hAnsi="Times New Roman" w:eastAsia="宋体" w:cs="Times New Roman"/>
                <w:b/>
                <w:color w:val="auto"/>
                <w:kern w:val="0"/>
                <w:sz w:val="21"/>
                <w:szCs w:val="21"/>
                <w:highlight w:val="none"/>
                <w:lang w:val="en-US" w:eastAsia="zh-CN" w:bidi="ar-SA"/>
              </w:rPr>
              <w:t>项目</w:t>
            </w:r>
            <w:r>
              <w:rPr>
                <w:rFonts w:hint="eastAsia" w:ascii="Times New Roman" w:hAnsi="Times New Roman" w:eastAsia="宋体" w:cs="Times New Roman"/>
                <w:b/>
                <w:color w:val="auto"/>
                <w:kern w:val="0"/>
                <w:sz w:val="21"/>
                <w:szCs w:val="21"/>
                <w:highlight w:val="none"/>
                <w:lang w:val="en-US" w:eastAsia="zh-CN" w:bidi="ar-SA"/>
              </w:rPr>
              <w:t>燃料</w:t>
            </w:r>
            <w:r>
              <w:rPr>
                <w:rFonts w:ascii="Times New Roman" w:hAnsi="Times New Roman" w:eastAsia="宋体" w:cs="Times New Roman"/>
                <w:b/>
                <w:color w:val="auto"/>
                <w:kern w:val="0"/>
                <w:sz w:val="21"/>
                <w:szCs w:val="21"/>
                <w:highlight w:val="none"/>
                <w:lang w:val="en-US" w:eastAsia="zh-CN" w:bidi="ar-SA"/>
              </w:rPr>
              <w:t>废气</w:t>
            </w:r>
            <w:r>
              <w:rPr>
                <w:rFonts w:hint="eastAsia" w:ascii="Times New Roman" w:hAnsi="Times New Roman" w:eastAsia="宋体" w:cs="Times New Roman"/>
                <w:b/>
                <w:color w:val="auto"/>
                <w:kern w:val="0"/>
                <w:sz w:val="21"/>
                <w:szCs w:val="21"/>
                <w:highlight w:val="none"/>
                <w:lang w:val="en-US" w:eastAsia="zh-CN" w:bidi="ar-SA"/>
              </w:rPr>
              <w:t>产生和</w:t>
            </w:r>
            <w:r>
              <w:rPr>
                <w:rFonts w:ascii="Times New Roman" w:hAnsi="Times New Roman" w:eastAsia="宋体" w:cs="Times New Roman"/>
                <w:b/>
                <w:color w:val="auto"/>
                <w:kern w:val="0"/>
                <w:sz w:val="21"/>
                <w:szCs w:val="21"/>
                <w:highlight w:val="none"/>
                <w:lang w:val="en-US" w:eastAsia="zh-CN" w:bidi="ar-SA"/>
              </w:rPr>
              <w:t>排放情况一览表</w:t>
            </w:r>
          </w:p>
          <w:tbl>
            <w:tblPr>
              <w:tblStyle w:val="35"/>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135"/>
              <w:gridCol w:w="1135"/>
              <w:gridCol w:w="1210"/>
              <w:gridCol w:w="1084"/>
              <w:gridCol w:w="1159"/>
              <w:gridCol w:w="1254"/>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70"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污染物</w:t>
                  </w:r>
                </w:p>
              </w:tc>
              <w:tc>
                <w:tcPr>
                  <w:tcW w:w="1135" w:type="dxa"/>
                  <w:tcBorders>
                    <w:tl2br w:val="nil"/>
                    <w:tr2bl w:val="nil"/>
                  </w:tcBorders>
                  <w:vAlign w:val="center"/>
                </w:tcPr>
                <w:p>
                  <w:pPr>
                    <w:widowControl w:val="0"/>
                    <w:kinsoku w:val="0"/>
                    <w:snapToGrid w:val="0"/>
                    <w:spacing w:after="0" w:line="240" w:lineRule="auto"/>
                    <w:jc w:val="center"/>
                    <w:outlineLvl w:val="0"/>
                    <w:rPr>
                      <w:rFonts w:hint="eastAsia" w:ascii="Times New Roman" w:hAnsi="Times New Roman" w:eastAsia="宋体" w:cs="Times New Roman"/>
                      <w:b/>
                      <w:color w:val="auto"/>
                      <w:kern w:val="2"/>
                      <w:sz w:val="21"/>
                      <w:szCs w:val="21"/>
                      <w:highlight w:val="none"/>
                      <w:lang w:eastAsia="zh-CN"/>
                    </w:rPr>
                  </w:pPr>
                  <w:r>
                    <w:rPr>
                      <w:rFonts w:hint="eastAsia" w:ascii="Times New Roman" w:hAnsi="Times New Roman" w:eastAsia="宋体" w:cs="Times New Roman"/>
                      <w:b/>
                      <w:color w:val="auto"/>
                      <w:kern w:val="2"/>
                      <w:sz w:val="21"/>
                      <w:szCs w:val="21"/>
                      <w:highlight w:val="none"/>
                      <w:lang w:eastAsia="zh-CN"/>
                    </w:rPr>
                    <w:t>废气量</w:t>
                  </w:r>
                </w:p>
              </w:tc>
              <w:tc>
                <w:tcPr>
                  <w:tcW w:w="1135"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产生浓度（mg/m³）</w:t>
                  </w:r>
                </w:p>
              </w:tc>
              <w:tc>
                <w:tcPr>
                  <w:tcW w:w="1210"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产生速率</w:t>
                  </w:r>
                </w:p>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（kg/h）</w:t>
                  </w:r>
                </w:p>
              </w:tc>
              <w:tc>
                <w:tcPr>
                  <w:tcW w:w="1084"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产生量</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w:t>
                  </w:r>
                  <w:r>
                    <w:rPr>
                      <w:rFonts w:hint="eastAsia" w:ascii="Times New Roman" w:hAnsi="Times New Roman" w:eastAsia="宋体" w:cs="Times New Roman"/>
                      <w:b/>
                      <w:color w:val="auto"/>
                      <w:kern w:val="2"/>
                      <w:sz w:val="21"/>
                      <w:szCs w:val="21"/>
                      <w:highlight w:val="none"/>
                    </w:rPr>
                    <w:t>t</w:t>
                  </w:r>
                  <w:r>
                    <w:rPr>
                      <w:rFonts w:ascii="Times New Roman" w:hAnsi="Times New Roman" w:eastAsia="宋体" w:cs="Times New Roman"/>
                      <w:b/>
                      <w:color w:val="auto"/>
                      <w:kern w:val="2"/>
                      <w:sz w:val="21"/>
                      <w:szCs w:val="21"/>
                      <w:highlight w:val="none"/>
                    </w:rPr>
                    <w:t>/a）</w:t>
                  </w:r>
                </w:p>
              </w:tc>
              <w:tc>
                <w:tcPr>
                  <w:tcW w:w="1159"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排放浓度</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（mg/m³）</w:t>
                  </w:r>
                </w:p>
              </w:tc>
              <w:tc>
                <w:tcPr>
                  <w:tcW w:w="1254"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排放速率</w:t>
                  </w:r>
                </w:p>
                <w:p>
                  <w:pPr>
                    <w:widowControl w:val="0"/>
                    <w:kinsoku w:val="0"/>
                    <w:snapToGrid w:val="0"/>
                    <w:spacing w:after="0" w:line="240" w:lineRule="auto"/>
                    <w:jc w:val="center"/>
                    <w:outlineLvl w:val="0"/>
                    <w:rPr>
                      <w:rFonts w:ascii="Times New Roman" w:hAnsi="Times New Roman" w:eastAsia="宋体" w:cs="Times New Roman"/>
                      <w:bCs/>
                      <w:color w:val="auto"/>
                      <w:kern w:val="2"/>
                      <w:sz w:val="21"/>
                      <w:szCs w:val="21"/>
                      <w:highlight w:val="none"/>
                    </w:rPr>
                  </w:pPr>
                  <w:r>
                    <w:rPr>
                      <w:rFonts w:ascii="Times New Roman" w:hAnsi="Times New Roman" w:eastAsia="宋体" w:cs="Times New Roman"/>
                      <w:b/>
                      <w:color w:val="auto"/>
                      <w:kern w:val="2"/>
                      <w:sz w:val="21"/>
                      <w:szCs w:val="21"/>
                      <w:highlight w:val="none"/>
                    </w:rPr>
                    <w:t>（kg/h）</w:t>
                  </w:r>
                </w:p>
              </w:tc>
              <w:tc>
                <w:tcPr>
                  <w:tcW w:w="1128" w:type="dxa"/>
                  <w:tcBorders>
                    <w:tl2br w:val="nil"/>
                    <w:tr2bl w:val="nil"/>
                  </w:tcBorders>
                  <w:vAlign w:val="center"/>
                </w:tcPr>
                <w:p>
                  <w:pPr>
                    <w:widowControl w:val="0"/>
                    <w:kinsoku w:val="0"/>
                    <w:snapToGrid w:val="0"/>
                    <w:spacing w:after="0" w:line="240" w:lineRule="auto"/>
                    <w:jc w:val="center"/>
                    <w:outlineLvl w:val="0"/>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排放量</w:t>
                  </w:r>
                </w:p>
                <w:p>
                  <w:pPr>
                    <w:widowControl w:val="0"/>
                    <w:kinsoku w:val="0"/>
                    <w:snapToGrid w:val="0"/>
                    <w:spacing w:after="0" w:line="240" w:lineRule="auto"/>
                    <w:jc w:val="center"/>
                    <w:outlineLvl w:val="0"/>
                    <w:rPr>
                      <w:rFonts w:ascii="Times New Roman" w:hAnsi="Times New Roman" w:eastAsia="宋体" w:cs="Times New Roman"/>
                      <w:color w:val="auto"/>
                      <w:kern w:val="2"/>
                      <w:sz w:val="21"/>
                      <w:szCs w:val="24"/>
                      <w:highlight w:val="none"/>
                    </w:rPr>
                  </w:pPr>
                  <w:r>
                    <w:rPr>
                      <w:rFonts w:ascii="Times New Roman" w:hAnsi="Times New Roman" w:eastAsia="宋体" w:cs="Times New Roman"/>
                      <w:b/>
                      <w:color w:val="auto"/>
                      <w:kern w:val="2"/>
                      <w:sz w:val="21"/>
                      <w:szCs w:val="21"/>
                      <w:highlight w:val="none"/>
                    </w:rPr>
                    <w:t>（</w:t>
                  </w:r>
                  <w:r>
                    <w:rPr>
                      <w:rFonts w:hint="eastAsia" w:ascii="Times New Roman" w:hAnsi="Times New Roman" w:eastAsia="宋体" w:cs="Times New Roman"/>
                      <w:b/>
                      <w:color w:val="auto"/>
                      <w:kern w:val="2"/>
                      <w:sz w:val="21"/>
                      <w:szCs w:val="21"/>
                      <w:highlight w:val="none"/>
                    </w:rPr>
                    <w:t>t</w:t>
                  </w:r>
                  <w:r>
                    <w:rPr>
                      <w:rFonts w:ascii="Times New Roman" w:hAnsi="Times New Roman" w:eastAsia="宋体" w:cs="Times New Roman"/>
                      <w:b/>
                      <w:color w:val="auto"/>
                      <w:kern w:val="2"/>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70"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Cs/>
                      <w:color w:val="auto"/>
                      <w:kern w:val="2"/>
                      <w:sz w:val="21"/>
                      <w:szCs w:val="21"/>
                      <w:highlight w:val="none"/>
                    </w:rPr>
                  </w:pPr>
                  <w:r>
                    <w:rPr>
                      <w:rFonts w:hint="eastAsia" w:ascii="Times New Roman" w:hAnsi="Impact" w:eastAsia="宋体" w:cs="Times New Roman"/>
                      <w:color w:val="auto"/>
                      <w:kern w:val="24"/>
                      <w:sz w:val="21"/>
                      <w:szCs w:val="21"/>
                      <w:highlight w:val="none"/>
                    </w:rPr>
                    <w:t>SO</w:t>
                  </w:r>
                  <w:r>
                    <w:rPr>
                      <w:rFonts w:hint="eastAsia" w:ascii="Times New Roman" w:hAnsi="Impact" w:eastAsia="宋体" w:cs="Times New Roman"/>
                      <w:color w:val="auto"/>
                      <w:kern w:val="24"/>
                      <w:sz w:val="21"/>
                      <w:szCs w:val="21"/>
                      <w:highlight w:val="none"/>
                      <w:vertAlign w:val="subscript"/>
                    </w:rPr>
                    <w:t>2</w:t>
                  </w:r>
                </w:p>
              </w:tc>
              <w:tc>
                <w:tcPr>
                  <w:tcW w:w="1135" w:type="dxa"/>
                  <w:vMerge w:val="restart"/>
                  <w:tcBorders>
                    <w:tl2br w:val="nil"/>
                    <w:tr2bl w:val="nil"/>
                  </w:tcBorders>
                  <w:vAlign w:val="center"/>
                </w:tcPr>
                <w:p>
                  <w:pPr>
                    <w:widowControl/>
                    <w:topLinePunct/>
                    <w:autoSpaceDE w:val="0"/>
                    <w:autoSpaceDN w:val="0"/>
                    <w:adjustRightInd w:val="0"/>
                    <w:spacing w:after="0" w:line="240" w:lineRule="auto"/>
                    <w:jc w:val="center"/>
                    <w:textAlignment w:val="baseline"/>
                    <w:rPr>
                      <w:rFonts w:hint="eastAsia" w:ascii="Times New Roman" w:hAnsi="Impact" w:eastAsia="宋体" w:cs="Times New Roman"/>
                      <w:color w:val="auto"/>
                      <w:kern w:val="24"/>
                      <w:sz w:val="21"/>
                      <w:szCs w:val="21"/>
                      <w:highlight w:val="none"/>
                    </w:rPr>
                  </w:pPr>
                  <w:r>
                    <w:rPr>
                      <w:rFonts w:hint="eastAsia" w:cs="Times New Roman"/>
                      <w:color w:val="auto"/>
                      <w:kern w:val="2"/>
                      <w:sz w:val="21"/>
                      <w:szCs w:val="21"/>
                      <w:highlight w:val="none"/>
                      <w:lang w:val="en-US" w:eastAsia="zh-CN"/>
                    </w:rPr>
                    <w:t>13.63</w:t>
                  </w:r>
                  <w:r>
                    <w:rPr>
                      <w:rFonts w:ascii="Times New Roman" w:hAnsi="Times New Roman" w:eastAsia="宋体" w:cs="Times New Roman"/>
                      <w:color w:val="auto"/>
                      <w:kern w:val="2"/>
                      <w:sz w:val="21"/>
                      <w:szCs w:val="21"/>
                      <w:highlight w:val="none"/>
                      <w:lang w:val="en-US" w:eastAsia="zh-CN" w:bidi="ar-SA"/>
                    </w:rPr>
                    <w:t>×10</w:t>
                  </w:r>
                  <w:r>
                    <w:rPr>
                      <w:rFonts w:ascii="Times New Roman" w:hAnsi="Times New Roman" w:eastAsia="宋体" w:cs="Times New Roman"/>
                      <w:color w:val="auto"/>
                      <w:kern w:val="2"/>
                      <w:sz w:val="21"/>
                      <w:szCs w:val="21"/>
                      <w:highlight w:val="none"/>
                      <w:vertAlign w:val="superscript"/>
                      <w:lang w:val="en-US" w:eastAsia="zh-CN" w:bidi="ar-SA"/>
                    </w:rPr>
                    <w:t>4</w:t>
                  </w:r>
                  <w:r>
                    <w:rPr>
                      <w:rFonts w:ascii="Times New Roman" w:hAnsi="Times New Roman" w:eastAsia="宋体" w:cs="Times New Roman"/>
                      <w:color w:val="auto"/>
                      <w:kern w:val="2"/>
                      <w:sz w:val="21"/>
                      <w:szCs w:val="21"/>
                      <w:highlight w:val="none"/>
                      <w:lang w:val="en-US" w:eastAsia="zh-CN" w:bidi="ar-SA"/>
                    </w:rPr>
                    <w:t>m</w:t>
                  </w:r>
                  <w:r>
                    <w:rPr>
                      <w:rFonts w:ascii="Times New Roman" w:hAnsi="Times New Roman" w:eastAsia="宋体" w:cs="Times New Roman"/>
                      <w:color w:val="auto"/>
                      <w:kern w:val="2"/>
                      <w:sz w:val="21"/>
                      <w:szCs w:val="21"/>
                      <w:highlight w:val="none"/>
                      <w:vertAlign w:val="superscript"/>
                      <w:lang w:val="en-US" w:eastAsia="zh-CN" w:bidi="ar-SA"/>
                    </w:rPr>
                    <w:t>3</w:t>
                  </w:r>
                  <w:r>
                    <w:rPr>
                      <w:rFonts w:ascii="Times New Roman" w:hAnsi="Times New Roman" w:eastAsia="宋体" w:cs="Times New Roman"/>
                      <w:color w:val="auto"/>
                      <w:kern w:val="2"/>
                      <w:sz w:val="21"/>
                      <w:szCs w:val="21"/>
                      <w:highlight w:val="none"/>
                      <w:lang w:val="en-US" w:eastAsia="zh-CN" w:bidi="ar-SA"/>
                    </w:rPr>
                    <w:t>/a</w:t>
                  </w:r>
                  <w:r>
                    <w:rPr>
                      <w:rFonts w:hint="default" w:ascii="Times New Roman" w:hAnsi="Times New Roman" w:eastAsia="宋体" w:cs="Times New Roman"/>
                      <w:color w:val="auto"/>
                      <w:kern w:val="2"/>
                      <w:sz w:val="21"/>
                      <w:szCs w:val="21"/>
                      <w:highlight w:val="none"/>
                      <w:lang w:val="en-US" w:eastAsia="zh-CN"/>
                    </w:rPr>
                    <w:t xml:space="preserve"> </w:t>
                  </w:r>
                </w:p>
              </w:tc>
              <w:tc>
                <w:tcPr>
                  <w:tcW w:w="11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29.356 </w:t>
                  </w:r>
                </w:p>
              </w:tc>
              <w:tc>
                <w:tcPr>
                  <w:tcW w:w="12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108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c>
                <w:tcPr>
                  <w:tcW w:w="115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29.356 </w:t>
                  </w:r>
                </w:p>
              </w:tc>
              <w:tc>
                <w:tcPr>
                  <w:tcW w:w="125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112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70"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Cs/>
                      <w:color w:val="auto"/>
                      <w:kern w:val="2"/>
                      <w:sz w:val="21"/>
                      <w:szCs w:val="21"/>
                      <w:highlight w:val="none"/>
                    </w:rPr>
                  </w:pPr>
                  <w:r>
                    <w:rPr>
                      <w:rFonts w:hint="eastAsia" w:ascii="Times New Roman" w:hAnsi="Impact" w:eastAsia="宋体" w:cs="Times New Roman"/>
                      <w:color w:val="auto"/>
                      <w:kern w:val="24"/>
                      <w:sz w:val="21"/>
                      <w:szCs w:val="21"/>
                      <w:highlight w:val="none"/>
                    </w:rPr>
                    <w:t>NO</w:t>
                  </w:r>
                  <w:r>
                    <w:rPr>
                      <w:rFonts w:hint="eastAsia" w:ascii="Times New Roman" w:hAnsi="Impact" w:eastAsia="宋体" w:cs="Times New Roman"/>
                      <w:color w:val="auto"/>
                      <w:kern w:val="24"/>
                      <w:sz w:val="21"/>
                      <w:szCs w:val="21"/>
                      <w:highlight w:val="none"/>
                      <w:vertAlign w:val="subscript"/>
                    </w:rPr>
                    <w:t>X</w:t>
                  </w:r>
                </w:p>
              </w:tc>
              <w:tc>
                <w:tcPr>
                  <w:tcW w:w="1135" w:type="dxa"/>
                  <w:vMerge w:val="continue"/>
                  <w:tcBorders>
                    <w:tl2br w:val="nil"/>
                    <w:tr2bl w:val="nil"/>
                  </w:tcBorders>
                  <w:vAlign w:val="center"/>
                </w:tcPr>
                <w:p>
                  <w:pPr>
                    <w:widowControl/>
                    <w:topLinePunct/>
                    <w:autoSpaceDE w:val="0"/>
                    <w:autoSpaceDN w:val="0"/>
                    <w:adjustRightInd w:val="0"/>
                    <w:spacing w:after="0" w:line="240" w:lineRule="auto"/>
                    <w:jc w:val="center"/>
                    <w:textAlignment w:val="baseline"/>
                    <w:rPr>
                      <w:rFonts w:hint="eastAsia" w:ascii="Times New Roman" w:hAnsi="Impact" w:eastAsia="宋体" w:cs="Times New Roman"/>
                      <w:color w:val="auto"/>
                      <w:kern w:val="24"/>
                      <w:sz w:val="21"/>
                      <w:szCs w:val="21"/>
                      <w:highlight w:val="none"/>
                    </w:rPr>
                  </w:pPr>
                </w:p>
              </w:tc>
              <w:tc>
                <w:tcPr>
                  <w:tcW w:w="11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46.235 </w:t>
                  </w:r>
                </w:p>
              </w:tc>
              <w:tc>
                <w:tcPr>
                  <w:tcW w:w="12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0.003 </w:t>
                  </w:r>
                </w:p>
              </w:tc>
              <w:tc>
                <w:tcPr>
                  <w:tcW w:w="10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c>
                <w:tcPr>
                  <w:tcW w:w="115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46.235 </w:t>
                  </w:r>
                </w:p>
              </w:tc>
              <w:tc>
                <w:tcPr>
                  <w:tcW w:w="125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0.003 </w:t>
                  </w:r>
                </w:p>
              </w:tc>
              <w:tc>
                <w:tcPr>
                  <w:tcW w:w="112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970"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Cs/>
                      <w:color w:val="auto"/>
                      <w:kern w:val="2"/>
                      <w:sz w:val="21"/>
                      <w:szCs w:val="21"/>
                      <w:highlight w:val="none"/>
                    </w:rPr>
                  </w:pPr>
                  <w:r>
                    <w:rPr>
                      <w:rFonts w:hint="eastAsia" w:ascii="Times New Roman" w:hAnsi="Impact" w:eastAsia="宋体" w:cs="Times New Roman"/>
                      <w:color w:val="auto"/>
                      <w:kern w:val="24"/>
                      <w:sz w:val="21"/>
                      <w:szCs w:val="21"/>
                      <w:highlight w:val="none"/>
                    </w:rPr>
                    <w:t>烟尘</w:t>
                  </w:r>
                </w:p>
              </w:tc>
              <w:tc>
                <w:tcPr>
                  <w:tcW w:w="1135" w:type="dxa"/>
                  <w:vMerge w:val="continue"/>
                  <w:tcBorders>
                    <w:tl2br w:val="nil"/>
                    <w:tr2bl w:val="nil"/>
                  </w:tcBorders>
                  <w:vAlign w:val="center"/>
                </w:tcPr>
                <w:p>
                  <w:pPr>
                    <w:widowControl/>
                    <w:topLinePunct/>
                    <w:autoSpaceDE w:val="0"/>
                    <w:autoSpaceDN w:val="0"/>
                    <w:adjustRightInd w:val="0"/>
                    <w:spacing w:after="0" w:line="240" w:lineRule="auto"/>
                    <w:jc w:val="center"/>
                    <w:textAlignment w:val="baseline"/>
                    <w:rPr>
                      <w:rFonts w:hint="eastAsia" w:ascii="Times New Roman" w:hAnsi="Impact" w:eastAsia="宋体" w:cs="Times New Roman"/>
                      <w:color w:val="auto"/>
                      <w:kern w:val="24"/>
                      <w:sz w:val="21"/>
                      <w:szCs w:val="21"/>
                      <w:highlight w:val="none"/>
                    </w:rPr>
                  </w:pPr>
                </w:p>
              </w:tc>
              <w:tc>
                <w:tcPr>
                  <w:tcW w:w="11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17.613 </w:t>
                  </w:r>
                </w:p>
              </w:tc>
              <w:tc>
                <w:tcPr>
                  <w:tcW w:w="121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0.001 </w:t>
                  </w:r>
                </w:p>
              </w:tc>
              <w:tc>
                <w:tcPr>
                  <w:tcW w:w="108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115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17.613 </w:t>
                  </w:r>
                </w:p>
              </w:tc>
              <w:tc>
                <w:tcPr>
                  <w:tcW w:w="1254"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0.001 </w:t>
                  </w:r>
                </w:p>
              </w:tc>
              <w:tc>
                <w:tcPr>
                  <w:tcW w:w="112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r>
          </w:tbl>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根据上表可知项目SO</w:t>
            </w:r>
            <w:r>
              <w:rPr>
                <w:rFonts w:ascii="Times New Roman" w:hAnsi="Times New Roman" w:eastAsia="宋体" w:cs="Times New Roman"/>
                <w:color w:val="auto"/>
                <w:kern w:val="2"/>
                <w:sz w:val="24"/>
                <w:szCs w:val="24"/>
                <w:highlight w:val="none"/>
                <w:vertAlign w:val="subscript"/>
              </w:rPr>
              <w:t>2</w:t>
            </w:r>
            <w:r>
              <w:rPr>
                <w:rFonts w:ascii="Times New Roman" w:hAnsi="宋体"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NOx</w:t>
            </w:r>
            <w:r>
              <w:rPr>
                <w:rFonts w:hint="eastAsia" w:ascii="Times New Roman" w:hAnsi="Times New Roman" w:eastAsia="宋体" w:cs="Times New Roman"/>
                <w:color w:val="auto"/>
                <w:kern w:val="2"/>
                <w:sz w:val="24"/>
                <w:szCs w:val="24"/>
                <w:highlight w:val="none"/>
              </w:rPr>
              <w:t>有组织</w:t>
            </w:r>
            <w:r>
              <w:rPr>
                <w:rFonts w:ascii="Times New Roman" w:hAnsi="宋体" w:eastAsia="宋体" w:cs="Times New Roman"/>
                <w:color w:val="auto"/>
                <w:kern w:val="2"/>
                <w:sz w:val="24"/>
                <w:szCs w:val="24"/>
                <w:highlight w:val="none"/>
              </w:rPr>
              <w:t>排放浓度</w:t>
            </w:r>
            <w:r>
              <w:rPr>
                <w:rFonts w:hint="eastAsia" w:ascii="Times New Roman" w:hAnsi="宋体" w:eastAsia="宋体" w:cs="Times New Roman"/>
                <w:color w:val="auto"/>
                <w:kern w:val="2"/>
                <w:sz w:val="24"/>
                <w:szCs w:val="24"/>
                <w:highlight w:val="none"/>
              </w:rPr>
              <w:t>和排放速率可以达到广东省</w:t>
            </w:r>
            <w:r>
              <w:rPr>
                <w:rFonts w:hint="eastAsia" w:hAnsi="宋体" w:cs="Times New Roman"/>
                <w:color w:val="auto"/>
                <w:kern w:val="2"/>
                <w:sz w:val="24"/>
                <w:szCs w:val="24"/>
                <w:highlight w:val="none"/>
                <w:lang w:eastAsia="zh-CN"/>
              </w:rPr>
              <w:t>地方标准</w:t>
            </w:r>
            <w:r>
              <w:rPr>
                <w:rFonts w:hint="eastAsia" w:ascii="Times New Roman" w:hAnsi="宋体" w:eastAsia="宋体" w:cs="Times New Roman"/>
                <w:color w:val="auto"/>
                <w:kern w:val="2"/>
                <w:sz w:val="24"/>
                <w:szCs w:val="24"/>
                <w:highlight w:val="none"/>
              </w:rPr>
              <w:t>《大气污染物排放限值》（DB44/27－2001）第二时段二级标准</w:t>
            </w:r>
            <w:r>
              <w:rPr>
                <w:rFonts w:hint="eastAsia" w:hAnsi="宋体" w:cs="Times New Roman"/>
                <w:color w:val="auto"/>
                <w:kern w:val="2"/>
                <w:sz w:val="24"/>
                <w:szCs w:val="24"/>
                <w:highlight w:val="none"/>
                <w:lang w:eastAsia="zh-CN"/>
              </w:rPr>
              <w:t>；</w:t>
            </w:r>
            <w:r>
              <w:rPr>
                <w:rFonts w:hint="eastAsia" w:cs="Times New Roman"/>
                <w:color w:val="auto"/>
                <w:kern w:val="2"/>
                <w:sz w:val="24"/>
                <w:szCs w:val="24"/>
                <w:highlight w:val="none"/>
                <w:lang w:eastAsia="zh-CN"/>
              </w:rPr>
              <w:t>烟尘有组织排放浓度可以达到《工业炉窑大气污染物排放标准》表2“金属压延、锻造加热炉”二级标准</w:t>
            </w:r>
            <w:r>
              <w:rPr>
                <w:rFonts w:hint="eastAsia" w:hAnsi="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对周围环境影响较小。</w:t>
            </w:r>
          </w:p>
          <w:p>
            <w:pPr>
              <w:pStyle w:val="2"/>
              <w:spacing w:line="360" w:lineRule="auto"/>
              <w:ind w:firstLine="482" w:firstLineChars="200"/>
              <w:rPr>
                <w:b/>
                <w:bCs w:val="0"/>
                <w:color w:val="auto"/>
                <w:kern w:val="0"/>
                <w:sz w:val="24"/>
                <w:szCs w:val="22"/>
                <w:highlight w:val="none"/>
              </w:rPr>
            </w:pPr>
            <w:r>
              <w:rPr>
                <w:rFonts w:hint="eastAsia"/>
                <w:b/>
                <w:bCs w:val="0"/>
                <w:color w:val="auto"/>
                <w:kern w:val="0"/>
                <w:sz w:val="24"/>
                <w:szCs w:val="22"/>
                <w:highlight w:val="none"/>
                <w:lang w:eastAsia="zh-CN"/>
              </w:rPr>
              <w:t>◇开料、机加工工序产生的金属粉尘</w:t>
            </w:r>
          </w:p>
          <w:p>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在</w:t>
            </w:r>
            <w:r>
              <w:rPr>
                <w:rFonts w:hint="eastAsia" w:cs="Times New Roman"/>
                <w:color w:val="auto"/>
                <w:kern w:val="2"/>
                <w:sz w:val="24"/>
                <w:szCs w:val="24"/>
                <w:highlight w:val="none"/>
                <w:lang w:val="en-US" w:eastAsia="zh-CN" w:bidi="ar-SA"/>
              </w:rPr>
              <w:t>开料、</w:t>
            </w:r>
            <w:r>
              <w:rPr>
                <w:rFonts w:hint="default" w:ascii="Times New Roman" w:hAnsi="Times New Roman" w:eastAsia="宋体" w:cs="Times New Roman"/>
                <w:color w:val="auto"/>
                <w:kern w:val="2"/>
                <w:sz w:val="24"/>
                <w:szCs w:val="24"/>
                <w:highlight w:val="none"/>
                <w:lang w:val="en-US" w:eastAsia="zh-CN" w:bidi="ar-SA"/>
              </w:rPr>
              <w:t>机加工工序</w:t>
            </w:r>
            <w:r>
              <w:rPr>
                <w:rFonts w:hint="eastAsia" w:ascii="Times New Roman" w:hAnsi="Times New Roman" w:eastAsia="宋体" w:cs="Times New Roman"/>
                <w:color w:val="auto"/>
                <w:kern w:val="2"/>
                <w:sz w:val="24"/>
                <w:szCs w:val="24"/>
                <w:highlight w:val="none"/>
                <w:lang w:val="en-US" w:eastAsia="zh-CN" w:bidi="ar-SA"/>
              </w:rPr>
              <w:t>中</w:t>
            </w:r>
            <w:r>
              <w:rPr>
                <w:rFonts w:hint="default" w:ascii="Times New Roman" w:hAnsi="Times New Roman" w:eastAsia="宋体" w:cs="Times New Roman"/>
                <w:color w:val="auto"/>
                <w:kern w:val="2"/>
                <w:sz w:val="24"/>
                <w:szCs w:val="24"/>
                <w:highlight w:val="none"/>
                <w:lang w:val="en-US" w:eastAsia="zh-CN" w:bidi="ar-SA"/>
              </w:rPr>
              <w:t>会产生少量的金属粉尘，</w:t>
            </w:r>
            <w:r>
              <w:rPr>
                <w:rFonts w:hint="eastAsia"/>
                <w:bCs/>
                <w:color w:val="auto"/>
                <w:sz w:val="24"/>
                <w:highlight w:val="none"/>
              </w:rPr>
              <w:t>引用《第一次全国污染源普查工业污染物产排污系数手册》中金属加工的粉尘产污系数为1.523kg/t</w:t>
            </w:r>
            <w:r>
              <w:rPr>
                <w:rFonts w:hint="default" w:ascii="Times New Roman" w:hAnsi="Times New Roman" w:eastAsia="宋体" w:cs="Times New Roman"/>
                <w:color w:val="auto"/>
                <w:kern w:val="2"/>
                <w:sz w:val="24"/>
                <w:szCs w:val="24"/>
                <w:highlight w:val="none"/>
                <w:lang w:val="en-US" w:eastAsia="zh-CN" w:bidi="ar-SA"/>
              </w:rPr>
              <w:t>，</w:t>
            </w:r>
            <w:r>
              <w:rPr>
                <w:rFonts w:hint="eastAsia"/>
                <w:color w:val="auto"/>
                <w:sz w:val="24"/>
                <w:highlight w:val="none"/>
              </w:rPr>
              <w:t>原材料</w:t>
            </w:r>
            <w:r>
              <w:rPr>
                <w:rFonts w:hint="eastAsia"/>
                <w:color w:val="auto"/>
                <w:sz w:val="24"/>
                <w:highlight w:val="none"/>
                <w:lang w:eastAsia="zh-CN"/>
              </w:rPr>
              <w:t>铜棒</w:t>
            </w:r>
            <w:r>
              <w:rPr>
                <w:rFonts w:hint="eastAsia"/>
                <w:color w:val="auto"/>
                <w:sz w:val="24"/>
                <w:highlight w:val="none"/>
              </w:rPr>
              <w:t>使用量约</w:t>
            </w:r>
            <w:r>
              <w:rPr>
                <w:rFonts w:hint="eastAsia"/>
                <w:color w:val="auto"/>
                <w:sz w:val="24"/>
                <w:highlight w:val="none"/>
                <w:lang w:val="en-US" w:eastAsia="zh-CN"/>
              </w:rPr>
              <w:t>35</w:t>
            </w:r>
            <w:r>
              <w:rPr>
                <w:rFonts w:hint="eastAsia"/>
                <w:color w:val="auto"/>
                <w:sz w:val="24"/>
                <w:highlight w:val="none"/>
              </w:rPr>
              <w:t>t/a，</w:t>
            </w:r>
            <w:r>
              <w:rPr>
                <w:rFonts w:hint="default" w:ascii="Times New Roman" w:hAnsi="Times New Roman" w:eastAsia="宋体" w:cs="Times New Roman"/>
                <w:color w:val="auto"/>
                <w:kern w:val="2"/>
                <w:sz w:val="24"/>
                <w:szCs w:val="24"/>
                <w:highlight w:val="none"/>
                <w:lang w:val="en-US" w:eastAsia="zh-CN" w:bidi="ar-SA"/>
              </w:rPr>
              <w:t>则产生粉尘量为</w:t>
            </w:r>
            <w:r>
              <w:rPr>
                <w:rFonts w:hint="eastAsia" w:cs="Times New Roman"/>
                <w:color w:val="auto"/>
                <w:kern w:val="2"/>
                <w:sz w:val="24"/>
                <w:szCs w:val="24"/>
                <w:highlight w:val="none"/>
                <w:lang w:val="en-US" w:eastAsia="zh-CN" w:bidi="ar-SA"/>
              </w:rPr>
              <w:t>0.053</w:t>
            </w:r>
            <w:r>
              <w:rPr>
                <w:rFonts w:hint="default" w:ascii="Times New Roman" w:hAnsi="Times New Roman" w:eastAsia="宋体" w:cs="Times New Roman"/>
                <w:color w:val="auto"/>
                <w:kern w:val="2"/>
                <w:sz w:val="24"/>
                <w:szCs w:val="24"/>
                <w:highlight w:val="none"/>
                <w:lang w:val="en-US" w:eastAsia="zh-CN" w:bidi="ar-SA"/>
              </w:rPr>
              <w:t>t/a，此类加工产生的粉尘主要以金属细屑颗粒物为主，质量和粒径相对较大，约90%可在操作区域附近沉降，沉降金属粉尘及时清理后作为固废处理，只有极少部分扩散到大气中形成粉尘</w:t>
            </w:r>
            <w:r>
              <w:rPr>
                <w:rFonts w:hint="eastAsia" w:cs="Times New Roman"/>
                <w:color w:val="auto"/>
                <w:kern w:val="2"/>
                <w:sz w:val="24"/>
                <w:szCs w:val="24"/>
                <w:highlight w:val="none"/>
                <w:lang w:val="en-US" w:eastAsia="zh-CN" w:bidi="ar-SA"/>
              </w:rPr>
              <w:t>。</w:t>
            </w:r>
            <w:r>
              <w:rPr>
                <w:rFonts w:hint="eastAsia"/>
                <w:color w:val="auto"/>
                <w:sz w:val="24"/>
                <w:highlight w:val="none"/>
                <w:lang w:val="en-US" w:eastAsia="zh-CN"/>
              </w:rPr>
              <w:t>本项目金属粉尘的产生及排放量情况如下表：</w:t>
            </w:r>
          </w:p>
          <w:p>
            <w:pPr>
              <w:autoSpaceDE w:val="0"/>
              <w:autoSpaceDN w:val="0"/>
              <w:adjustRightInd w:val="0"/>
              <w:spacing w:line="360" w:lineRule="auto"/>
              <w:ind w:firstLine="480"/>
              <w:jc w:val="center"/>
              <w:rPr>
                <w:rFonts w:hint="eastAsia" w:hAnsi="宋体"/>
                <w:color w:val="auto"/>
                <w:sz w:val="24"/>
                <w:highlight w:val="none"/>
              </w:rPr>
            </w:pPr>
            <w:r>
              <w:rPr>
                <w:rFonts w:hAnsi="宋体"/>
                <w:b/>
                <w:bCs/>
                <w:color w:val="auto"/>
                <w:kern w:val="2"/>
                <w:sz w:val="21"/>
                <w:szCs w:val="21"/>
                <w:highlight w:val="none"/>
              </w:rPr>
              <w:t>表</w:t>
            </w:r>
            <w:r>
              <w:rPr>
                <w:rFonts w:hint="eastAsia" w:hAnsi="宋体"/>
                <w:b/>
                <w:bCs/>
                <w:color w:val="auto"/>
                <w:kern w:val="2"/>
                <w:sz w:val="21"/>
                <w:szCs w:val="21"/>
                <w:highlight w:val="none"/>
                <w:lang w:val="en-US" w:eastAsia="zh-CN"/>
              </w:rPr>
              <w:t>5-6</w:t>
            </w:r>
            <w:r>
              <w:rPr>
                <w:rFonts w:hint="eastAsia" w:hAnsi="宋体"/>
                <w:b/>
                <w:bCs/>
                <w:color w:val="auto"/>
                <w:kern w:val="2"/>
                <w:sz w:val="21"/>
                <w:szCs w:val="21"/>
                <w:highlight w:val="none"/>
              </w:rPr>
              <w:t xml:space="preserve">  </w:t>
            </w:r>
            <w:r>
              <w:rPr>
                <w:rFonts w:hint="eastAsia" w:hAnsi="宋体"/>
                <w:b/>
                <w:bCs/>
                <w:color w:val="auto"/>
                <w:kern w:val="2"/>
                <w:sz w:val="21"/>
                <w:szCs w:val="21"/>
                <w:highlight w:val="none"/>
                <w:lang w:val="en-US" w:eastAsia="zh-CN"/>
              </w:rPr>
              <w:t>本</w:t>
            </w:r>
            <w:r>
              <w:rPr>
                <w:rFonts w:hint="eastAsia" w:hAnsi="宋体"/>
                <w:b/>
                <w:bCs/>
                <w:color w:val="auto"/>
                <w:kern w:val="2"/>
                <w:sz w:val="21"/>
                <w:szCs w:val="21"/>
                <w:highlight w:val="none"/>
              </w:rPr>
              <w:t>项目</w:t>
            </w:r>
            <w:r>
              <w:rPr>
                <w:rFonts w:hint="eastAsia" w:hAnsi="宋体"/>
                <w:b/>
                <w:bCs/>
                <w:color w:val="auto"/>
                <w:kern w:val="2"/>
                <w:sz w:val="21"/>
                <w:szCs w:val="21"/>
                <w:highlight w:val="none"/>
                <w:lang w:val="en-US" w:eastAsia="zh-CN"/>
              </w:rPr>
              <w:t>金属粉尘</w:t>
            </w:r>
            <w:r>
              <w:rPr>
                <w:rFonts w:hint="eastAsia" w:hAnsi="宋体"/>
                <w:b/>
                <w:bCs/>
                <w:color w:val="auto"/>
                <w:kern w:val="2"/>
                <w:sz w:val="21"/>
                <w:szCs w:val="21"/>
                <w:highlight w:val="none"/>
              </w:rPr>
              <w:t>产生及排放情况</w:t>
            </w:r>
          </w:p>
          <w:tbl>
            <w:tblPr>
              <w:tblStyle w:val="34"/>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304"/>
              <w:gridCol w:w="2183"/>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232" w:type="dxa"/>
                  <w:vMerge w:val="restar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污染物</w:t>
                  </w:r>
                </w:p>
              </w:tc>
              <w:tc>
                <w:tcPr>
                  <w:tcW w:w="2304" w:type="dxa"/>
                  <w:vMerge w:val="restar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产生量</w:t>
                  </w:r>
                </w:p>
              </w:tc>
              <w:tc>
                <w:tcPr>
                  <w:tcW w:w="4534" w:type="dxa"/>
                  <w:gridSpan w:val="2"/>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32"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304"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183"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排放量</w:t>
                  </w:r>
                </w:p>
              </w:tc>
              <w:tc>
                <w:tcPr>
                  <w:tcW w:w="2351"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232" w:type="dxa"/>
                  <w:vMerge w:val="continue"/>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304"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t</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2183"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t</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2351"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232" w:type="dxa"/>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金属粉尘</w:t>
                  </w:r>
                </w:p>
              </w:tc>
              <w:tc>
                <w:tcPr>
                  <w:tcW w:w="2304"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53</w:t>
                  </w:r>
                </w:p>
              </w:tc>
              <w:tc>
                <w:tcPr>
                  <w:tcW w:w="2183"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53</w:t>
                  </w:r>
                </w:p>
              </w:tc>
              <w:tc>
                <w:tcPr>
                  <w:tcW w:w="2351"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w:t>
                  </w:r>
                  <w:r>
                    <w:rPr>
                      <w:rFonts w:hint="eastAsia"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2</w:t>
                  </w:r>
                </w:p>
              </w:tc>
            </w:tr>
          </w:tbl>
          <w:p>
            <w:pPr>
              <w:autoSpaceDE w:val="0"/>
              <w:autoSpaceDN w:val="0"/>
              <w:adjustRightInd w:val="0"/>
              <w:spacing w:line="360" w:lineRule="auto"/>
              <w:ind w:firstLine="482" w:firstLineChars="200"/>
              <w:jc w:val="left"/>
              <w:rPr>
                <w:b/>
                <w:bCs/>
                <w:color w:val="auto"/>
                <w:kern w:val="0"/>
                <w:sz w:val="24"/>
                <w:szCs w:val="24"/>
                <w:highlight w:val="none"/>
              </w:rPr>
            </w:pPr>
            <w:r>
              <w:rPr>
                <w:b/>
                <w:bCs/>
                <w:color w:val="auto"/>
                <w:kern w:val="0"/>
                <w:sz w:val="24"/>
                <w:szCs w:val="24"/>
                <w:highlight w:val="none"/>
              </w:rPr>
              <w:t>3、噪声污染源</w:t>
            </w:r>
          </w:p>
          <w:p>
            <w:pPr>
              <w:spacing w:line="360" w:lineRule="auto"/>
              <w:ind w:firstLine="480" w:firstLineChars="200"/>
              <w:jc w:val="left"/>
              <w:rPr>
                <w:color w:val="auto"/>
                <w:sz w:val="24"/>
                <w:highlight w:val="none"/>
              </w:rPr>
            </w:pPr>
            <w:r>
              <w:rPr>
                <w:color w:val="auto"/>
                <w:sz w:val="24"/>
                <w:highlight w:val="none"/>
              </w:rPr>
              <w:t>项目的主要噪声为：普通加工机械的运行噪声，噪声值约为70～</w:t>
            </w:r>
            <w:r>
              <w:rPr>
                <w:rFonts w:hint="eastAsia"/>
                <w:color w:val="auto"/>
                <w:sz w:val="24"/>
                <w:highlight w:val="none"/>
              </w:rPr>
              <w:t>80</w:t>
            </w:r>
            <w:r>
              <w:rPr>
                <w:color w:val="auto"/>
                <w:sz w:val="24"/>
                <w:highlight w:val="none"/>
              </w:rPr>
              <w:t>dB（A）；空压机的运行噪声，噪声值约为</w:t>
            </w:r>
            <w:r>
              <w:rPr>
                <w:rFonts w:hint="eastAsia"/>
                <w:color w:val="auto"/>
                <w:sz w:val="24"/>
                <w:highlight w:val="none"/>
              </w:rPr>
              <w:t>80</w:t>
            </w:r>
            <w:r>
              <w:rPr>
                <w:color w:val="auto"/>
                <w:sz w:val="24"/>
                <w:highlight w:val="none"/>
              </w:rPr>
              <w:t>～</w:t>
            </w:r>
            <w:r>
              <w:rPr>
                <w:rFonts w:hint="eastAsia"/>
                <w:color w:val="auto"/>
                <w:sz w:val="24"/>
                <w:highlight w:val="none"/>
              </w:rPr>
              <w:t>90</w:t>
            </w:r>
            <w:r>
              <w:rPr>
                <w:color w:val="auto"/>
                <w:sz w:val="24"/>
                <w:highlight w:val="none"/>
              </w:rPr>
              <w:t>dB（A）；机械通风所用通风机运行时产生的噪声，其噪声级</w:t>
            </w:r>
            <w:r>
              <w:rPr>
                <w:rFonts w:hint="eastAsia"/>
                <w:color w:val="auto"/>
                <w:sz w:val="24"/>
                <w:highlight w:val="none"/>
              </w:rPr>
              <w:t>约</w:t>
            </w:r>
            <w:r>
              <w:rPr>
                <w:color w:val="auto"/>
                <w:sz w:val="24"/>
                <w:highlight w:val="none"/>
              </w:rPr>
              <w:t>为70～75dB（A）</w:t>
            </w:r>
            <w:r>
              <w:rPr>
                <w:rFonts w:hAnsi="宋体"/>
                <w:color w:val="auto"/>
                <w:sz w:val="24"/>
                <w:highlight w:val="none"/>
              </w:rPr>
              <w:t>。</w:t>
            </w:r>
            <w:r>
              <w:rPr>
                <w:rFonts w:hint="eastAsia" w:hAnsi="宋体"/>
                <w:color w:val="auto"/>
                <w:sz w:val="24"/>
                <w:highlight w:val="none"/>
              </w:rPr>
              <w:t>各类加工机械</w:t>
            </w:r>
            <w:r>
              <w:rPr>
                <w:rFonts w:hint="eastAsia"/>
                <w:color w:val="auto"/>
                <w:sz w:val="24"/>
                <w:highlight w:val="none"/>
              </w:rPr>
              <w:t>具体噪声值见下表。</w:t>
            </w:r>
          </w:p>
          <w:p>
            <w:pPr>
              <w:jc w:val="center"/>
              <w:rPr>
                <w:b/>
                <w:color w:val="auto"/>
                <w:highlight w:val="none"/>
              </w:rPr>
            </w:pPr>
            <w:r>
              <w:rPr>
                <w:b/>
                <w:color w:val="auto"/>
                <w:highlight w:val="none"/>
              </w:rPr>
              <w:t>表5-</w:t>
            </w:r>
            <w:r>
              <w:rPr>
                <w:rFonts w:hint="eastAsia"/>
                <w:b/>
                <w:color w:val="auto"/>
                <w:highlight w:val="none"/>
                <w:lang w:val="en-US" w:eastAsia="zh-CN"/>
              </w:rPr>
              <w:t>7</w:t>
            </w:r>
            <w:r>
              <w:rPr>
                <w:b/>
                <w:color w:val="auto"/>
                <w:highlight w:val="none"/>
              </w:rPr>
              <w:t xml:space="preserve">  主要噪声源</w:t>
            </w:r>
          </w:p>
          <w:tbl>
            <w:tblPr>
              <w:tblStyle w:val="3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452"/>
              <w:gridCol w:w="900"/>
              <w:gridCol w:w="2250"/>
              <w:gridCol w:w="146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序号</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设备名称及型号</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数量</w:t>
                  </w:r>
                </w:p>
              </w:tc>
              <w:tc>
                <w:tcPr>
                  <w:tcW w:w="2250"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噪声</w:t>
                  </w:r>
                  <w:r>
                    <w:rPr>
                      <w:rFonts w:hint="eastAsia" w:eastAsia="宋体"/>
                      <w:b/>
                      <w:bCs/>
                      <w:color w:val="auto"/>
                      <w:sz w:val="21"/>
                      <w:szCs w:val="21"/>
                      <w:highlight w:val="none"/>
                      <w:vertAlign w:val="baseline"/>
                      <w:lang w:eastAsia="zh-CN"/>
                    </w:rPr>
                    <w:t>声功率级</w:t>
                  </w:r>
                  <w:r>
                    <w:rPr>
                      <w:rFonts w:ascii="Times New Roman" w:hAnsi="Times New Roman" w:cs="Times New Roman"/>
                      <w:color w:val="auto"/>
                      <w:kern w:val="24"/>
                      <w:szCs w:val="21"/>
                      <w:highlight w:val="none"/>
                    </w:rPr>
                    <w:t>dB（A）</w:t>
                  </w:r>
                </w:p>
              </w:tc>
              <w:tc>
                <w:tcPr>
                  <w:tcW w:w="1460" w:type="dxa"/>
                  <w:tcBorders>
                    <w:tl2br w:val="nil"/>
                    <w:tr2bl w:val="nil"/>
                  </w:tcBorders>
                  <w:vAlign w:val="center"/>
                </w:tcPr>
                <w:p>
                  <w:pPr>
                    <w:widowControl w:val="0"/>
                    <w:numPr>
                      <w:ilvl w:val="0"/>
                      <w:numId w:val="0"/>
                    </w:numPr>
                    <w:spacing w:line="360" w:lineRule="auto"/>
                    <w:ind w:left="0" w:leftChars="0" w:firstLine="0" w:firstLineChars="0"/>
                    <w:jc w:val="center"/>
                    <w:rPr>
                      <w:rFonts w:ascii="Times New Roman" w:hAnsi="Times New Roman" w:cs="Times New Roman"/>
                      <w:color w:val="auto"/>
                      <w:kern w:val="24"/>
                      <w:szCs w:val="21"/>
                      <w:highlight w:val="none"/>
                    </w:rPr>
                  </w:pPr>
                  <w:r>
                    <w:rPr>
                      <w:rFonts w:hint="eastAsia" w:eastAsia="宋体"/>
                      <w:b/>
                      <w:bCs/>
                      <w:color w:val="auto"/>
                      <w:sz w:val="21"/>
                      <w:szCs w:val="21"/>
                      <w:highlight w:val="none"/>
                      <w:vertAlign w:val="baseline"/>
                      <w:lang w:eastAsia="zh-CN"/>
                    </w:rPr>
                    <w:t>取值距离</w:t>
                  </w:r>
                </w:p>
              </w:tc>
              <w:tc>
                <w:tcPr>
                  <w:tcW w:w="933" w:type="dxa"/>
                  <w:tcBorders>
                    <w:tl2br w:val="nil"/>
                    <w:tr2bl w:val="nil"/>
                  </w:tcBorders>
                  <w:vAlign w:val="center"/>
                </w:tcPr>
                <w:p>
                  <w:pPr>
                    <w:widowControl w:val="0"/>
                    <w:numPr>
                      <w:ilvl w:val="0"/>
                      <w:numId w:val="0"/>
                    </w:numPr>
                    <w:spacing w:line="360" w:lineRule="auto"/>
                    <w:ind w:left="0" w:leftChars="0" w:firstLine="0" w:firstLineChars="0"/>
                    <w:jc w:val="center"/>
                    <w:rPr>
                      <w:rFonts w:ascii="Times New Roman" w:hAnsi="Times New Roman" w:cs="Times New Roman"/>
                      <w:color w:val="auto"/>
                      <w:kern w:val="24"/>
                      <w:szCs w:val="21"/>
                      <w:highlight w:val="none"/>
                    </w:rPr>
                  </w:pPr>
                  <w:r>
                    <w:rPr>
                      <w:rFonts w:hint="eastAsia" w:eastAsia="宋体"/>
                      <w:b/>
                      <w:bCs/>
                      <w:color w:val="auto"/>
                      <w:sz w:val="21"/>
                      <w:szCs w:val="21"/>
                      <w:highlight w:val="none"/>
                      <w:vertAlign w:val="baseline"/>
                      <w:lang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1</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开料机</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restart"/>
                  <w:tcBorders>
                    <w:tl2br w:val="nil"/>
                    <w:tr2bl w:val="nil"/>
                  </w:tcBorders>
                  <w:vAlign w:val="center"/>
                </w:tcPr>
                <w:p>
                  <w:pPr>
                    <w:widowControl w:val="0"/>
                    <w:numPr>
                      <w:ilvl w:val="0"/>
                      <w:numId w:val="0"/>
                    </w:numPr>
                    <w:spacing w:line="360" w:lineRule="auto"/>
                    <w:ind w:left="0" w:leftChars="0" w:firstLine="0" w:firstLineChars="0"/>
                    <w:jc w:val="center"/>
                    <w:rPr>
                      <w:rFonts w:hint="eastAsia" w:ascii="Times New Roman" w:hAnsi="Times New Roman" w:cs="Times New Roman"/>
                      <w:color w:val="auto"/>
                      <w:kern w:val="24"/>
                      <w:szCs w:val="21"/>
                      <w:highlight w:val="none"/>
                    </w:rPr>
                  </w:pPr>
                  <w:r>
                    <w:rPr>
                      <w:rFonts w:hint="eastAsia"/>
                      <w:b w:val="0"/>
                      <w:bCs w:val="0"/>
                      <w:color w:val="auto"/>
                      <w:sz w:val="21"/>
                      <w:szCs w:val="21"/>
                      <w:highlight w:val="none"/>
                      <w:vertAlign w:val="baseline"/>
                      <w:lang w:val="en-US" w:eastAsia="zh-CN"/>
                    </w:rPr>
                    <w:t>设备1m处</w:t>
                  </w:r>
                </w:p>
              </w:tc>
              <w:tc>
                <w:tcPr>
                  <w:tcW w:w="933" w:type="dxa"/>
                  <w:vMerge w:val="restart"/>
                  <w:tcBorders>
                    <w:tl2br w:val="nil"/>
                    <w:tr2bl w:val="nil"/>
                  </w:tcBorders>
                  <w:vAlign w:val="center"/>
                </w:tcPr>
                <w:p>
                  <w:pPr>
                    <w:widowControl w:val="0"/>
                    <w:numPr>
                      <w:ilvl w:val="0"/>
                      <w:numId w:val="0"/>
                    </w:numPr>
                    <w:spacing w:line="360" w:lineRule="auto"/>
                    <w:ind w:left="0" w:leftChars="0" w:firstLine="0" w:firstLineChars="0"/>
                    <w:jc w:val="center"/>
                    <w:rPr>
                      <w:rFonts w:hint="eastAsia" w:ascii="Times New Roman" w:hAnsi="Times New Roman" w:cs="Times New Roman"/>
                      <w:color w:val="auto"/>
                      <w:kern w:val="24"/>
                      <w:szCs w:val="21"/>
                      <w:highlight w:val="none"/>
                    </w:rPr>
                  </w:pPr>
                  <w:r>
                    <w:rPr>
                      <w:rFonts w:hint="eastAsia" w:eastAsia="宋体"/>
                      <w:b w:val="0"/>
                      <w:bCs w:val="0"/>
                      <w:color w:val="auto"/>
                      <w:sz w:val="21"/>
                      <w:szCs w:val="21"/>
                      <w:highlight w:val="none"/>
                      <w:vertAlign w:val="baseline"/>
                      <w:lang w:eastAsia="zh-CN"/>
                    </w:rPr>
                    <w:t>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2</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锻压机</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3台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3</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锻压机配套加热槽</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3个</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4</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数控车床</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15台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5</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冲压机</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6</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双头钻</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3台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7</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单头钻</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4台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ascii="Times New Roman" w:hAnsi="Times New Roman" w:cs="Times New Roman"/>
                      <w:color w:val="auto"/>
                      <w:kern w:val="24"/>
                      <w:szCs w:val="21"/>
                      <w:highlight w:val="none"/>
                    </w:rPr>
                    <w:t>8</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铣床</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65"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9</w:t>
                  </w:r>
                </w:p>
              </w:tc>
              <w:tc>
                <w:tcPr>
                  <w:tcW w:w="2452"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eastAsia="zh-CN"/>
                    </w:rPr>
                    <w:t>磨刀机</w:t>
                  </w:r>
                </w:p>
              </w:tc>
              <w:tc>
                <w:tcPr>
                  <w:tcW w:w="900" w:type="dxa"/>
                  <w:tcBorders>
                    <w:tl2br w:val="nil"/>
                    <w:tr2bl w:val="nil"/>
                  </w:tcBorders>
                  <w:vAlign w:val="center"/>
                </w:tcPr>
                <w:p>
                  <w:pPr>
                    <w:jc w:val="center"/>
                    <w:rPr>
                      <w:rFonts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eastAsia" w:ascii="Times New Roman" w:hAnsi="Times New Roman" w:cs="Times New Roman"/>
                      <w:color w:val="auto"/>
                      <w:kern w:val="24"/>
                      <w:szCs w:val="21"/>
                      <w:highlight w:val="none"/>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65" w:type="dxa"/>
                  <w:tcBorders>
                    <w:tl2br w:val="nil"/>
                    <w:tr2bl w:val="nil"/>
                  </w:tcBorders>
                  <w:vAlign w:val="center"/>
                </w:tcPr>
                <w:p>
                  <w:pPr>
                    <w:jc w:val="center"/>
                    <w:rPr>
                      <w:rFonts w:hint="default"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val="en-US" w:eastAsia="zh-CN"/>
                    </w:rPr>
                    <w:t>10</w:t>
                  </w:r>
                </w:p>
              </w:tc>
              <w:tc>
                <w:tcPr>
                  <w:tcW w:w="2452" w:type="dxa"/>
                  <w:tcBorders>
                    <w:tl2br w:val="nil"/>
                    <w:tr2bl w:val="nil"/>
                  </w:tcBorders>
                  <w:vAlign w:val="center"/>
                </w:tcPr>
                <w:p>
                  <w:pPr>
                    <w:jc w:val="center"/>
                    <w:rPr>
                      <w:rFonts w:hint="eastAsia"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eastAsia="zh-CN"/>
                    </w:rPr>
                    <w:t>仪表机</w:t>
                  </w:r>
                </w:p>
              </w:tc>
              <w:tc>
                <w:tcPr>
                  <w:tcW w:w="900" w:type="dxa"/>
                  <w:tcBorders>
                    <w:tl2br w:val="nil"/>
                    <w:tr2bl w:val="nil"/>
                  </w:tcBorders>
                  <w:vAlign w:val="center"/>
                </w:tcPr>
                <w:p>
                  <w:pPr>
                    <w:jc w:val="center"/>
                    <w:rPr>
                      <w:rFonts w:hint="eastAsia"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default"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rPr>
                    <w:t>70~80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65" w:type="dxa"/>
                  <w:tcBorders>
                    <w:tl2br w:val="nil"/>
                    <w:tr2bl w:val="nil"/>
                  </w:tcBorders>
                  <w:vAlign w:val="center"/>
                </w:tcPr>
                <w:p>
                  <w:pPr>
                    <w:jc w:val="center"/>
                    <w:rPr>
                      <w:rFonts w:hint="default"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val="en-US" w:eastAsia="zh-CN"/>
                    </w:rPr>
                    <w:t>11</w:t>
                  </w:r>
                </w:p>
              </w:tc>
              <w:tc>
                <w:tcPr>
                  <w:tcW w:w="2452" w:type="dxa"/>
                  <w:tcBorders>
                    <w:tl2br w:val="nil"/>
                    <w:tr2bl w:val="nil"/>
                  </w:tcBorders>
                  <w:vAlign w:val="center"/>
                </w:tcPr>
                <w:p>
                  <w:pPr>
                    <w:jc w:val="center"/>
                    <w:rPr>
                      <w:rFonts w:hint="eastAsia"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eastAsia="zh-CN"/>
                    </w:rPr>
                    <w:t>空压机</w:t>
                  </w:r>
                </w:p>
              </w:tc>
              <w:tc>
                <w:tcPr>
                  <w:tcW w:w="900" w:type="dxa"/>
                  <w:tcBorders>
                    <w:tl2br w:val="nil"/>
                    <w:tr2bl w:val="nil"/>
                  </w:tcBorders>
                  <w:vAlign w:val="center"/>
                </w:tcPr>
                <w:p>
                  <w:pPr>
                    <w:jc w:val="center"/>
                    <w:rPr>
                      <w:rFonts w:hint="eastAsia" w:ascii="Times New Roman" w:hAnsi="Times New Roman" w:cs="Times New Roman"/>
                      <w:color w:val="auto"/>
                      <w:kern w:val="24"/>
                      <w:szCs w:val="21"/>
                      <w:highlight w:val="none"/>
                      <w:lang w:val="en-US" w:eastAsia="zh-CN"/>
                    </w:rPr>
                  </w:pPr>
                  <w:r>
                    <w:rPr>
                      <w:rFonts w:hint="eastAsia" w:ascii="Times New Roman" w:hAnsi="Times New Roman" w:cs="Times New Roman"/>
                      <w:color w:val="auto"/>
                      <w:kern w:val="24"/>
                      <w:szCs w:val="21"/>
                      <w:highlight w:val="none"/>
                      <w:lang w:val="en-US" w:eastAsia="zh-CN"/>
                    </w:rPr>
                    <w:t>1台</w:t>
                  </w:r>
                </w:p>
              </w:tc>
              <w:tc>
                <w:tcPr>
                  <w:tcW w:w="2250" w:type="dxa"/>
                  <w:tcBorders>
                    <w:tl2br w:val="nil"/>
                    <w:tr2bl w:val="nil"/>
                  </w:tcBorders>
                  <w:vAlign w:val="center"/>
                </w:tcPr>
                <w:p>
                  <w:pPr>
                    <w:jc w:val="center"/>
                    <w:rPr>
                      <w:rFonts w:hint="default" w:ascii="Times New Roman" w:hAnsi="Times New Roman" w:eastAsia="宋体" w:cs="Times New Roman"/>
                      <w:color w:val="auto"/>
                      <w:kern w:val="24"/>
                      <w:szCs w:val="21"/>
                      <w:highlight w:val="none"/>
                      <w:lang w:val="en-US" w:eastAsia="zh-CN"/>
                    </w:rPr>
                  </w:pPr>
                  <w:r>
                    <w:rPr>
                      <w:rFonts w:hint="eastAsia" w:ascii="Times New Roman" w:hAnsi="Times New Roman" w:cs="Times New Roman"/>
                      <w:color w:val="auto"/>
                      <w:kern w:val="24"/>
                      <w:szCs w:val="21"/>
                      <w:highlight w:val="none"/>
                    </w:rPr>
                    <w:t>80~</w:t>
                  </w:r>
                  <w:r>
                    <w:rPr>
                      <w:rFonts w:hint="eastAsia" w:cs="Times New Roman"/>
                      <w:color w:val="auto"/>
                      <w:kern w:val="24"/>
                      <w:szCs w:val="21"/>
                      <w:highlight w:val="none"/>
                      <w:lang w:val="en-US" w:eastAsia="zh-CN"/>
                    </w:rPr>
                    <w:t>90</w:t>
                  </w:r>
                </w:p>
              </w:tc>
              <w:tc>
                <w:tcPr>
                  <w:tcW w:w="1460"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c>
                <w:tcPr>
                  <w:tcW w:w="933" w:type="dxa"/>
                  <w:vMerge w:val="continue"/>
                  <w:tcBorders>
                    <w:tl2br w:val="nil"/>
                    <w:tr2bl w:val="nil"/>
                  </w:tcBorders>
                  <w:vAlign w:val="center"/>
                </w:tcPr>
                <w:p>
                  <w:pPr>
                    <w:jc w:val="center"/>
                    <w:rPr>
                      <w:rFonts w:hint="eastAsia" w:ascii="Times New Roman" w:hAnsi="Times New Roman" w:cs="Times New Roman"/>
                      <w:color w:val="auto"/>
                      <w:kern w:val="24"/>
                      <w:szCs w:val="21"/>
                      <w:highlight w:val="none"/>
                    </w:rPr>
                  </w:pPr>
                </w:p>
              </w:tc>
            </w:tr>
          </w:tbl>
          <w:p>
            <w:pPr>
              <w:autoSpaceDE w:val="0"/>
              <w:autoSpaceDN w:val="0"/>
              <w:adjustRightInd w:val="0"/>
              <w:spacing w:line="360" w:lineRule="auto"/>
              <w:ind w:firstLine="361" w:firstLineChars="150"/>
              <w:jc w:val="left"/>
              <w:rPr>
                <w:b/>
                <w:bCs/>
                <w:color w:val="auto"/>
                <w:kern w:val="0"/>
                <w:sz w:val="24"/>
                <w:szCs w:val="24"/>
                <w:highlight w:val="none"/>
              </w:rPr>
            </w:pPr>
            <w:r>
              <w:rPr>
                <w:b/>
                <w:bCs/>
                <w:color w:val="auto"/>
                <w:kern w:val="0"/>
                <w:sz w:val="24"/>
                <w:szCs w:val="24"/>
                <w:highlight w:val="none"/>
              </w:rPr>
              <w:t>4、</w:t>
            </w:r>
            <w:r>
              <w:rPr>
                <w:rFonts w:hint="eastAsia"/>
                <w:b/>
                <w:bCs/>
                <w:color w:val="auto"/>
                <w:kern w:val="0"/>
                <w:sz w:val="24"/>
                <w:szCs w:val="24"/>
                <w:highlight w:val="none"/>
                <w:lang w:eastAsia="zh-CN"/>
              </w:rPr>
              <w:t>一般固体废物</w:t>
            </w:r>
          </w:p>
          <w:p>
            <w:pPr>
              <w:autoSpaceDE w:val="0"/>
              <w:autoSpaceDN w:val="0"/>
              <w:adjustRightInd w:val="0"/>
              <w:spacing w:line="360" w:lineRule="auto"/>
              <w:ind w:firstLine="480" w:firstLineChars="200"/>
              <w:jc w:val="left"/>
              <w:rPr>
                <w:color w:val="auto"/>
                <w:kern w:val="0"/>
                <w:sz w:val="24"/>
                <w:szCs w:val="24"/>
                <w:highlight w:val="none"/>
              </w:rPr>
            </w:pPr>
            <w:r>
              <w:rPr>
                <w:color w:val="auto"/>
                <w:kern w:val="0"/>
                <w:sz w:val="24"/>
                <w:szCs w:val="24"/>
                <w:highlight w:val="none"/>
              </w:rPr>
              <w:t>⑴生活垃圾</w:t>
            </w:r>
          </w:p>
          <w:p>
            <w:pPr>
              <w:autoSpaceDE w:val="0"/>
              <w:autoSpaceDN w:val="0"/>
              <w:adjustRightInd w:val="0"/>
              <w:spacing w:line="360" w:lineRule="auto"/>
              <w:ind w:firstLine="480" w:firstLineChars="200"/>
              <w:jc w:val="left"/>
              <w:rPr>
                <w:color w:val="auto"/>
                <w:kern w:val="0"/>
                <w:sz w:val="24"/>
                <w:szCs w:val="24"/>
                <w:highlight w:val="none"/>
              </w:rPr>
            </w:pPr>
            <w:r>
              <w:rPr>
                <w:color w:val="auto"/>
                <w:kern w:val="0"/>
                <w:sz w:val="24"/>
                <w:szCs w:val="24"/>
                <w:highlight w:val="none"/>
              </w:rPr>
              <w:t>本项目员工</w:t>
            </w:r>
            <w:r>
              <w:rPr>
                <w:rFonts w:hint="eastAsia"/>
                <w:color w:val="auto"/>
                <w:kern w:val="0"/>
                <w:sz w:val="24"/>
                <w:szCs w:val="24"/>
                <w:highlight w:val="none"/>
                <w:lang w:val="en-US" w:eastAsia="zh-CN"/>
              </w:rPr>
              <w:t>5</w:t>
            </w:r>
            <w:r>
              <w:rPr>
                <w:color w:val="auto"/>
                <w:kern w:val="0"/>
                <w:sz w:val="24"/>
                <w:szCs w:val="24"/>
                <w:highlight w:val="none"/>
              </w:rPr>
              <w:t>人，厂内不设置宿舍和</w:t>
            </w:r>
            <w:r>
              <w:rPr>
                <w:rFonts w:hint="eastAsia"/>
                <w:color w:val="auto"/>
                <w:kern w:val="0"/>
                <w:sz w:val="24"/>
                <w:szCs w:val="24"/>
                <w:highlight w:val="none"/>
                <w:lang w:eastAsia="zh-CN"/>
              </w:rPr>
              <w:t>食堂</w:t>
            </w:r>
            <w:r>
              <w:rPr>
                <w:color w:val="auto"/>
                <w:kern w:val="0"/>
                <w:sz w:val="24"/>
                <w:szCs w:val="24"/>
                <w:highlight w:val="none"/>
              </w:rPr>
              <w:t>。根据《社会区域类环境影响评价》（中国环境科学出版社），我国目前城市人均生活垃圾为0.8~1.5kg/人•d，办公垃圾为0.5~1.0kg/人•d。本项目员工每人每天生活垃圾产生量按0.</w:t>
            </w:r>
            <w:r>
              <w:rPr>
                <w:rFonts w:hint="eastAsia"/>
                <w:color w:val="auto"/>
                <w:kern w:val="0"/>
                <w:sz w:val="24"/>
                <w:szCs w:val="24"/>
                <w:highlight w:val="none"/>
                <w:lang w:val="en-US" w:eastAsia="zh-CN"/>
              </w:rPr>
              <w:t>8</w:t>
            </w:r>
            <w:r>
              <w:rPr>
                <w:color w:val="auto"/>
                <w:kern w:val="0"/>
                <w:sz w:val="24"/>
                <w:szCs w:val="24"/>
                <w:highlight w:val="none"/>
              </w:rPr>
              <w:t>kg计，则此部分垃圾产生量为</w:t>
            </w:r>
            <w:r>
              <w:rPr>
                <w:rFonts w:hint="eastAsia"/>
                <w:color w:val="auto"/>
                <w:kern w:val="0"/>
                <w:sz w:val="24"/>
                <w:szCs w:val="24"/>
                <w:highlight w:val="none"/>
                <w:lang w:val="en-US" w:eastAsia="zh-CN"/>
              </w:rPr>
              <w:t>1.2</w:t>
            </w:r>
            <w:r>
              <w:rPr>
                <w:color w:val="auto"/>
                <w:kern w:val="0"/>
                <w:sz w:val="24"/>
                <w:szCs w:val="24"/>
                <w:highlight w:val="none"/>
              </w:rPr>
              <w:t>t/a，交由环卫部门集中处理。</w:t>
            </w:r>
          </w:p>
          <w:p>
            <w:pPr>
              <w:autoSpaceDE w:val="0"/>
              <w:autoSpaceDN w:val="0"/>
              <w:adjustRightInd w:val="0"/>
              <w:spacing w:line="360" w:lineRule="auto"/>
              <w:ind w:firstLine="480" w:firstLineChars="200"/>
              <w:jc w:val="left"/>
              <w:rPr>
                <w:rFonts w:hint="eastAsia" w:eastAsia="宋体"/>
                <w:color w:val="auto"/>
                <w:kern w:val="0"/>
                <w:sz w:val="24"/>
                <w:szCs w:val="24"/>
                <w:highlight w:val="none"/>
                <w:lang w:eastAsia="zh-CN"/>
              </w:rPr>
            </w:pPr>
            <w:r>
              <w:rPr>
                <w:color w:val="auto"/>
                <w:kern w:val="0"/>
                <w:sz w:val="24"/>
                <w:szCs w:val="24"/>
                <w:highlight w:val="none"/>
              </w:rPr>
              <w:t>⑵</w:t>
            </w:r>
            <w:r>
              <w:rPr>
                <w:rFonts w:hint="eastAsia"/>
                <w:color w:val="auto"/>
                <w:kern w:val="0"/>
                <w:sz w:val="24"/>
                <w:szCs w:val="24"/>
                <w:highlight w:val="none"/>
                <w:lang w:eastAsia="zh-CN"/>
              </w:rPr>
              <w:t>一般生产固废</w:t>
            </w:r>
          </w:p>
          <w:p>
            <w:pPr>
              <w:autoSpaceDE w:val="0"/>
              <w:autoSpaceDN w:val="0"/>
              <w:adjustRightInd w:val="0"/>
              <w:spacing w:line="360" w:lineRule="auto"/>
              <w:ind w:firstLine="480" w:firstLineChars="200"/>
              <w:jc w:val="left"/>
              <w:rPr>
                <w:rFonts w:hint="eastAsia" w:ascii="Times New Roman" w:hAnsi="Times New Roman"/>
                <w:color w:val="auto"/>
                <w:kern w:val="0"/>
                <w:sz w:val="24"/>
                <w:szCs w:val="22"/>
                <w:highlight w:val="none"/>
                <w:lang w:val="en-US" w:eastAsia="zh-CN"/>
              </w:rPr>
            </w:pPr>
            <w:r>
              <w:rPr>
                <w:rFonts w:hint="eastAsia"/>
                <w:color w:val="auto"/>
                <w:kern w:val="0"/>
                <w:sz w:val="24"/>
                <w:szCs w:val="22"/>
                <w:highlight w:val="none"/>
                <w:lang w:val="en-US" w:eastAsia="zh-CN"/>
              </w:rPr>
              <w:t>废包装材料：</w:t>
            </w:r>
            <w:r>
              <w:rPr>
                <w:rFonts w:hint="eastAsia" w:ascii="Times New Roman" w:hAnsi="Times New Roman"/>
                <w:color w:val="auto"/>
                <w:kern w:val="0"/>
                <w:sz w:val="24"/>
                <w:szCs w:val="22"/>
                <w:highlight w:val="none"/>
                <w:lang w:val="en-US" w:eastAsia="zh-CN"/>
              </w:rPr>
              <w:t>包装工序中产生的废弃包装材料，主要为废纸箱、废包装袋等，属一般工业固体废物，产生量约为</w:t>
            </w:r>
            <w:r>
              <w:rPr>
                <w:rFonts w:hint="eastAsia"/>
                <w:color w:val="auto"/>
                <w:kern w:val="0"/>
                <w:sz w:val="24"/>
                <w:szCs w:val="22"/>
                <w:highlight w:val="none"/>
                <w:lang w:val="en-US" w:eastAsia="zh-CN"/>
              </w:rPr>
              <w:t>1</w:t>
            </w:r>
            <w:r>
              <w:rPr>
                <w:rFonts w:hint="eastAsia" w:ascii="Times New Roman" w:hAnsi="Times New Roman"/>
                <w:color w:val="auto"/>
                <w:kern w:val="0"/>
                <w:sz w:val="24"/>
                <w:szCs w:val="22"/>
                <w:highlight w:val="none"/>
                <w:lang w:val="en-US" w:eastAsia="zh-CN"/>
              </w:rPr>
              <w:t>t/a</w:t>
            </w:r>
            <w:r>
              <w:rPr>
                <w:rFonts w:hint="eastAsia"/>
                <w:color w:val="auto"/>
                <w:kern w:val="0"/>
                <w:sz w:val="24"/>
                <w:szCs w:val="22"/>
                <w:highlight w:val="none"/>
                <w:lang w:val="en-US" w:eastAsia="zh-CN"/>
              </w:rPr>
              <w:t>。</w:t>
            </w:r>
            <w:r>
              <w:rPr>
                <w:rFonts w:hint="eastAsia" w:ascii="Times New Roman" w:hAnsi="Times New Roman"/>
                <w:color w:val="auto"/>
                <w:kern w:val="0"/>
                <w:sz w:val="24"/>
                <w:highlight w:val="none"/>
              </w:rPr>
              <w:t>统一收集后交由回收公司回收处理</w:t>
            </w:r>
            <w:r>
              <w:rPr>
                <w:rFonts w:hint="eastAsia" w:ascii="Times New Roman" w:hAnsi="Times New Roman"/>
                <w:color w:val="auto"/>
                <w:kern w:val="0"/>
                <w:sz w:val="24"/>
                <w:highlight w:val="none"/>
                <w:lang w:eastAsia="zh-CN"/>
              </w:rPr>
              <w:t>。</w:t>
            </w:r>
          </w:p>
          <w:p>
            <w:pPr>
              <w:autoSpaceDE w:val="0"/>
              <w:autoSpaceDN w:val="0"/>
              <w:adjustRightInd w:val="0"/>
              <w:spacing w:line="360" w:lineRule="auto"/>
              <w:ind w:firstLine="480" w:firstLineChars="200"/>
              <w:jc w:val="left"/>
              <w:rPr>
                <w:rFonts w:hint="eastAsia" w:ascii="Times New Roman" w:hAnsi="Times New Roman"/>
                <w:color w:val="auto"/>
                <w:kern w:val="0"/>
                <w:sz w:val="24"/>
                <w:highlight w:val="none"/>
                <w:lang w:val="en-US" w:eastAsia="zh-CN"/>
              </w:rPr>
            </w:pPr>
            <w:r>
              <w:rPr>
                <w:rFonts w:hint="eastAsia" w:ascii="Times New Roman" w:hAnsi="Times New Roman" w:cs="Times New Roman"/>
                <w:color w:val="auto"/>
                <w:kern w:val="0"/>
                <w:sz w:val="24"/>
                <w:szCs w:val="22"/>
                <w:highlight w:val="none"/>
                <w:lang w:val="en-US" w:eastAsia="zh-CN"/>
              </w:rPr>
              <w:t>边角</w:t>
            </w:r>
            <w:r>
              <w:rPr>
                <w:rFonts w:hint="eastAsia"/>
                <w:color w:val="auto"/>
                <w:kern w:val="0"/>
                <w:sz w:val="24"/>
                <w:szCs w:val="22"/>
                <w:highlight w:val="none"/>
                <w:lang w:val="en-US" w:eastAsia="zh-CN"/>
              </w:rPr>
              <w:t>料：</w:t>
            </w:r>
            <w:r>
              <w:rPr>
                <w:rFonts w:hint="eastAsia" w:ascii="Times New Roman" w:hAnsi="Times New Roman"/>
                <w:color w:val="auto"/>
                <w:kern w:val="0"/>
                <w:sz w:val="24"/>
                <w:szCs w:val="22"/>
                <w:highlight w:val="none"/>
                <w:lang w:val="en-US" w:eastAsia="zh-CN"/>
              </w:rPr>
              <w:t>项目机加工工序会产生金属边角料，根据建设单位提供的</w:t>
            </w:r>
            <w:r>
              <w:rPr>
                <w:rFonts w:hint="eastAsia"/>
                <w:color w:val="auto"/>
                <w:kern w:val="0"/>
                <w:sz w:val="24"/>
                <w:szCs w:val="22"/>
                <w:highlight w:val="none"/>
                <w:lang w:val="en-US" w:eastAsia="zh-CN"/>
              </w:rPr>
              <w:t>资料</w:t>
            </w:r>
            <w:r>
              <w:rPr>
                <w:rFonts w:hint="eastAsia" w:ascii="Times New Roman" w:hAnsi="Times New Roman"/>
                <w:color w:val="auto"/>
                <w:kern w:val="0"/>
                <w:sz w:val="24"/>
                <w:szCs w:val="22"/>
                <w:highlight w:val="none"/>
                <w:lang w:val="en-US" w:eastAsia="zh-CN"/>
              </w:rPr>
              <w:t>，金属边角料产生量为</w:t>
            </w:r>
            <w:r>
              <w:rPr>
                <w:rFonts w:hint="eastAsia"/>
                <w:color w:val="auto"/>
                <w:kern w:val="0"/>
                <w:sz w:val="24"/>
                <w:szCs w:val="22"/>
                <w:highlight w:val="none"/>
                <w:lang w:val="en-US" w:eastAsia="zh-CN"/>
              </w:rPr>
              <w:t>4</w:t>
            </w:r>
            <w:r>
              <w:rPr>
                <w:rFonts w:hint="eastAsia" w:ascii="Times New Roman" w:hAnsi="Times New Roman"/>
                <w:color w:val="auto"/>
                <w:kern w:val="0"/>
                <w:sz w:val="24"/>
                <w:szCs w:val="22"/>
                <w:highlight w:val="none"/>
                <w:lang w:val="en-US" w:eastAsia="zh-CN"/>
              </w:rPr>
              <w:t>t/a。</w:t>
            </w:r>
            <w:r>
              <w:rPr>
                <w:rFonts w:hint="eastAsia" w:ascii="Times New Roman" w:hAnsi="Times New Roman"/>
                <w:color w:val="auto"/>
                <w:kern w:val="0"/>
                <w:sz w:val="24"/>
                <w:highlight w:val="none"/>
              </w:rPr>
              <w:t>统一收集后交由回收公司回收处理</w:t>
            </w:r>
            <w:r>
              <w:rPr>
                <w:rFonts w:hint="eastAsia" w:ascii="Times New Roman" w:hAnsi="Times New Roman"/>
                <w:color w:val="auto"/>
                <w:kern w:val="0"/>
                <w:sz w:val="24"/>
                <w:highlight w:val="none"/>
                <w:lang w:eastAsia="zh-CN"/>
              </w:rPr>
              <w:t>。</w:t>
            </w:r>
            <w:r>
              <w:rPr>
                <w:rFonts w:hint="eastAsia" w:ascii="Times New Roman" w:hAnsi="Times New Roman"/>
                <w:color w:val="auto"/>
                <w:kern w:val="0"/>
                <w:sz w:val="24"/>
                <w:highlight w:val="none"/>
                <w:lang w:val="en-US" w:eastAsia="zh-CN"/>
              </w:rPr>
              <w:t xml:space="preserve"> </w:t>
            </w:r>
          </w:p>
          <w:p>
            <w:pPr>
              <w:pStyle w:val="2"/>
              <w:spacing w:line="360" w:lineRule="auto"/>
              <w:rPr>
                <w:rFonts w:hint="default"/>
                <w:color w:val="auto"/>
                <w:highlight w:val="none"/>
                <w:lang w:val="en-US" w:eastAsia="zh-CN"/>
              </w:rPr>
            </w:pPr>
            <w:r>
              <w:rPr>
                <w:rFonts w:hint="eastAsia" w:ascii="Times New Roman" w:hAnsi="Times New Roman"/>
                <w:color w:val="auto"/>
                <w:kern w:val="0"/>
                <w:sz w:val="24"/>
                <w:highlight w:val="none"/>
                <w:lang w:val="en-US" w:eastAsia="zh-CN"/>
              </w:rPr>
              <w:t xml:space="preserve">    不合格品：项目检验工序会产生不合格品，根据建设单位提供的资料，不合格品产生量为1t/a。统一收集后交由回收公司回收处理。</w:t>
            </w:r>
          </w:p>
          <w:p>
            <w:pPr>
              <w:pStyle w:val="2"/>
              <w:spacing w:line="360" w:lineRule="auto"/>
              <w:ind w:firstLine="480" w:firstLineChars="200"/>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fldChar w:fldCharType="begin"/>
            </w:r>
            <w:r>
              <w:rPr>
                <w:rFonts w:hint="eastAsia" w:ascii="Times New Roman" w:hAnsi="Times New Roman" w:cs="Times New Roman"/>
                <w:color w:val="auto"/>
                <w:kern w:val="0"/>
                <w:sz w:val="24"/>
                <w:szCs w:val="22"/>
                <w:highlight w:val="none"/>
                <w:lang w:val="en-US" w:eastAsia="zh-CN"/>
              </w:rPr>
              <w:instrText xml:space="preserve"> = 3 \* GB2 \* MERGEFORMAT </w:instrText>
            </w:r>
            <w:r>
              <w:rPr>
                <w:rFonts w:hint="eastAsia" w:ascii="Times New Roman" w:hAnsi="Times New Roman" w:cs="Times New Roman"/>
                <w:color w:val="auto"/>
                <w:kern w:val="0"/>
                <w:sz w:val="24"/>
                <w:szCs w:val="22"/>
                <w:highlight w:val="none"/>
                <w:lang w:val="en-US" w:eastAsia="zh-CN"/>
              </w:rPr>
              <w:fldChar w:fldCharType="separate"/>
            </w:r>
            <w:r>
              <w:rPr>
                <w:rFonts w:hint="eastAsia" w:ascii="Times New Roman" w:hAnsi="Times New Roman" w:cs="Times New Roman"/>
                <w:color w:val="auto"/>
                <w:kern w:val="0"/>
                <w:sz w:val="24"/>
                <w:szCs w:val="22"/>
                <w:highlight w:val="none"/>
                <w:lang w:val="en-US" w:eastAsia="zh-CN"/>
              </w:rPr>
              <w:t>⑶</w:t>
            </w:r>
            <w:r>
              <w:rPr>
                <w:rFonts w:hint="eastAsia" w:ascii="Times New Roman" w:hAnsi="Times New Roman" w:cs="Times New Roman"/>
                <w:color w:val="auto"/>
                <w:kern w:val="0"/>
                <w:sz w:val="24"/>
                <w:szCs w:val="22"/>
                <w:highlight w:val="none"/>
                <w:lang w:val="en-US" w:eastAsia="zh-CN"/>
              </w:rPr>
              <w:fldChar w:fldCharType="end"/>
            </w:r>
            <w:r>
              <w:rPr>
                <w:rFonts w:hint="eastAsia" w:ascii="Times New Roman" w:hAnsi="Times New Roman" w:cs="Times New Roman"/>
                <w:color w:val="auto"/>
                <w:kern w:val="0"/>
                <w:sz w:val="24"/>
                <w:szCs w:val="22"/>
                <w:highlight w:val="none"/>
                <w:lang w:val="en-US" w:eastAsia="zh-CN"/>
              </w:rPr>
              <w:t>危险废物</w:t>
            </w:r>
          </w:p>
          <w:p>
            <w:pPr>
              <w:pStyle w:val="4"/>
              <w:spacing w:line="360" w:lineRule="auto"/>
              <w:jc w:val="left"/>
              <w:rPr>
                <w:rFonts w:hint="eastAsia"/>
                <w:color w:val="auto"/>
                <w:highlight w:val="none"/>
                <w:lang w:val="en-US" w:eastAsia="zh-CN"/>
              </w:rPr>
            </w:pPr>
            <w:r>
              <w:rPr>
                <w:rFonts w:hint="eastAsia"/>
                <w:color w:val="auto"/>
                <w:sz w:val="24"/>
                <w:szCs w:val="24"/>
                <w:highlight w:val="none"/>
                <w:lang w:val="en-US" w:eastAsia="zh-CN"/>
              </w:rPr>
              <w:t>含油废抹布和手套：</w:t>
            </w:r>
            <w:r>
              <w:rPr>
                <w:rFonts w:hint="eastAsia" w:ascii="Times New Roman" w:cs="Times New Roman"/>
                <w:color w:val="auto"/>
                <w:kern w:val="0"/>
                <w:sz w:val="24"/>
                <w:szCs w:val="24"/>
                <w:highlight w:val="none"/>
                <w:lang w:val="en-US" w:eastAsia="zh-CN" w:bidi="ar-SA"/>
              </w:rPr>
              <w:t>本项目使用润滑油</w:t>
            </w:r>
            <w:r>
              <w:rPr>
                <w:rFonts w:hint="eastAsia" w:ascii="Times New Roman" w:hAnsi="Times New Roman" w:eastAsia="宋体" w:cs="Times New Roman"/>
                <w:color w:val="auto"/>
                <w:kern w:val="0"/>
                <w:sz w:val="24"/>
                <w:szCs w:val="24"/>
                <w:highlight w:val="none"/>
                <w:lang w:val="en-US" w:eastAsia="zh-CN" w:bidi="ar-SA"/>
              </w:rPr>
              <w:t>过程会产生含油废弃抹布</w:t>
            </w:r>
            <w:r>
              <w:rPr>
                <w:rFonts w:hint="eastAsia" w:ascii="Times New Roman" w:cs="Times New Roman"/>
                <w:color w:val="auto"/>
                <w:kern w:val="0"/>
                <w:sz w:val="24"/>
                <w:szCs w:val="24"/>
                <w:highlight w:val="none"/>
                <w:lang w:val="en-US" w:eastAsia="zh-CN" w:bidi="ar-SA"/>
              </w:rPr>
              <w:t>和手套</w:t>
            </w:r>
            <w:r>
              <w:rPr>
                <w:rFonts w:hint="eastAsia" w:ascii="Times New Roman" w:hAnsi="Times New Roman" w:eastAsia="宋体" w:cs="Times New Roman"/>
                <w:color w:val="auto"/>
                <w:kern w:val="0"/>
                <w:sz w:val="24"/>
                <w:szCs w:val="24"/>
                <w:highlight w:val="none"/>
                <w:lang w:val="en-US" w:eastAsia="zh-CN" w:bidi="ar-SA"/>
              </w:rPr>
              <w:t>，据业主提供资料，本项目手套及抹布为0.5kg/月，粘有油污后手套及抹布约增重0.1kg/月，即每月产生的含油抹布和手套的量约为0.6kg。项目一年生产12个月，共300天，则项目含油抹布和手套的产生量约为 0.0072t/a。含油废弃抹布属危险废物，废物类别为 HW49，废物代码900-041-49，建设单位应将其独立收集，尽可能避免其混入生活垃圾中，放于</w:t>
            </w:r>
            <w:r>
              <w:rPr>
                <w:rFonts w:hint="eastAsia" w:ascii="Times New Roman" w:cs="Times New Roman"/>
                <w:color w:val="auto"/>
                <w:kern w:val="0"/>
                <w:sz w:val="24"/>
                <w:szCs w:val="24"/>
                <w:highlight w:val="none"/>
                <w:lang w:val="en-US" w:eastAsia="zh-CN" w:bidi="ar-SA"/>
              </w:rPr>
              <w:t>危废暂存区</w:t>
            </w:r>
            <w:r>
              <w:rPr>
                <w:rFonts w:hint="eastAsia" w:ascii="Times New Roman" w:hAnsi="Times New Roman" w:eastAsia="宋体" w:cs="Times New Roman"/>
                <w:color w:val="auto"/>
                <w:kern w:val="0"/>
                <w:sz w:val="24"/>
                <w:szCs w:val="24"/>
                <w:highlight w:val="none"/>
                <w:lang w:val="en-US" w:eastAsia="zh-CN" w:bidi="ar-SA"/>
              </w:rPr>
              <w:t>，定期交给有资质的单位进行处理。</w:t>
            </w:r>
          </w:p>
          <w:p>
            <w:pPr>
              <w:pStyle w:val="2"/>
              <w:spacing w:line="360" w:lineRule="auto"/>
              <w:ind w:firstLine="480" w:firstLineChars="200"/>
              <w:rPr>
                <w:rFonts w:hint="eastAsia" w:ascii="Times New Roman" w:hAnsi="Times New Roman"/>
                <w:color w:val="auto"/>
                <w:kern w:val="0"/>
                <w:sz w:val="24"/>
                <w:highlight w:val="none"/>
                <w:lang w:val="en-US" w:eastAsia="zh-CN"/>
              </w:rPr>
            </w:pPr>
            <w:r>
              <w:rPr>
                <w:rFonts w:hint="eastAsia" w:ascii="Times New Roman" w:hAnsi="Times New Roman"/>
                <w:color w:val="auto"/>
                <w:kern w:val="0"/>
                <w:sz w:val="24"/>
                <w:highlight w:val="none"/>
                <w:lang w:val="en-US" w:eastAsia="zh-CN"/>
              </w:rPr>
              <w:t>废润滑油：项目生产过程中需要使用润滑油对机械设备进行维护，此过程中会产生废润滑油。根据项目使用的机器设备保养要求，设备的润滑油更换频率为1次/年，则项目废润滑油的产生量为0.76t/a。废润滑油属于危险废物，类别为HW08，废物代码900-249-8。应暂存于危废暂存区，适时交由有资质的单位进行处理。</w:t>
            </w:r>
          </w:p>
          <w:p>
            <w:pPr>
              <w:pStyle w:val="2"/>
              <w:spacing w:line="360" w:lineRule="auto"/>
              <w:ind w:firstLine="480" w:firstLineChars="200"/>
              <w:rPr>
                <w:rFonts w:hint="eastAsia" w:ascii="Times New Roman" w:hAnsi="Times New Roman"/>
                <w:color w:val="auto"/>
                <w:kern w:val="0"/>
                <w:sz w:val="24"/>
                <w:highlight w:val="none"/>
                <w:lang w:val="en-US" w:eastAsia="zh-CN"/>
              </w:rPr>
            </w:pPr>
            <w:r>
              <w:rPr>
                <w:rFonts w:hint="eastAsia" w:ascii="Times New Roman" w:hAnsi="Times New Roman"/>
                <w:color w:val="auto"/>
                <w:kern w:val="0"/>
                <w:sz w:val="24"/>
                <w:highlight w:val="none"/>
                <w:lang w:val="en-US" w:eastAsia="zh-CN"/>
              </w:rPr>
              <w:t>废润滑油油桶：本项目使用的润滑油为桶装，净含量50kg/桶。根据上文可知，项目使用润滑油共计0.96t/a（960kg/a），故废润滑油油桶的产生量共20个。空桶质量为1.5kg/个，则项目年产生废润滑油油桶约30kg，即0.03t/a。废润滑油油桶属危险废物，废物类别为HW49，废物代码 900-041-49，建设单位应妥善收集，并存放于危废暂存区，适时交给有资质的单位进行处理。</w:t>
            </w:r>
          </w:p>
          <w:p>
            <w:pPr>
              <w:pStyle w:val="2"/>
              <w:spacing w:line="360" w:lineRule="auto"/>
              <w:jc w:val="center"/>
              <w:rPr>
                <w:rFonts w:hint="default" w:ascii="Times New Roman" w:hAnsi="Times New Roman" w:eastAsia="宋体" w:cs="Times New Roman"/>
                <w:b/>
                <w:color w:val="auto"/>
                <w:kern w:val="2"/>
                <w:sz w:val="21"/>
                <w:szCs w:val="22"/>
                <w:highlight w:val="none"/>
                <w:lang w:val="en-US" w:eastAsia="zh-CN" w:bidi="ar-SA"/>
              </w:rPr>
            </w:pPr>
            <w:r>
              <w:rPr>
                <w:rFonts w:hint="eastAsia" w:ascii="Times New Roman" w:hAnsi="Times New Roman" w:eastAsia="宋体" w:cs="Times New Roman"/>
                <w:b/>
                <w:color w:val="auto"/>
                <w:kern w:val="2"/>
                <w:sz w:val="21"/>
                <w:szCs w:val="22"/>
                <w:highlight w:val="none"/>
                <w:lang w:val="en-US" w:eastAsia="zh-CN" w:bidi="ar-SA"/>
              </w:rPr>
              <w:t>表 5-</w:t>
            </w:r>
            <w:r>
              <w:rPr>
                <w:rFonts w:hint="eastAsia" w:ascii="Times New Roman" w:hAnsi="Times New Roman" w:cs="Times New Roman"/>
                <w:b/>
                <w:color w:val="auto"/>
                <w:kern w:val="2"/>
                <w:sz w:val="21"/>
                <w:szCs w:val="22"/>
                <w:highlight w:val="none"/>
                <w:lang w:val="en-US" w:eastAsia="zh-CN" w:bidi="ar-SA"/>
              </w:rPr>
              <w:t xml:space="preserve">8  </w:t>
            </w:r>
            <w:r>
              <w:rPr>
                <w:rFonts w:hint="eastAsia" w:ascii="Times New Roman" w:hAnsi="Times New Roman" w:eastAsia="宋体" w:cs="Times New Roman"/>
                <w:b/>
                <w:color w:val="auto"/>
                <w:kern w:val="2"/>
                <w:sz w:val="21"/>
                <w:szCs w:val="22"/>
                <w:highlight w:val="none"/>
                <w:lang w:val="en-US" w:eastAsia="zh-CN" w:bidi="ar-SA"/>
              </w:rPr>
              <w:t>危险废物产生情况</w:t>
            </w:r>
          </w:p>
          <w:tbl>
            <w:tblPr>
              <w:tblStyle w:val="35"/>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900"/>
              <w:gridCol w:w="675"/>
              <w:gridCol w:w="1081"/>
              <w:gridCol w:w="705"/>
              <w:gridCol w:w="915"/>
              <w:gridCol w:w="669"/>
              <w:gridCol w:w="763"/>
              <w:gridCol w:w="763"/>
              <w:gridCol w:w="763"/>
              <w:gridCol w:w="758"/>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96"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序号</w:t>
                  </w:r>
                </w:p>
              </w:tc>
              <w:tc>
                <w:tcPr>
                  <w:tcW w:w="900"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种类</w:t>
                  </w:r>
                </w:p>
              </w:tc>
              <w:tc>
                <w:tcPr>
                  <w:tcW w:w="67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危险废物类别</w:t>
                  </w:r>
                </w:p>
              </w:tc>
              <w:tc>
                <w:tcPr>
                  <w:tcW w:w="1081"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危险废物代码</w:t>
                  </w:r>
                </w:p>
              </w:tc>
              <w:tc>
                <w:tcPr>
                  <w:tcW w:w="70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产生量</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（t/a）</w:t>
                  </w:r>
                </w:p>
              </w:tc>
              <w:tc>
                <w:tcPr>
                  <w:tcW w:w="91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产生工序及装置</w:t>
                  </w:r>
                </w:p>
              </w:tc>
              <w:tc>
                <w:tcPr>
                  <w:tcW w:w="669"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形态</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主要</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成分</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危险</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成分</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产废</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周期</w:t>
                  </w:r>
                </w:p>
              </w:tc>
              <w:tc>
                <w:tcPr>
                  <w:tcW w:w="758"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危险</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特性</w:t>
                  </w:r>
                </w:p>
              </w:tc>
              <w:tc>
                <w:tcPr>
                  <w:tcW w:w="752"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污染防</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96"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1</w:t>
                  </w:r>
                </w:p>
              </w:tc>
              <w:tc>
                <w:tcPr>
                  <w:tcW w:w="900"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含油废抹布、手套</w:t>
                  </w:r>
                </w:p>
              </w:tc>
              <w:tc>
                <w:tcPr>
                  <w:tcW w:w="67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HW49</w:t>
                  </w:r>
                </w:p>
              </w:tc>
              <w:tc>
                <w:tcPr>
                  <w:tcW w:w="1081"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900-041-49</w:t>
                  </w:r>
                </w:p>
              </w:tc>
              <w:tc>
                <w:tcPr>
                  <w:tcW w:w="70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0.0072</w:t>
                  </w:r>
                </w:p>
              </w:tc>
              <w:tc>
                <w:tcPr>
                  <w:tcW w:w="91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锻压、</w:t>
                  </w:r>
                  <w:r>
                    <w:rPr>
                      <w:rFonts w:hint="eastAsia" w:ascii="Times New Roman" w:hAnsi="Times New Roman" w:eastAsia="宋体" w:cs="Times New Roman"/>
                      <w:color w:val="auto"/>
                      <w:kern w:val="0"/>
                      <w:sz w:val="21"/>
                      <w:szCs w:val="21"/>
                      <w:highlight w:val="none"/>
                      <w:lang w:eastAsia="zh-CN"/>
                    </w:rPr>
                    <w:t>设备润滑</w:t>
                  </w:r>
                </w:p>
              </w:tc>
              <w:tc>
                <w:tcPr>
                  <w:tcW w:w="669"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固态</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润滑油、布料</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1年</w:t>
                  </w:r>
                </w:p>
              </w:tc>
              <w:tc>
                <w:tcPr>
                  <w:tcW w:w="758"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T，I</w:t>
                  </w:r>
                </w:p>
              </w:tc>
              <w:tc>
                <w:tcPr>
                  <w:tcW w:w="752" w:type="dxa"/>
                  <w:vMerge w:val="restart"/>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交具有</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危废处</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置资质</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的公司</w:t>
                  </w:r>
                </w:p>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96"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2</w:t>
                  </w:r>
                </w:p>
              </w:tc>
              <w:tc>
                <w:tcPr>
                  <w:tcW w:w="900"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废润滑油</w:t>
                  </w:r>
                </w:p>
              </w:tc>
              <w:tc>
                <w:tcPr>
                  <w:tcW w:w="67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HW08</w:t>
                  </w:r>
                </w:p>
              </w:tc>
              <w:tc>
                <w:tcPr>
                  <w:tcW w:w="1081"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 xml:space="preserve">900-249-8 </w:t>
                  </w:r>
                </w:p>
              </w:tc>
              <w:tc>
                <w:tcPr>
                  <w:tcW w:w="70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0.76</w:t>
                  </w:r>
                </w:p>
              </w:tc>
              <w:tc>
                <w:tcPr>
                  <w:tcW w:w="91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 xml:space="preserve"> </w:t>
                  </w:r>
                  <w:r>
                    <w:rPr>
                      <w:rFonts w:hint="eastAsia" w:ascii="Times New Roman" w:hAnsi="Times New Roman" w:eastAsia="宋体" w:cs="Times New Roman"/>
                      <w:color w:val="auto"/>
                      <w:kern w:val="0"/>
                      <w:sz w:val="21"/>
                      <w:szCs w:val="21"/>
                      <w:highlight w:val="none"/>
                      <w:lang w:eastAsia="zh-CN"/>
                    </w:rPr>
                    <w:t>设备润滑</w:t>
                  </w:r>
                </w:p>
              </w:tc>
              <w:tc>
                <w:tcPr>
                  <w:tcW w:w="669"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液体</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1年</w:t>
                  </w:r>
                </w:p>
              </w:tc>
              <w:tc>
                <w:tcPr>
                  <w:tcW w:w="758"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color w:val="auto"/>
                      <w:sz w:val="21"/>
                      <w:szCs w:val="21"/>
                      <w:highlight w:val="none"/>
                    </w:rPr>
                    <w:t>T，I</w:t>
                  </w:r>
                </w:p>
              </w:tc>
              <w:tc>
                <w:tcPr>
                  <w:tcW w:w="752" w:type="dxa"/>
                  <w:vMerge w:val="continue"/>
                  <w:vAlign w:val="center"/>
                </w:tcPr>
                <w:p>
                  <w:pPr>
                    <w:pStyle w:val="2"/>
                    <w:jc w:val="center"/>
                    <w:rPr>
                      <w:rFonts w:hint="eastAsia" w:ascii="Times New Roman" w:hAnsi="Times New Roman"/>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96"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3</w:t>
                  </w:r>
                </w:p>
              </w:tc>
              <w:tc>
                <w:tcPr>
                  <w:tcW w:w="900"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废润滑油油桶</w:t>
                  </w:r>
                </w:p>
              </w:tc>
              <w:tc>
                <w:tcPr>
                  <w:tcW w:w="67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 xml:space="preserve">HW49 </w:t>
                  </w:r>
                </w:p>
              </w:tc>
              <w:tc>
                <w:tcPr>
                  <w:tcW w:w="1081"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 xml:space="preserve">900-041-49 </w:t>
                  </w:r>
                </w:p>
              </w:tc>
              <w:tc>
                <w:tcPr>
                  <w:tcW w:w="70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0.03</w:t>
                  </w:r>
                </w:p>
              </w:tc>
              <w:tc>
                <w:tcPr>
                  <w:tcW w:w="91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 xml:space="preserve"> 锻压、</w:t>
                  </w:r>
                  <w:r>
                    <w:rPr>
                      <w:rFonts w:hint="eastAsia" w:ascii="Times New Roman" w:hAnsi="Times New Roman" w:eastAsia="宋体" w:cs="Times New Roman"/>
                      <w:color w:val="auto"/>
                      <w:kern w:val="0"/>
                      <w:sz w:val="21"/>
                      <w:szCs w:val="21"/>
                      <w:highlight w:val="none"/>
                      <w:lang w:eastAsia="zh-CN"/>
                    </w:rPr>
                    <w:t>设备润滑</w:t>
                  </w:r>
                </w:p>
              </w:tc>
              <w:tc>
                <w:tcPr>
                  <w:tcW w:w="669"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固态</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润滑油</w:t>
                  </w:r>
                </w:p>
              </w:tc>
              <w:tc>
                <w:tcPr>
                  <w:tcW w:w="763"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1年</w:t>
                  </w:r>
                </w:p>
              </w:tc>
              <w:tc>
                <w:tcPr>
                  <w:tcW w:w="758"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T，I</w:t>
                  </w:r>
                </w:p>
              </w:tc>
              <w:tc>
                <w:tcPr>
                  <w:tcW w:w="752" w:type="dxa"/>
                  <w:vMerge w:val="continue"/>
                  <w:vAlign w:val="center"/>
                </w:tcPr>
                <w:p>
                  <w:pPr>
                    <w:pStyle w:val="2"/>
                    <w:jc w:val="center"/>
                    <w:rPr>
                      <w:rFonts w:hint="eastAsia" w:ascii="Times New Roman" w:hAnsi="Times New Roman"/>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52" w:type="dxa"/>
                  <w:gridSpan w:val="4"/>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危险废物合计</w:t>
                  </w:r>
                </w:p>
              </w:tc>
              <w:tc>
                <w:tcPr>
                  <w:tcW w:w="70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0.7972</w:t>
                  </w:r>
                </w:p>
              </w:tc>
              <w:tc>
                <w:tcPr>
                  <w:tcW w:w="915"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w:t>
                  </w:r>
                </w:p>
              </w:tc>
              <w:tc>
                <w:tcPr>
                  <w:tcW w:w="669" w:type="dxa"/>
                  <w:vAlign w:val="center"/>
                </w:tcPr>
                <w:p>
                  <w:pPr>
                    <w:pStyle w:val="2"/>
                    <w:jc w:val="center"/>
                    <w:rPr>
                      <w:rFonts w:hint="eastAsia" w:ascii="Times New Roman" w:hAnsi="Times New Roman"/>
                      <w:color w:val="auto"/>
                      <w:kern w:val="0"/>
                      <w:sz w:val="21"/>
                      <w:szCs w:val="21"/>
                      <w:highlight w:val="none"/>
                      <w:vertAlign w:val="baseline"/>
                      <w:lang w:val="en-US" w:eastAsia="zh-CN"/>
                    </w:rPr>
                  </w:pPr>
                  <w:r>
                    <w:rPr>
                      <w:rFonts w:hint="eastAsia" w:ascii="Times New Roman" w:hAnsi="Times New Roman"/>
                      <w:color w:val="auto"/>
                      <w:kern w:val="0"/>
                      <w:sz w:val="21"/>
                      <w:szCs w:val="21"/>
                      <w:highlight w:val="none"/>
                      <w:vertAlign w:val="baseline"/>
                      <w:lang w:val="en-US" w:eastAsia="zh-CN"/>
                    </w:rPr>
                    <w:t>---</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color w:val="auto"/>
                      <w:sz w:val="21"/>
                      <w:szCs w:val="21"/>
                      <w:highlight w:val="none"/>
                    </w:rPr>
                    <w:t>---</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color w:val="auto"/>
                      <w:sz w:val="21"/>
                      <w:szCs w:val="21"/>
                      <w:highlight w:val="none"/>
                    </w:rPr>
                    <w:t>---</w:t>
                  </w:r>
                </w:p>
              </w:tc>
              <w:tc>
                <w:tcPr>
                  <w:tcW w:w="763"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color w:val="auto"/>
                      <w:sz w:val="21"/>
                      <w:szCs w:val="21"/>
                      <w:highlight w:val="none"/>
                    </w:rPr>
                    <w:t>---</w:t>
                  </w:r>
                </w:p>
              </w:tc>
              <w:tc>
                <w:tcPr>
                  <w:tcW w:w="758" w:type="dxa"/>
                  <w:vAlign w:val="center"/>
                </w:tcPr>
                <w:p>
                  <w:pPr>
                    <w:jc w:val="center"/>
                    <w:rPr>
                      <w:rFonts w:hint="eastAsia" w:ascii="Times New Roman" w:hAnsi="Times New Roman"/>
                      <w:color w:val="auto"/>
                      <w:kern w:val="0"/>
                      <w:sz w:val="21"/>
                      <w:szCs w:val="21"/>
                      <w:highlight w:val="none"/>
                      <w:vertAlign w:val="baseline"/>
                      <w:lang w:val="en-US" w:eastAsia="zh-CN"/>
                    </w:rPr>
                  </w:pPr>
                  <w:r>
                    <w:rPr>
                      <w:rFonts w:hint="eastAsia"/>
                      <w:color w:val="auto"/>
                      <w:sz w:val="21"/>
                      <w:szCs w:val="21"/>
                      <w:highlight w:val="none"/>
                    </w:rPr>
                    <w:t>---</w:t>
                  </w:r>
                </w:p>
              </w:tc>
              <w:tc>
                <w:tcPr>
                  <w:tcW w:w="752" w:type="dxa"/>
                  <w:vMerge w:val="continue"/>
                  <w:vAlign w:val="center"/>
                </w:tcPr>
                <w:p>
                  <w:pPr>
                    <w:pStyle w:val="2"/>
                    <w:jc w:val="center"/>
                    <w:rPr>
                      <w:rFonts w:hint="eastAsia" w:ascii="Times New Roman" w:hAnsi="Times New Roman"/>
                      <w:color w:val="auto"/>
                      <w:kern w:val="0"/>
                      <w:sz w:val="21"/>
                      <w:szCs w:val="21"/>
                      <w:highlight w:val="none"/>
                      <w:vertAlign w:val="baseline"/>
                      <w:lang w:val="en-US" w:eastAsia="zh-CN"/>
                    </w:rPr>
                  </w:pPr>
                </w:p>
              </w:tc>
            </w:tr>
          </w:tbl>
          <w:p>
            <w:pPr>
              <w:pStyle w:val="2"/>
              <w:spacing w:line="240" w:lineRule="auto"/>
              <w:ind w:firstLine="420" w:firstLineChars="200"/>
              <w:rPr>
                <w:color w:val="auto"/>
                <w:highlight w:val="none"/>
              </w:rPr>
            </w:pPr>
            <w:r>
              <w:rPr>
                <w:rFonts w:hint="eastAsia" w:ascii="Times New Roman" w:hAnsi="Times New Roman"/>
                <w:color w:val="auto"/>
                <w:kern w:val="0"/>
                <w:sz w:val="21"/>
                <w:szCs w:val="21"/>
                <w:highlight w:val="none"/>
                <w:lang w:val="en-US" w:eastAsia="zh-CN"/>
              </w:rPr>
              <w:t>注：1、危险特性中 T：毒性、I：易燃性。</w:t>
            </w:r>
          </w:p>
        </w:tc>
      </w:tr>
    </w:tbl>
    <w:p>
      <w:pPr>
        <w:pStyle w:val="16"/>
        <w:spacing w:before="0" w:after="0" w:line="240" w:lineRule="auto"/>
        <w:rPr>
          <w:color w:val="auto"/>
          <w:sz w:val="28"/>
          <w:szCs w:val="28"/>
          <w:highlight w:val="none"/>
        </w:rPr>
      </w:pPr>
      <w:bookmarkStart w:id="52" w:name="_Toc451440906"/>
      <w:bookmarkStart w:id="53" w:name="_Toc17219"/>
      <w:bookmarkStart w:id="54" w:name="_Toc421087973"/>
      <w:bookmarkStart w:id="55" w:name="_Toc1797"/>
      <w:bookmarkStart w:id="56" w:name="_Toc21441"/>
      <w:bookmarkStart w:id="57" w:name="_Toc419969246"/>
      <w:bookmarkStart w:id="58" w:name="_Toc423079059"/>
      <w:bookmarkStart w:id="59" w:name="_Toc420709133"/>
      <w:bookmarkStart w:id="60" w:name="_Toc421053063"/>
      <w:bookmarkStart w:id="61" w:name="_Toc429307988"/>
      <w:r>
        <w:rPr>
          <w:color w:val="auto"/>
          <w:sz w:val="28"/>
          <w:szCs w:val="28"/>
          <w:highlight w:val="none"/>
        </w:rPr>
        <w:t>六、项目主要污染物产生及预计排放情况</w:t>
      </w:r>
      <w:bookmarkEnd w:id="52"/>
      <w:bookmarkEnd w:id="53"/>
      <w:bookmarkEnd w:id="54"/>
      <w:bookmarkEnd w:id="55"/>
      <w:bookmarkEnd w:id="56"/>
      <w:bookmarkEnd w:id="57"/>
      <w:bookmarkEnd w:id="58"/>
      <w:bookmarkEnd w:id="59"/>
      <w:bookmarkEnd w:id="60"/>
      <w:bookmarkEnd w:id="61"/>
    </w:p>
    <w:tbl>
      <w:tblPr>
        <w:tblStyle w:val="34"/>
        <w:tblW w:w="91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5" w:hRule="atLeast"/>
          <w:jc w:val="center"/>
        </w:trPr>
        <w:tc>
          <w:tcPr>
            <w:tcW w:w="9151" w:type="dxa"/>
            <w:tcBorders>
              <w:top w:val="single" w:color="auto" w:sz="12" w:space="0"/>
              <w:bottom w:val="single" w:color="auto" w:sz="12" w:space="0"/>
            </w:tcBorders>
          </w:tcPr>
          <w:tbl>
            <w:tblPr>
              <w:tblStyle w:val="34"/>
              <w:tblW w:w="899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56"/>
              <w:gridCol w:w="900"/>
              <w:gridCol w:w="872"/>
              <w:gridCol w:w="1380"/>
              <w:gridCol w:w="1140"/>
              <w:gridCol w:w="1410"/>
              <w:gridCol w:w="10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tcBorders>
                    <w:tl2br w:val="nil"/>
                    <w:tr2bl w:val="nil"/>
                  </w:tcBorders>
                  <w:vAlign w:val="center"/>
                </w:tcPr>
                <w:p>
                  <w:pPr>
                    <w:spacing w:line="360" w:lineRule="auto"/>
                    <w:ind w:firstLine="210" w:firstLineChars="100"/>
                    <w:jc w:val="center"/>
                    <w:rPr>
                      <w:color w:val="auto"/>
                      <w:sz w:val="21"/>
                      <w:szCs w:val="21"/>
                      <w:highlight w:val="none"/>
                    </w:rPr>
                  </w:pPr>
                  <w:r>
                    <w:rPr>
                      <w:color w:val="auto"/>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-65405</wp:posOffset>
                            </wp:positionH>
                            <wp:positionV relativeFrom="paragraph">
                              <wp:posOffset>0</wp:posOffset>
                            </wp:positionV>
                            <wp:extent cx="720725" cy="603885"/>
                            <wp:effectExtent l="3175" t="3810" r="19050" b="20955"/>
                            <wp:wrapNone/>
                            <wp:docPr id="13" name="__TH_L33"/>
                            <wp:cNvGraphicFramePr/>
                            <a:graphic xmlns:a="http://schemas.openxmlformats.org/drawingml/2006/main">
                              <a:graphicData uri="http://schemas.microsoft.com/office/word/2010/wordprocessingShape">
                                <wps:wsp>
                                  <wps:cNvCnPr/>
                                  <wps:spPr>
                                    <a:xfrm>
                                      <a:off x="0" y="0"/>
                                      <a:ext cx="720725" cy="603885"/>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_TH_L33" o:spid="_x0000_s1026" o:spt="20" style="position:absolute;left:0pt;margin-left:-5.15pt;margin-top:0pt;height:47.55pt;width:56.75pt;z-index:251670528;mso-width-relative:page;mso-height-relative:page;" filled="f" stroked="t" coordsize="21600,21600" o:gfxdata="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DX+n0wAAAAcBAAAPAAAAAAAAAAEAIAAAACIAAABkcnMvZG93bnJldi54bWxQSwEC&#10;FAAUAAAACACHTuJAgVgMC8ABAACGAwAADgAAAAAAAAABACAAAAAiAQAAZHJzL2Uyb0RvYy54bWxQ&#10;SwUGAAAAAAYABgBZAQAAVAUAAAAA&#10;">
                            <v:fill on="f" focussize="0,0"/>
                            <v:stroke weight="0.5pt" color="#000000" joinstyle="round"/>
                            <v:imagedata o:title=""/>
                            <o:lock v:ext="edit" aspectratio="f"/>
                          </v:line>
                        </w:pict>
                      </mc:Fallback>
                    </mc:AlternateContent>
                  </w:r>
                  <w:r>
                    <w:rPr>
                      <w:color w:val="auto"/>
                      <w:sz w:val="21"/>
                      <w:szCs w:val="21"/>
                      <w:highlight w:val="none"/>
                    </w:rPr>
                    <w:t>内容</w:t>
                  </w:r>
                </w:p>
                <w:p>
                  <w:pPr>
                    <w:spacing w:line="360" w:lineRule="auto"/>
                    <w:jc w:val="center"/>
                    <w:rPr>
                      <w:color w:val="auto"/>
                      <w:sz w:val="21"/>
                      <w:szCs w:val="21"/>
                      <w:highlight w:val="none"/>
                    </w:rPr>
                  </w:pPr>
                  <w:r>
                    <w:rPr>
                      <w:color w:val="auto"/>
                      <w:sz w:val="21"/>
                      <w:szCs w:val="21"/>
                      <w:highlight w:val="none"/>
                    </w:rPr>
                    <w:t>类型</w:t>
                  </w:r>
                </w:p>
              </w:tc>
              <w:tc>
                <w:tcPr>
                  <w:tcW w:w="1156" w:type="dxa"/>
                  <w:vMerge w:val="restart"/>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排放源</w:t>
                  </w:r>
                </w:p>
                <w:p>
                  <w:pPr>
                    <w:spacing w:line="360" w:lineRule="auto"/>
                    <w:jc w:val="center"/>
                    <w:rPr>
                      <w:color w:val="auto"/>
                      <w:sz w:val="21"/>
                      <w:szCs w:val="21"/>
                      <w:highlight w:val="none"/>
                    </w:rPr>
                  </w:pPr>
                  <w:r>
                    <w:rPr>
                      <w:color w:val="auto"/>
                      <w:sz w:val="21"/>
                      <w:szCs w:val="21"/>
                      <w:highlight w:val="none"/>
                    </w:rPr>
                    <w:t>(编号)</w:t>
                  </w:r>
                </w:p>
              </w:tc>
              <w:tc>
                <w:tcPr>
                  <w:tcW w:w="1772" w:type="dxa"/>
                  <w:gridSpan w:val="2"/>
                  <w:vMerge w:val="restart"/>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污染物</w:t>
                  </w:r>
                </w:p>
                <w:p>
                  <w:pPr>
                    <w:spacing w:line="360" w:lineRule="auto"/>
                    <w:jc w:val="center"/>
                    <w:rPr>
                      <w:color w:val="auto"/>
                      <w:sz w:val="21"/>
                      <w:szCs w:val="21"/>
                      <w:highlight w:val="none"/>
                    </w:rPr>
                  </w:pPr>
                  <w:r>
                    <w:rPr>
                      <w:color w:val="auto"/>
                      <w:sz w:val="21"/>
                      <w:szCs w:val="21"/>
                      <w:highlight w:val="none"/>
                    </w:rPr>
                    <w:t>名称</w:t>
                  </w:r>
                </w:p>
              </w:tc>
              <w:tc>
                <w:tcPr>
                  <w:tcW w:w="2520"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产生浓度及产生量</w:t>
                  </w:r>
                </w:p>
              </w:tc>
              <w:tc>
                <w:tcPr>
                  <w:tcW w:w="2448"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排放浓度及排放量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tcBorders>
                    <w:tl2br w:val="nil"/>
                    <w:tr2bl w:val="nil"/>
                  </w:tcBorders>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360" w:lineRule="auto"/>
                    <w:jc w:val="center"/>
                    <w:rPr>
                      <w:color w:val="auto"/>
                      <w:sz w:val="21"/>
                      <w:szCs w:val="21"/>
                      <w:highlight w:val="none"/>
                    </w:rPr>
                  </w:pPr>
                </w:p>
              </w:tc>
              <w:tc>
                <w:tcPr>
                  <w:tcW w:w="1772" w:type="dxa"/>
                  <w:gridSpan w:val="2"/>
                  <w:vMerge w:val="continue"/>
                  <w:tcBorders>
                    <w:tl2br w:val="nil"/>
                    <w:tr2bl w:val="nil"/>
                  </w:tcBorders>
                  <w:vAlign w:val="center"/>
                </w:tcPr>
                <w:p>
                  <w:pPr>
                    <w:spacing w:line="360" w:lineRule="auto"/>
                    <w:jc w:val="center"/>
                    <w:rPr>
                      <w:color w:val="auto"/>
                      <w:sz w:val="21"/>
                      <w:szCs w:val="21"/>
                      <w:highlight w:val="none"/>
                    </w:rPr>
                  </w:pPr>
                </w:p>
              </w:tc>
              <w:tc>
                <w:tcPr>
                  <w:tcW w:w="1380" w:type="dxa"/>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浓度</w:t>
                  </w:r>
                </w:p>
              </w:tc>
              <w:tc>
                <w:tcPr>
                  <w:tcW w:w="1140" w:type="dxa"/>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产生量</w:t>
                  </w:r>
                </w:p>
              </w:tc>
              <w:tc>
                <w:tcPr>
                  <w:tcW w:w="1410" w:type="dxa"/>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浓度</w:t>
                  </w:r>
                </w:p>
              </w:tc>
              <w:tc>
                <w:tcPr>
                  <w:tcW w:w="1038" w:type="dxa"/>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水污染物</w:t>
                  </w:r>
                </w:p>
              </w:tc>
              <w:tc>
                <w:tcPr>
                  <w:tcW w:w="1156" w:type="dxa"/>
                  <w:vMerge w:val="restar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生活污水</w:t>
                  </w:r>
                </w:p>
                <w:p>
                  <w:pPr>
                    <w:spacing w:line="240" w:lineRule="auto"/>
                    <w:jc w:val="center"/>
                    <w:rPr>
                      <w:color w:val="auto"/>
                      <w:sz w:val="21"/>
                      <w:szCs w:val="21"/>
                      <w:highlight w:val="none"/>
                    </w:rPr>
                  </w:pPr>
                  <w:r>
                    <w:rPr>
                      <w:color w:val="auto"/>
                      <w:sz w:val="21"/>
                      <w:szCs w:val="21"/>
                      <w:highlight w:val="none"/>
                    </w:rPr>
                    <w:t>（</w:t>
                  </w:r>
                  <w:r>
                    <w:rPr>
                      <w:rFonts w:hint="eastAsia"/>
                      <w:bCs/>
                      <w:color w:val="auto"/>
                      <w:sz w:val="21"/>
                      <w:szCs w:val="21"/>
                      <w:highlight w:val="none"/>
                      <w:lang w:val="en-US" w:eastAsia="zh-CN"/>
                    </w:rPr>
                    <w:t>54</w:t>
                  </w:r>
                  <w:r>
                    <w:rPr>
                      <w:bCs/>
                      <w:color w:val="auto"/>
                      <w:sz w:val="21"/>
                      <w:szCs w:val="21"/>
                      <w:highlight w:val="none"/>
                    </w:rPr>
                    <w:t>m</w:t>
                  </w:r>
                  <w:r>
                    <w:rPr>
                      <w:bCs/>
                      <w:color w:val="auto"/>
                      <w:sz w:val="21"/>
                      <w:szCs w:val="21"/>
                      <w:highlight w:val="none"/>
                      <w:vertAlign w:val="superscript"/>
                    </w:rPr>
                    <w:t>3</w:t>
                  </w:r>
                  <w:r>
                    <w:rPr>
                      <w:bCs/>
                      <w:color w:val="auto"/>
                      <w:sz w:val="21"/>
                      <w:szCs w:val="21"/>
                      <w:highlight w:val="none"/>
                    </w:rPr>
                    <w:t>/a</w:t>
                  </w:r>
                  <w:r>
                    <w:rPr>
                      <w:color w:val="auto"/>
                      <w:sz w:val="21"/>
                      <w:szCs w:val="21"/>
                      <w:highlight w:val="none"/>
                    </w:rPr>
                    <w:t>）</w:t>
                  </w:r>
                </w:p>
              </w:tc>
              <w:tc>
                <w:tcPr>
                  <w:tcW w:w="1772"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COD</w:t>
                  </w:r>
                </w:p>
              </w:tc>
              <w:tc>
                <w:tcPr>
                  <w:tcW w:w="1380" w:type="dxa"/>
                  <w:tcBorders>
                    <w:tl2br w:val="nil"/>
                    <w:tr2bl w:val="nil"/>
                  </w:tcBorders>
                  <w:vAlign w:val="center"/>
                </w:tcPr>
                <w:p>
                  <w:pPr>
                    <w:jc w:val="center"/>
                    <w:rPr>
                      <w:rFonts w:hint="default" w:eastAsia="宋体"/>
                      <w:color w:val="auto"/>
                      <w:sz w:val="21"/>
                      <w:szCs w:val="21"/>
                      <w:highlight w:val="none"/>
                      <w:lang w:val="en-US" w:eastAsia="zh-CN"/>
                    </w:rPr>
                  </w:pPr>
                  <w:r>
                    <w:rPr>
                      <w:rFonts w:ascii="Times New Roman" w:hAnsi="Times New Roman"/>
                      <w:color w:val="auto"/>
                      <w:szCs w:val="21"/>
                      <w:highlight w:val="none"/>
                    </w:rPr>
                    <w:t>250</w:t>
                  </w:r>
                  <w:r>
                    <w:rPr>
                      <w:color w:val="auto"/>
                      <w:sz w:val="21"/>
                      <w:szCs w:val="21"/>
                      <w:highlight w:val="none"/>
                    </w:rPr>
                    <w:t>mg/L</w:t>
                  </w:r>
                </w:p>
              </w:tc>
              <w:tc>
                <w:tcPr>
                  <w:tcW w:w="1140"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0.014</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410" w:type="dxa"/>
                  <w:tcBorders>
                    <w:tl2br w:val="nil"/>
                    <w:tr2bl w:val="nil"/>
                  </w:tcBorders>
                  <w:vAlign w:val="center"/>
                </w:tcPr>
                <w:p>
                  <w:pPr>
                    <w:widowControl/>
                    <w:jc w:val="center"/>
                    <w:rPr>
                      <w:rFonts w:hint="default" w:eastAsia="宋体"/>
                      <w:color w:val="auto"/>
                      <w:sz w:val="21"/>
                      <w:szCs w:val="21"/>
                      <w:highlight w:val="none"/>
                      <w:lang w:val="en-US" w:eastAsia="zh-CN"/>
                    </w:rPr>
                  </w:pPr>
                  <w:r>
                    <w:rPr>
                      <w:rFonts w:ascii="Times New Roman" w:hAnsi="Times New Roman" w:cs="Times New Roman"/>
                      <w:color w:val="auto"/>
                      <w:kern w:val="0"/>
                      <w:sz w:val="21"/>
                      <w:szCs w:val="21"/>
                      <w:highlight w:val="none"/>
                    </w:rPr>
                    <w:t>200</w:t>
                  </w:r>
                  <w:r>
                    <w:rPr>
                      <w:color w:val="auto"/>
                      <w:sz w:val="21"/>
                      <w:szCs w:val="21"/>
                      <w:highlight w:val="none"/>
                    </w:rPr>
                    <w:t>mg/L</w:t>
                  </w:r>
                </w:p>
              </w:tc>
              <w:tc>
                <w:tcPr>
                  <w:tcW w:w="1038"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0.011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tcBorders>
                    <w:tl2br w:val="nil"/>
                    <w:tr2bl w:val="nil"/>
                  </w:tcBorders>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240" w:lineRule="auto"/>
                    <w:jc w:val="center"/>
                    <w:rPr>
                      <w:color w:val="auto"/>
                      <w:sz w:val="21"/>
                      <w:szCs w:val="21"/>
                      <w:highlight w:val="none"/>
                    </w:rPr>
                  </w:pPr>
                </w:p>
              </w:tc>
              <w:tc>
                <w:tcPr>
                  <w:tcW w:w="1772"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1380" w:type="dxa"/>
                  <w:tcBorders>
                    <w:tl2br w:val="nil"/>
                    <w:tr2bl w:val="nil"/>
                  </w:tcBorders>
                  <w:vAlign w:val="center"/>
                </w:tcPr>
                <w:p>
                  <w:pPr>
                    <w:jc w:val="center"/>
                    <w:rPr>
                      <w:rFonts w:hint="default" w:eastAsia="宋体"/>
                      <w:color w:val="auto"/>
                      <w:sz w:val="21"/>
                      <w:szCs w:val="21"/>
                      <w:highlight w:val="none"/>
                      <w:lang w:val="en-US" w:eastAsia="zh-CN"/>
                    </w:rPr>
                  </w:pPr>
                  <w:r>
                    <w:rPr>
                      <w:rFonts w:ascii="Times New Roman" w:hAnsi="Times New Roman"/>
                      <w:color w:val="auto"/>
                      <w:szCs w:val="21"/>
                      <w:highlight w:val="none"/>
                    </w:rPr>
                    <w:t>150</w:t>
                  </w:r>
                  <w:r>
                    <w:rPr>
                      <w:color w:val="auto"/>
                      <w:sz w:val="21"/>
                      <w:szCs w:val="21"/>
                      <w:highlight w:val="none"/>
                    </w:rPr>
                    <w:t>mg/L</w:t>
                  </w:r>
                </w:p>
              </w:tc>
              <w:tc>
                <w:tcPr>
                  <w:tcW w:w="1140"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0.008</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410" w:type="dxa"/>
                  <w:tcBorders>
                    <w:tl2br w:val="nil"/>
                    <w:tr2bl w:val="nil"/>
                  </w:tcBorders>
                  <w:vAlign w:val="center"/>
                </w:tcPr>
                <w:p>
                  <w:pPr>
                    <w:widowControl/>
                    <w:jc w:val="center"/>
                    <w:rPr>
                      <w:rFonts w:hint="default" w:eastAsia="宋体"/>
                      <w:color w:val="auto"/>
                      <w:sz w:val="21"/>
                      <w:szCs w:val="21"/>
                      <w:highlight w:val="none"/>
                      <w:lang w:val="en-US" w:eastAsia="zh-CN"/>
                    </w:rPr>
                  </w:pPr>
                  <w:r>
                    <w:rPr>
                      <w:rFonts w:ascii="Times New Roman" w:hAnsi="Times New Roman" w:cs="Times New Roman"/>
                      <w:color w:val="auto"/>
                      <w:kern w:val="0"/>
                      <w:sz w:val="21"/>
                      <w:szCs w:val="21"/>
                      <w:highlight w:val="none"/>
                    </w:rPr>
                    <w:t>120</w:t>
                  </w:r>
                  <w:r>
                    <w:rPr>
                      <w:color w:val="auto"/>
                      <w:sz w:val="21"/>
                      <w:szCs w:val="21"/>
                      <w:highlight w:val="none"/>
                    </w:rPr>
                    <w:t>mg/L</w:t>
                  </w:r>
                </w:p>
              </w:tc>
              <w:tc>
                <w:tcPr>
                  <w:tcW w:w="1038"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0.006</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tcBorders>
                    <w:tl2br w:val="nil"/>
                    <w:tr2bl w:val="nil"/>
                  </w:tcBorders>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240" w:lineRule="auto"/>
                    <w:jc w:val="center"/>
                    <w:rPr>
                      <w:color w:val="auto"/>
                      <w:sz w:val="21"/>
                      <w:szCs w:val="21"/>
                      <w:highlight w:val="none"/>
                    </w:rPr>
                  </w:pPr>
                </w:p>
              </w:tc>
              <w:tc>
                <w:tcPr>
                  <w:tcW w:w="1772"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SS</w:t>
                  </w:r>
                </w:p>
              </w:tc>
              <w:tc>
                <w:tcPr>
                  <w:tcW w:w="1380" w:type="dxa"/>
                  <w:tcBorders>
                    <w:tl2br w:val="nil"/>
                    <w:tr2bl w:val="nil"/>
                  </w:tcBorders>
                  <w:vAlign w:val="center"/>
                </w:tcPr>
                <w:p>
                  <w:pPr>
                    <w:jc w:val="center"/>
                    <w:rPr>
                      <w:rFonts w:hint="default" w:eastAsia="宋体"/>
                      <w:color w:val="auto"/>
                      <w:sz w:val="21"/>
                      <w:szCs w:val="21"/>
                      <w:highlight w:val="none"/>
                      <w:lang w:val="en-US" w:eastAsia="zh-CN"/>
                    </w:rPr>
                  </w:pPr>
                  <w:r>
                    <w:rPr>
                      <w:rFonts w:ascii="Times New Roman" w:hAnsi="Times New Roman"/>
                      <w:color w:val="auto"/>
                      <w:szCs w:val="21"/>
                      <w:highlight w:val="none"/>
                    </w:rPr>
                    <w:t>150</w:t>
                  </w:r>
                  <w:r>
                    <w:rPr>
                      <w:color w:val="auto"/>
                      <w:sz w:val="21"/>
                      <w:szCs w:val="21"/>
                      <w:highlight w:val="none"/>
                    </w:rPr>
                    <w:t>mg/L</w:t>
                  </w:r>
                </w:p>
              </w:tc>
              <w:tc>
                <w:tcPr>
                  <w:tcW w:w="1140"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0.008</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410" w:type="dxa"/>
                  <w:tcBorders>
                    <w:tl2br w:val="nil"/>
                    <w:tr2bl w:val="nil"/>
                  </w:tcBorders>
                  <w:vAlign w:val="center"/>
                </w:tcPr>
                <w:p>
                  <w:pPr>
                    <w:widowControl/>
                    <w:jc w:val="center"/>
                    <w:rPr>
                      <w:rFonts w:hint="default" w:eastAsia="宋体"/>
                      <w:color w:val="auto"/>
                      <w:sz w:val="21"/>
                      <w:szCs w:val="21"/>
                      <w:highlight w:val="none"/>
                      <w:lang w:val="en-US" w:eastAsia="zh-CN"/>
                    </w:rPr>
                  </w:pPr>
                  <w:r>
                    <w:rPr>
                      <w:rFonts w:ascii="Times New Roman" w:hAnsi="Times New Roman" w:cs="Times New Roman"/>
                      <w:color w:val="auto"/>
                      <w:kern w:val="0"/>
                      <w:sz w:val="21"/>
                      <w:szCs w:val="21"/>
                      <w:highlight w:val="none"/>
                    </w:rPr>
                    <w:t>120</w:t>
                  </w:r>
                  <w:r>
                    <w:rPr>
                      <w:color w:val="auto"/>
                      <w:sz w:val="21"/>
                      <w:szCs w:val="21"/>
                      <w:highlight w:val="none"/>
                    </w:rPr>
                    <w:t>mg/L</w:t>
                  </w:r>
                </w:p>
              </w:tc>
              <w:tc>
                <w:tcPr>
                  <w:tcW w:w="1038"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0.006</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tcBorders>
                    <w:tl2br w:val="nil"/>
                    <w:tr2bl w:val="nil"/>
                  </w:tcBorders>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240" w:lineRule="auto"/>
                    <w:jc w:val="center"/>
                    <w:rPr>
                      <w:color w:val="auto"/>
                      <w:sz w:val="21"/>
                      <w:szCs w:val="21"/>
                      <w:highlight w:val="none"/>
                    </w:rPr>
                  </w:pPr>
                </w:p>
              </w:tc>
              <w:tc>
                <w:tcPr>
                  <w:tcW w:w="1772" w:type="dxa"/>
                  <w:gridSpan w:val="2"/>
                  <w:tcBorders>
                    <w:tl2br w:val="nil"/>
                    <w:tr2bl w:val="nil"/>
                  </w:tcBorders>
                  <w:vAlign w:val="center"/>
                </w:tcPr>
                <w:p>
                  <w:pPr>
                    <w:spacing w:line="360" w:lineRule="auto"/>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-N</w:t>
                  </w:r>
                </w:p>
              </w:tc>
              <w:tc>
                <w:tcPr>
                  <w:tcW w:w="1380" w:type="dxa"/>
                  <w:tcBorders>
                    <w:tl2br w:val="nil"/>
                    <w:tr2bl w:val="nil"/>
                  </w:tcBorders>
                  <w:vAlign w:val="center"/>
                </w:tcPr>
                <w:p>
                  <w:pPr>
                    <w:jc w:val="center"/>
                    <w:rPr>
                      <w:rFonts w:hint="default" w:eastAsia="宋体"/>
                      <w:color w:val="auto"/>
                      <w:sz w:val="21"/>
                      <w:szCs w:val="21"/>
                      <w:highlight w:val="none"/>
                      <w:lang w:val="en-US" w:eastAsia="zh-CN"/>
                    </w:rPr>
                  </w:pPr>
                  <w:r>
                    <w:rPr>
                      <w:rFonts w:ascii="Times New Roman" w:hAnsi="Times New Roman"/>
                      <w:color w:val="auto"/>
                      <w:szCs w:val="21"/>
                      <w:highlight w:val="none"/>
                    </w:rPr>
                    <w:t>25</w:t>
                  </w:r>
                  <w:r>
                    <w:rPr>
                      <w:color w:val="auto"/>
                      <w:sz w:val="21"/>
                      <w:szCs w:val="21"/>
                      <w:highlight w:val="none"/>
                    </w:rPr>
                    <w:t>mg/L</w:t>
                  </w:r>
                </w:p>
              </w:tc>
              <w:tc>
                <w:tcPr>
                  <w:tcW w:w="1140"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c>
                <w:tcPr>
                  <w:tcW w:w="1410" w:type="dxa"/>
                  <w:tcBorders>
                    <w:tl2br w:val="nil"/>
                    <w:tr2bl w:val="nil"/>
                  </w:tcBorders>
                  <w:vAlign w:val="center"/>
                </w:tcPr>
                <w:p>
                  <w:pPr>
                    <w:widowControl/>
                    <w:jc w:val="center"/>
                    <w:rPr>
                      <w:rFonts w:hint="default" w:eastAsia="宋体"/>
                      <w:color w:val="auto"/>
                      <w:sz w:val="21"/>
                      <w:szCs w:val="21"/>
                      <w:highlight w:val="none"/>
                      <w:lang w:val="en-US" w:eastAsia="zh-CN"/>
                    </w:rPr>
                  </w:pPr>
                  <w:r>
                    <w:rPr>
                      <w:rFonts w:ascii="Times New Roman" w:hAnsi="Times New Roman" w:cs="Times New Roman"/>
                      <w:color w:val="auto"/>
                      <w:kern w:val="0"/>
                      <w:sz w:val="21"/>
                      <w:szCs w:val="21"/>
                      <w:highlight w:val="none"/>
                    </w:rPr>
                    <w:t>20</w:t>
                  </w:r>
                  <w:r>
                    <w:rPr>
                      <w:color w:val="auto"/>
                      <w:sz w:val="21"/>
                      <w:szCs w:val="21"/>
                      <w:highlight w:val="none"/>
                    </w:rPr>
                    <w:t>mg/L</w:t>
                  </w:r>
                </w:p>
              </w:tc>
              <w:tc>
                <w:tcPr>
                  <w:tcW w:w="1038" w:type="dxa"/>
                  <w:tcBorders>
                    <w:tl2br w:val="nil"/>
                    <w:tr2bl w:val="nil"/>
                  </w:tcBorders>
                  <w:vAlign w:val="center"/>
                </w:tcPr>
                <w:p>
                  <w:pPr>
                    <w:jc w:val="center"/>
                    <w:rPr>
                      <w:rFonts w:hint="default" w:eastAsia="宋体"/>
                      <w:color w:val="auto"/>
                      <w:sz w:val="21"/>
                      <w:szCs w:val="21"/>
                      <w:highlight w:val="none"/>
                      <w:lang w:val="en-US" w:eastAsia="zh-CN"/>
                    </w:rPr>
                  </w:pPr>
                  <w:r>
                    <w:rPr>
                      <w:rFonts w:hint="default" w:ascii="Times New Roman" w:hAnsi="Times New Roman"/>
                      <w:bCs/>
                      <w:color w:val="auto"/>
                      <w:kern w:val="0"/>
                      <w:szCs w:val="21"/>
                      <w:highlight w:val="none"/>
                      <w:lang w:val="en-US" w:eastAsia="zh-CN"/>
                    </w:rPr>
                    <w:t>0.001</w:t>
                  </w:r>
                  <w:r>
                    <w:rPr>
                      <w:rFonts w:hint="eastAsia" w:ascii="Times New Roman" w:hAnsi="Times New Roman"/>
                      <w:bCs/>
                      <w:color w:val="auto"/>
                      <w:kern w:val="0"/>
                      <w:szCs w:val="21"/>
                      <w:highlight w:val="none"/>
                      <w:lang w:val="en-US" w:eastAsia="zh-CN"/>
                    </w:rPr>
                    <w:t>t</w:t>
                  </w:r>
                  <w:r>
                    <w:rPr>
                      <w:rFonts w:ascii="Times New Roman" w:hAnsi="Times New Roman"/>
                      <w:bCs/>
                      <w:color w:val="auto"/>
                      <w:kern w:val="0"/>
                      <w:szCs w:val="21"/>
                      <w:highlight w:val="none"/>
                    </w:rPr>
                    <w:t>/a</w:t>
                  </w:r>
                  <w:r>
                    <w:rPr>
                      <w:rFonts w:hint="default" w:ascii="Times New Roman" w:hAnsi="Times New Roman"/>
                      <w:bCs/>
                      <w:color w:val="auto"/>
                      <w:kern w:val="0"/>
                      <w:szCs w:val="21"/>
                      <w:highlight w:val="none"/>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tcBorders>
                    <w:tl2br w:val="nil"/>
                    <w:tr2bl w:val="nil"/>
                  </w:tcBorders>
                  <w:vAlign w:val="center"/>
                </w:tcPr>
                <w:p>
                  <w:pPr>
                    <w:spacing w:line="360" w:lineRule="auto"/>
                    <w:jc w:val="center"/>
                    <w:rPr>
                      <w:color w:val="auto"/>
                      <w:sz w:val="21"/>
                      <w:szCs w:val="21"/>
                      <w:highlight w:val="none"/>
                    </w:rPr>
                  </w:pPr>
                </w:p>
              </w:tc>
              <w:tc>
                <w:tcPr>
                  <w:tcW w:w="1156" w:type="dxa"/>
                  <w:tcBorders>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喷淋废水</w:t>
                  </w:r>
                </w:p>
              </w:tc>
              <w:tc>
                <w:tcPr>
                  <w:tcW w:w="6740" w:type="dxa"/>
                  <w:gridSpan w:val="6"/>
                  <w:tcBorders>
                    <w:tl2br w:val="nil"/>
                    <w:tr2bl w:val="nil"/>
                  </w:tcBorders>
                  <w:vAlign w:val="center"/>
                </w:tcPr>
                <w:p>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产生量为16t/a，经收集后</w:t>
                  </w:r>
                  <w:r>
                    <w:rPr>
                      <w:rFonts w:hint="eastAsia" w:cs="Times New Roman"/>
                      <w:color w:val="auto"/>
                      <w:kern w:val="0"/>
                      <w:sz w:val="21"/>
                      <w:szCs w:val="21"/>
                      <w:highlight w:val="none"/>
                      <w:lang w:val="en-US" w:eastAsia="zh-CN"/>
                    </w:rPr>
                    <w:t>定期交具有零星废水处理资质的单位处理，不外排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restart"/>
                  <w:tcBorders>
                    <w:tl2br w:val="nil"/>
                    <w:tr2bl w:val="nil"/>
                  </w:tcBorders>
                  <w:textDirection w:val="tbRlV"/>
                  <w:vAlign w:val="center"/>
                </w:tcPr>
                <w:p>
                  <w:pPr>
                    <w:spacing w:line="360" w:lineRule="auto"/>
                    <w:jc w:val="center"/>
                    <w:rPr>
                      <w:color w:val="auto"/>
                      <w:sz w:val="21"/>
                      <w:szCs w:val="21"/>
                      <w:highlight w:val="none"/>
                    </w:rPr>
                  </w:pPr>
                  <w:r>
                    <w:rPr>
                      <w:color w:val="auto"/>
                      <w:sz w:val="21"/>
                      <w:szCs w:val="21"/>
                      <w:highlight w:val="none"/>
                    </w:rPr>
                    <w:t>大气污染物</w:t>
                  </w:r>
                </w:p>
              </w:tc>
              <w:tc>
                <w:tcPr>
                  <w:tcW w:w="1156" w:type="dxa"/>
                  <w:vMerge w:val="restart"/>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锻压工序</w:t>
                  </w:r>
                </w:p>
              </w:tc>
              <w:tc>
                <w:tcPr>
                  <w:tcW w:w="900" w:type="dxa"/>
                  <w:vMerge w:val="restart"/>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非甲烷总烃</w:t>
                  </w:r>
                </w:p>
              </w:tc>
              <w:tc>
                <w:tcPr>
                  <w:tcW w:w="872" w:type="dxa"/>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1380" w:type="dxa"/>
                  <w:tcBorders>
                    <w:tl2br w:val="nil"/>
                    <w:tr2bl w:val="nil"/>
                  </w:tcBorders>
                  <w:vAlign w:val="center"/>
                </w:tcPr>
                <w:p>
                  <w:pPr>
                    <w:jc w:val="center"/>
                    <w:rPr>
                      <w:color w:val="auto"/>
                      <w:sz w:val="21"/>
                      <w:szCs w:val="21"/>
                      <w:highlight w:val="none"/>
                    </w:rPr>
                  </w:pPr>
                  <w:r>
                    <w:rPr>
                      <w:rFonts w:hint="eastAsia" w:cs="Times New Roman"/>
                      <w:color w:val="auto"/>
                      <w:kern w:val="2"/>
                      <w:sz w:val="21"/>
                      <w:szCs w:val="21"/>
                      <w:highlight w:val="none"/>
                      <w:lang w:val="en-US" w:eastAsia="zh-CN"/>
                    </w:rPr>
                    <w:t>0.741</w:t>
                  </w:r>
                  <w:r>
                    <w:rPr>
                      <w:color w:val="auto"/>
                      <w:sz w:val="21"/>
                      <w:szCs w:val="21"/>
                      <w:highlight w:val="none"/>
                    </w:rPr>
                    <w:t>mg/m</w:t>
                  </w:r>
                  <w:r>
                    <w:rPr>
                      <w:color w:val="auto"/>
                      <w:sz w:val="21"/>
                      <w:szCs w:val="21"/>
                      <w:highlight w:val="none"/>
                      <w:vertAlign w:val="superscript"/>
                    </w:rPr>
                    <w:t>3</w:t>
                  </w:r>
                </w:p>
              </w:tc>
              <w:tc>
                <w:tcPr>
                  <w:tcW w:w="1140" w:type="dxa"/>
                  <w:tcBorders>
                    <w:tl2br w:val="nil"/>
                    <w:tr2bl w:val="nil"/>
                  </w:tcBorders>
                  <w:vAlign w:val="center"/>
                </w:tcPr>
                <w:p>
                  <w:pPr>
                    <w:jc w:val="center"/>
                    <w:rPr>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16</w:t>
                  </w:r>
                  <w:r>
                    <w:rPr>
                      <w:rFonts w:hint="eastAsia"/>
                      <w:color w:val="auto"/>
                      <w:sz w:val="21"/>
                      <w:szCs w:val="21"/>
                      <w:highlight w:val="none"/>
                      <w:lang w:val="en-US" w:eastAsia="zh-CN"/>
                    </w:rPr>
                    <w:t>t</w:t>
                  </w:r>
                  <w:r>
                    <w:rPr>
                      <w:color w:val="auto"/>
                      <w:sz w:val="21"/>
                      <w:szCs w:val="21"/>
                      <w:highlight w:val="none"/>
                    </w:rPr>
                    <w:t>/a</w:t>
                  </w:r>
                </w:p>
              </w:tc>
              <w:tc>
                <w:tcPr>
                  <w:tcW w:w="1410" w:type="dxa"/>
                  <w:tcBorders>
                    <w:tl2br w:val="nil"/>
                    <w:tr2bl w:val="nil"/>
                  </w:tcBorders>
                  <w:vAlign w:val="center"/>
                </w:tcPr>
                <w:p>
                  <w:pPr>
                    <w:jc w:val="center"/>
                    <w:rPr>
                      <w:color w:val="auto"/>
                      <w:sz w:val="21"/>
                      <w:szCs w:val="21"/>
                      <w:highlight w:val="none"/>
                    </w:rPr>
                  </w:pPr>
                  <w:r>
                    <w:rPr>
                      <w:rFonts w:hint="eastAsia" w:cs="Times New Roman"/>
                      <w:color w:val="auto"/>
                      <w:kern w:val="2"/>
                      <w:sz w:val="21"/>
                      <w:szCs w:val="21"/>
                      <w:highlight w:val="none"/>
                      <w:lang w:val="en-US" w:eastAsia="zh-CN"/>
                    </w:rPr>
                    <w:t>0.148</w:t>
                  </w:r>
                  <w:r>
                    <w:rPr>
                      <w:color w:val="auto"/>
                      <w:sz w:val="21"/>
                      <w:szCs w:val="21"/>
                      <w:highlight w:val="none"/>
                    </w:rPr>
                    <w:t>mg/m</w:t>
                  </w:r>
                  <w:r>
                    <w:rPr>
                      <w:color w:val="auto"/>
                      <w:sz w:val="21"/>
                      <w:szCs w:val="21"/>
                      <w:highlight w:val="none"/>
                      <w:vertAlign w:val="superscript"/>
                    </w:rPr>
                    <w:t>3</w:t>
                  </w:r>
                </w:p>
              </w:tc>
              <w:tc>
                <w:tcPr>
                  <w:tcW w:w="1038" w:type="dxa"/>
                  <w:tcBorders>
                    <w:tl2br w:val="nil"/>
                    <w:tr2bl w:val="nil"/>
                  </w:tcBorders>
                  <w:vAlign w:val="center"/>
                </w:tcPr>
                <w:p>
                  <w:pPr>
                    <w:jc w:val="center"/>
                    <w:rPr>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03</w:t>
                  </w:r>
                  <w:r>
                    <w:rPr>
                      <w:rFonts w:hint="eastAsia"/>
                      <w:color w:val="auto"/>
                      <w:sz w:val="21"/>
                      <w:szCs w:val="21"/>
                      <w:highlight w:val="none"/>
                      <w:lang w:val="en-US" w:eastAsia="zh-CN"/>
                    </w:rPr>
                    <w:t>t</w:t>
                  </w:r>
                  <w:r>
                    <w:rPr>
                      <w:color w:val="auto"/>
                      <w:sz w:val="21"/>
                      <w:szCs w:val="21"/>
                      <w:highlight w:val="none"/>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continue"/>
                  <w:tcBorders>
                    <w:tl2br w:val="nil"/>
                    <w:tr2bl w:val="nil"/>
                  </w:tcBorders>
                  <w:textDirection w:val="tbRlV"/>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p>
              </w:tc>
              <w:tc>
                <w:tcPr>
                  <w:tcW w:w="900" w:type="dxa"/>
                  <w:vMerge w:val="continue"/>
                  <w:tcBorders>
                    <w:tl2br w:val="nil"/>
                    <w:tr2bl w:val="nil"/>
                  </w:tcBorders>
                  <w:vAlign w:val="center"/>
                </w:tcPr>
                <w:p>
                  <w:pPr>
                    <w:spacing w:line="360" w:lineRule="auto"/>
                    <w:jc w:val="center"/>
                    <w:rPr>
                      <w:color w:val="auto"/>
                      <w:sz w:val="21"/>
                      <w:szCs w:val="21"/>
                      <w:highlight w:val="none"/>
                    </w:rPr>
                  </w:pPr>
                </w:p>
              </w:tc>
              <w:tc>
                <w:tcPr>
                  <w:tcW w:w="872" w:type="dxa"/>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380" w:type="dxa"/>
                  <w:tcBorders>
                    <w:tl2br w:val="nil"/>
                    <w:tr2bl w:val="nil"/>
                  </w:tcBorders>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140" w:type="dxa"/>
                  <w:tcBorders>
                    <w:tl2br w:val="nil"/>
                    <w:tr2bl w:val="nil"/>
                  </w:tcBorders>
                  <w:vAlign w:val="center"/>
                </w:tcPr>
                <w:p>
                  <w:pPr>
                    <w:jc w:val="center"/>
                    <w:rPr>
                      <w:rFonts w:hint="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4</w:t>
                  </w:r>
                  <w:r>
                    <w:rPr>
                      <w:rFonts w:hint="eastAsia"/>
                      <w:color w:val="auto"/>
                      <w:sz w:val="21"/>
                      <w:szCs w:val="21"/>
                      <w:highlight w:val="none"/>
                      <w:lang w:val="en-US" w:eastAsia="zh-CN"/>
                    </w:rPr>
                    <w:t>t</w:t>
                  </w:r>
                  <w:r>
                    <w:rPr>
                      <w:color w:val="auto"/>
                      <w:sz w:val="21"/>
                      <w:szCs w:val="21"/>
                      <w:highlight w:val="none"/>
                    </w:rPr>
                    <w:t>/a</w:t>
                  </w:r>
                </w:p>
              </w:tc>
              <w:tc>
                <w:tcPr>
                  <w:tcW w:w="1410" w:type="dxa"/>
                  <w:tcBorders>
                    <w:tl2br w:val="nil"/>
                    <w:tr2bl w:val="nil"/>
                  </w:tcBorders>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38" w:type="dxa"/>
                  <w:tcBorders>
                    <w:tl2br w:val="nil"/>
                    <w:tr2bl w:val="nil"/>
                  </w:tcBorders>
                  <w:vAlign w:val="center"/>
                </w:tcPr>
                <w:p>
                  <w:pPr>
                    <w:jc w:val="center"/>
                    <w:rPr>
                      <w:rFonts w:hint="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w:t>
                  </w:r>
                  <w:r>
                    <w:rPr>
                      <w:rFonts w:hint="eastAsia" w:ascii="Times New Roman" w:hAnsi="Times New Roman" w:eastAsia="宋体" w:cs="Times New Roman"/>
                      <w:color w:val="auto"/>
                      <w:kern w:val="2"/>
                      <w:sz w:val="21"/>
                      <w:szCs w:val="21"/>
                      <w:highlight w:val="none"/>
                      <w:lang w:val="en-US" w:eastAsia="zh-CN"/>
                    </w:rPr>
                    <w:t>4</w:t>
                  </w:r>
                  <w:r>
                    <w:rPr>
                      <w:rFonts w:hint="eastAsia"/>
                      <w:color w:val="auto"/>
                      <w:sz w:val="21"/>
                      <w:szCs w:val="21"/>
                      <w:highlight w:val="none"/>
                      <w:lang w:val="en-US" w:eastAsia="zh-CN"/>
                    </w:rPr>
                    <w:t>t</w:t>
                  </w:r>
                  <w:r>
                    <w:rPr>
                      <w:color w:val="auto"/>
                      <w:sz w:val="21"/>
                      <w:szCs w:val="21"/>
                      <w:highlight w:val="none"/>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continue"/>
                  <w:tcBorders>
                    <w:tl2br w:val="nil"/>
                    <w:tr2bl w:val="nil"/>
                  </w:tcBorders>
                  <w:textDirection w:val="tbRlV"/>
                  <w:vAlign w:val="center"/>
                </w:tcPr>
                <w:p>
                  <w:pPr>
                    <w:spacing w:line="360" w:lineRule="auto"/>
                    <w:jc w:val="center"/>
                    <w:rPr>
                      <w:color w:val="auto"/>
                      <w:sz w:val="21"/>
                      <w:szCs w:val="21"/>
                      <w:highlight w:val="none"/>
                    </w:rPr>
                  </w:pPr>
                </w:p>
              </w:tc>
              <w:tc>
                <w:tcPr>
                  <w:tcW w:w="1156" w:type="dxa"/>
                  <w:vMerge w:val="restart"/>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燃料废气</w:t>
                  </w:r>
                </w:p>
              </w:tc>
              <w:tc>
                <w:tcPr>
                  <w:tcW w:w="1772" w:type="dxa"/>
                  <w:gridSpan w:val="2"/>
                  <w:tcBorders>
                    <w:tl2br w:val="nil"/>
                    <w:tr2bl w:val="nil"/>
                  </w:tcBorders>
                  <w:vAlign w:val="center"/>
                </w:tcPr>
                <w:p>
                  <w:pPr>
                    <w:spacing w:line="36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p>
              </w:tc>
              <w:tc>
                <w:tcPr>
                  <w:tcW w:w="1380" w:type="dxa"/>
                  <w:tcBorders>
                    <w:tl2br w:val="nil"/>
                    <w:tr2bl w:val="nil"/>
                  </w:tcBorders>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29.356</w:t>
                  </w:r>
                  <w:r>
                    <w:rPr>
                      <w:color w:val="auto"/>
                      <w:sz w:val="21"/>
                      <w:szCs w:val="21"/>
                      <w:highlight w:val="none"/>
                    </w:rPr>
                    <w:t>mg/m</w:t>
                  </w:r>
                  <w:r>
                    <w:rPr>
                      <w:color w:val="auto"/>
                      <w:sz w:val="21"/>
                      <w:szCs w:val="21"/>
                      <w:highlight w:val="none"/>
                      <w:vertAlign w:val="superscript"/>
                    </w:rPr>
                    <w:t>3</w:t>
                  </w:r>
                </w:p>
              </w:tc>
              <w:tc>
                <w:tcPr>
                  <w:tcW w:w="1140" w:type="dxa"/>
                  <w:tcBorders>
                    <w:tl2br w:val="nil"/>
                    <w:tr2bl w:val="nil"/>
                  </w:tcBorders>
                  <w:vAlign w:val="center"/>
                </w:tcPr>
                <w:p>
                  <w:pPr>
                    <w:keepNext w:val="0"/>
                    <w:keepLines w:val="0"/>
                    <w:widowControl/>
                    <w:suppressLineNumbers w:val="0"/>
                    <w:jc w:val="center"/>
                    <w:textAlignment w:val="center"/>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0.004</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410" w:type="dxa"/>
                  <w:tcBorders>
                    <w:tl2br w:val="nil"/>
                    <w:tr2bl w:val="nil"/>
                  </w:tcBorders>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29.356</w:t>
                  </w:r>
                  <w:r>
                    <w:rPr>
                      <w:color w:val="auto"/>
                      <w:sz w:val="21"/>
                      <w:szCs w:val="21"/>
                      <w:highlight w:val="none"/>
                    </w:rPr>
                    <w:t>mg/m</w:t>
                  </w:r>
                  <w:r>
                    <w:rPr>
                      <w:color w:val="auto"/>
                      <w:sz w:val="21"/>
                      <w:szCs w:val="21"/>
                      <w:highlight w:val="none"/>
                      <w:vertAlign w:val="superscript"/>
                    </w:rPr>
                    <w:t>3</w:t>
                  </w:r>
                </w:p>
              </w:tc>
              <w:tc>
                <w:tcPr>
                  <w:tcW w:w="1038" w:type="dxa"/>
                  <w:tcBorders>
                    <w:tl2br w:val="nil"/>
                    <w:tr2bl w:val="nil"/>
                  </w:tcBorders>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0.004</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continue"/>
                  <w:tcBorders>
                    <w:tl2br w:val="nil"/>
                    <w:tr2bl w:val="nil"/>
                  </w:tcBorders>
                  <w:textDirection w:val="tbRlV"/>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p>
              </w:tc>
              <w:tc>
                <w:tcPr>
                  <w:tcW w:w="1772" w:type="dxa"/>
                  <w:gridSpan w:val="2"/>
                  <w:tcBorders>
                    <w:tl2br w:val="nil"/>
                    <w:tr2bl w:val="nil"/>
                  </w:tcBorders>
                  <w:vAlign w:val="center"/>
                </w:tcPr>
                <w:p>
                  <w:pPr>
                    <w:spacing w:line="36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NOx</w:t>
                  </w:r>
                </w:p>
              </w:tc>
              <w:tc>
                <w:tcPr>
                  <w:tcW w:w="1380"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46.235</w:t>
                  </w:r>
                  <w:r>
                    <w:rPr>
                      <w:color w:val="auto"/>
                      <w:sz w:val="21"/>
                      <w:szCs w:val="21"/>
                      <w:highlight w:val="none"/>
                    </w:rPr>
                    <w:t>mg/m</w:t>
                  </w:r>
                  <w:r>
                    <w:rPr>
                      <w:color w:val="auto"/>
                      <w:sz w:val="21"/>
                      <w:szCs w:val="21"/>
                      <w:highlight w:val="none"/>
                      <w:vertAlign w:val="superscript"/>
                    </w:rPr>
                    <w:t>3</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140"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0.006</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410"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46.235</w:t>
                  </w:r>
                  <w:r>
                    <w:rPr>
                      <w:color w:val="auto"/>
                      <w:sz w:val="21"/>
                      <w:szCs w:val="21"/>
                      <w:highlight w:val="none"/>
                    </w:rPr>
                    <w:t>mg/m</w:t>
                  </w:r>
                  <w:r>
                    <w:rPr>
                      <w:color w:val="auto"/>
                      <w:sz w:val="21"/>
                      <w:szCs w:val="21"/>
                      <w:highlight w:val="none"/>
                      <w:vertAlign w:val="superscript"/>
                    </w:rPr>
                    <w:t>3</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038"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0.006</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continue"/>
                  <w:tcBorders>
                    <w:tl2br w:val="nil"/>
                    <w:tr2bl w:val="nil"/>
                  </w:tcBorders>
                  <w:textDirection w:val="tbRlV"/>
                  <w:vAlign w:val="center"/>
                </w:tcPr>
                <w:p>
                  <w:pPr>
                    <w:spacing w:line="360" w:lineRule="auto"/>
                    <w:jc w:val="center"/>
                    <w:rPr>
                      <w:color w:val="auto"/>
                      <w:sz w:val="21"/>
                      <w:szCs w:val="21"/>
                      <w:highlight w:val="none"/>
                    </w:rPr>
                  </w:pPr>
                </w:p>
              </w:tc>
              <w:tc>
                <w:tcPr>
                  <w:tcW w:w="1156" w:type="dxa"/>
                  <w:vMerge w:val="continue"/>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p>
              </w:tc>
              <w:tc>
                <w:tcPr>
                  <w:tcW w:w="1772" w:type="dxa"/>
                  <w:gridSpan w:val="2"/>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烟尘</w:t>
                  </w:r>
                </w:p>
              </w:tc>
              <w:tc>
                <w:tcPr>
                  <w:tcW w:w="1380"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17.613</w:t>
                  </w:r>
                  <w:r>
                    <w:rPr>
                      <w:color w:val="auto"/>
                      <w:sz w:val="21"/>
                      <w:szCs w:val="21"/>
                      <w:highlight w:val="none"/>
                    </w:rPr>
                    <w:t>mg/m</w:t>
                  </w:r>
                  <w:r>
                    <w:rPr>
                      <w:color w:val="auto"/>
                      <w:sz w:val="21"/>
                      <w:szCs w:val="21"/>
                      <w:highlight w:val="none"/>
                      <w:vertAlign w:val="superscript"/>
                    </w:rPr>
                    <w:t>3</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140"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0.002</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410" w:type="dxa"/>
                  <w:tcBorders>
                    <w:tl2br w:val="nil"/>
                    <w:tr2bl w:val="nil"/>
                  </w:tcBorders>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17.613</w:t>
                  </w:r>
                  <w:r>
                    <w:rPr>
                      <w:color w:val="auto"/>
                      <w:sz w:val="21"/>
                      <w:szCs w:val="21"/>
                      <w:highlight w:val="none"/>
                    </w:rPr>
                    <w:t>mg/m</w:t>
                  </w:r>
                  <w:r>
                    <w:rPr>
                      <w:color w:val="auto"/>
                      <w:sz w:val="21"/>
                      <w:szCs w:val="21"/>
                      <w:highlight w:val="none"/>
                      <w:vertAlign w:val="superscript"/>
                    </w:rPr>
                    <w:t>3</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c>
                <w:tcPr>
                  <w:tcW w:w="103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0.002</w:t>
                  </w:r>
                  <w:r>
                    <w:rPr>
                      <w:rFonts w:hint="eastAsia"/>
                      <w:color w:val="auto"/>
                      <w:sz w:val="21"/>
                      <w:szCs w:val="21"/>
                      <w:highlight w:val="none"/>
                      <w:lang w:val="en-US" w:eastAsia="zh-CN"/>
                    </w:rPr>
                    <w:t>t</w:t>
                  </w:r>
                  <w:r>
                    <w:rPr>
                      <w:color w:val="auto"/>
                      <w:sz w:val="21"/>
                      <w:szCs w:val="21"/>
                      <w:highlight w:val="none"/>
                    </w:rPr>
                    <w:t>/a</w:t>
                  </w:r>
                  <w:r>
                    <w:rPr>
                      <w:rFonts w:hint="default" w:ascii="Times New Roman" w:hAnsi="Times New Roman" w:eastAsia="宋体" w:cs="Times New Roman"/>
                      <w:i w:val="0"/>
                      <w:color w:val="auto"/>
                      <w:kern w:val="0"/>
                      <w:sz w:val="21"/>
                      <w:szCs w:val="21"/>
                      <w:highlight w:val="none"/>
                      <w:u w:val="none"/>
                      <w:lang w:val="en-US" w:eastAsia="zh-CN" w:bidi="ar"/>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97" w:type="dxa"/>
                  <w:vMerge w:val="continue"/>
                  <w:tcBorders>
                    <w:tl2br w:val="nil"/>
                    <w:tr2bl w:val="nil"/>
                  </w:tcBorders>
                  <w:textDirection w:val="tbRlV"/>
                  <w:vAlign w:val="center"/>
                </w:tcPr>
                <w:p>
                  <w:pPr>
                    <w:spacing w:line="360" w:lineRule="auto"/>
                    <w:jc w:val="center"/>
                    <w:rPr>
                      <w:color w:val="auto"/>
                      <w:sz w:val="21"/>
                      <w:szCs w:val="21"/>
                      <w:highlight w:val="none"/>
                    </w:rPr>
                  </w:pPr>
                </w:p>
              </w:tc>
              <w:tc>
                <w:tcPr>
                  <w:tcW w:w="1156" w:type="dxa"/>
                  <w:tcBorders>
                    <w:tl2br w:val="nil"/>
                    <w:tr2bl w:val="nil"/>
                  </w:tcBorders>
                  <w:vAlign w:val="center"/>
                </w:tcPr>
                <w:p>
                  <w:pPr>
                    <w:spacing w:line="360" w:lineRule="auto"/>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开料、机加工</w:t>
                  </w:r>
                </w:p>
              </w:tc>
              <w:tc>
                <w:tcPr>
                  <w:tcW w:w="1772" w:type="dxa"/>
                  <w:gridSpan w:val="2"/>
                  <w:tcBorders>
                    <w:tl2br w:val="nil"/>
                    <w:tr2bl w:val="nil"/>
                  </w:tcBorders>
                  <w:vAlign w:val="center"/>
                </w:tcPr>
                <w:p>
                  <w:pPr>
                    <w:spacing w:line="360" w:lineRule="auto"/>
                    <w:ind w:firstLine="210" w:firstLineChars="10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粉尘</w:t>
                  </w:r>
                </w:p>
              </w:tc>
              <w:tc>
                <w:tcPr>
                  <w:tcW w:w="1380"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140"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53t/a</w:t>
                  </w:r>
                </w:p>
              </w:tc>
              <w:tc>
                <w:tcPr>
                  <w:tcW w:w="1410"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038" w:type="dxa"/>
                  <w:tcBorders>
                    <w:tl2br w:val="nil"/>
                    <w:tr2bl w:val="nil"/>
                  </w:tcBorders>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53t/a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vAlign w:val="center"/>
                </w:tcPr>
                <w:p>
                  <w:pPr>
                    <w:jc w:val="center"/>
                    <w:rPr>
                      <w:color w:val="auto"/>
                      <w:sz w:val="21"/>
                      <w:szCs w:val="21"/>
                      <w:highlight w:val="none"/>
                    </w:rPr>
                  </w:pPr>
                  <w:r>
                    <w:rPr>
                      <w:color w:val="auto"/>
                      <w:sz w:val="21"/>
                      <w:szCs w:val="21"/>
                      <w:highlight w:val="none"/>
                    </w:rPr>
                    <w:t>噪</w:t>
                  </w:r>
                </w:p>
                <w:p>
                  <w:pPr>
                    <w:jc w:val="center"/>
                    <w:rPr>
                      <w:color w:val="auto"/>
                      <w:sz w:val="21"/>
                      <w:szCs w:val="21"/>
                      <w:highlight w:val="none"/>
                    </w:rPr>
                  </w:pPr>
                  <w:r>
                    <w:rPr>
                      <w:color w:val="auto"/>
                      <w:sz w:val="21"/>
                      <w:szCs w:val="21"/>
                      <w:highlight w:val="none"/>
                    </w:rPr>
                    <w:t>声</w:t>
                  </w:r>
                </w:p>
              </w:tc>
              <w:tc>
                <w:tcPr>
                  <w:tcW w:w="1156" w:type="dxa"/>
                  <w:tcBorders>
                    <w:tl2br w:val="nil"/>
                    <w:tr2bl w:val="nil"/>
                  </w:tcBorders>
                  <w:vAlign w:val="center"/>
                </w:tcPr>
                <w:p>
                  <w:pPr>
                    <w:jc w:val="center"/>
                    <w:rPr>
                      <w:color w:val="auto"/>
                      <w:sz w:val="21"/>
                      <w:szCs w:val="21"/>
                      <w:highlight w:val="none"/>
                    </w:rPr>
                  </w:pPr>
                  <w:r>
                    <w:rPr>
                      <w:color w:val="auto"/>
                      <w:sz w:val="21"/>
                      <w:szCs w:val="21"/>
                      <w:highlight w:val="none"/>
                    </w:rPr>
                    <w:t>生产设备</w:t>
                  </w:r>
                </w:p>
              </w:tc>
              <w:tc>
                <w:tcPr>
                  <w:tcW w:w="1772" w:type="dxa"/>
                  <w:gridSpan w:val="2"/>
                  <w:tcBorders>
                    <w:tl2br w:val="nil"/>
                    <w:tr2bl w:val="nil"/>
                  </w:tcBorders>
                  <w:vAlign w:val="center"/>
                </w:tcPr>
                <w:p>
                  <w:pPr>
                    <w:jc w:val="center"/>
                    <w:rPr>
                      <w:color w:val="auto"/>
                      <w:kern w:val="0"/>
                      <w:sz w:val="21"/>
                      <w:szCs w:val="21"/>
                      <w:highlight w:val="none"/>
                    </w:rPr>
                  </w:pPr>
                  <w:r>
                    <w:rPr>
                      <w:color w:val="auto"/>
                      <w:kern w:val="0"/>
                      <w:sz w:val="21"/>
                      <w:szCs w:val="21"/>
                      <w:highlight w:val="none"/>
                    </w:rPr>
                    <w:t>噪声</w:t>
                  </w:r>
                </w:p>
              </w:tc>
              <w:tc>
                <w:tcPr>
                  <w:tcW w:w="2520" w:type="dxa"/>
                  <w:gridSpan w:val="2"/>
                  <w:tcBorders>
                    <w:tl2br w:val="nil"/>
                    <w:tr2bl w:val="nil"/>
                  </w:tcBorders>
                  <w:vAlign w:val="center"/>
                </w:tcPr>
                <w:p>
                  <w:pPr>
                    <w:jc w:val="center"/>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0</w:t>
                  </w:r>
                  <w:r>
                    <w:rPr>
                      <w:color w:val="auto"/>
                      <w:sz w:val="21"/>
                      <w:szCs w:val="21"/>
                      <w:highlight w:val="none"/>
                    </w:rPr>
                    <w:t>~</w:t>
                  </w:r>
                  <w:r>
                    <w:rPr>
                      <w:rFonts w:hint="eastAsia"/>
                      <w:color w:val="auto"/>
                      <w:sz w:val="21"/>
                      <w:szCs w:val="21"/>
                      <w:highlight w:val="none"/>
                    </w:rPr>
                    <w:t>90</w:t>
                  </w:r>
                  <w:r>
                    <w:rPr>
                      <w:color w:val="auto"/>
                      <w:sz w:val="21"/>
                      <w:szCs w:val="21"/>
                      <w:highlight w:val="none"/>
                    </w:rPr>
                    <w:t>dB（A）</w:t>
                  </w:r>
                </w:p>
              </w:tc>
              <w:tc>
                <w:tcPr>
                  <w:tcW w:w="2448" w:type="dxa"/>
                  <w:gridSpan w:val="2"/>
                  <w:tcBorders>
                    <w:tl2br w:val="nil"/>
                    <w:tr2bl w:val="nil"/>
                  </w:tcBorders>
                  <w:vAlign w:val="center"/>
                </w:tcPr>
                <w:p>
                  <w:pPr>
                    <w:jc w:val="center"/>
                    <w:rPr>
                      <w:bCs/>
                      <w:color w:val="auto"/>
                      <w:sz w:val="21"/>
                      <w:szCs w:val="21"/>
                      <w:highlight w:val="none"/>
                    </w:rPr>
                  </w:pPr>
                  <w:r>
                    <w:rPr>
                      <w:color w:val="auto"/>
                      <w:sz w:val="21"/>
                      <w:szCs w:val="21"/>
                      <w:highlight w:val="none"/>
                    </w:rPr>
                    <w:t>昼间≤6</w:t>
                  </w:r>
                  <w:r>
                    <w:rPr>
                      <w:rFonts w:hint="eastAsia"/>
                      <w:color w:val="auto"/>
                      <w:sz w:val="21"/>
                      <w:szCs w:val="21"/>
                      <w:highlight w:val="none"/>
                      <w:lang w:val="en-US" w:eastAsia="zh-CN"/>
                    </w:rPr>
                    <w:t>0</w:t>
                  </w:r>
                  <w:r>
                    <w:rPr>
                      <w:bCs/>
                      <w:color w:val="auto"/>
                      <w:sz w:val="21"/>
                      <w:szCs w:val="21"/>
                      <w:highlight w:val="none"/>
                    </w:rPr>
                    <w:t>dB（A）；</w:t>
                  </w:r>
                </w:p>
                <w:p>
                  <w:pPr>
                    <w:jc w:val="center"/>
                    <w:rPr>
                      <w:color w:val="auto"/>
                      <w:sz w:val="21"/>
                      <w:szCs w:val="21"/>
                      <w:highlight w:val="none"/>
                    </w:rPr>
                  </w:pPr>
                  <w:r>
                    <w:rPr>
                      <w:bCs/>
                      <w:color w:val="auto"/>
                      <w:sz w:val="21"/>
                      <w:szCs w:val="21"/>
                      <w:highlight w:val="none"/>
                    </w:rPr>
                    <w:t>夜间≤5</w:t>
                  </w:r>
                  <w:r>
                    <w:rPr>
                      <w:rFonts w:hint="eastAsia"/>
                      <w:bCs/>
                      <w:color w:val="auto"/>
                      <w:sz w:val="21"/>
                      <w:szCs w:val="21"/>
                      <w:highlight w:val="none"/>
                      <w:lang w:val="en-US" w:eastAsia="zh-CN"/>
                    </w:rPr>
                    <w:t>0</w:t>
                  </w:r>
                  <w:r>
                    <w:rPr>
                      <w:bCs/>
                      <w:color w:val="auto"/>
                      <w:sz w:val="21"/>
                      <w:szCs w:val="21"/>
                      <w:highlight w:val="none"/>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restart"/>
                  <w:tcBorders>
                    <w:tl2br w:val="nil"/>
                    <w:tr2bl w:val="nil"/>
                  </w:tcBorders>
                  <w:vAlign w:val="center"/>
                </w:tcPr>
                <w:p>
                  <w:pPr>
                    <w:jc w:val="center"/>
                    <w:rPr>
                      <w:color w:val="auto"/>
                      <w:sz w:val="21"/>
                      <w:szCs w:val="21"/>
                      <w:highlight w:val="none"/>
                    </w:rPr>
                  </w:pPr>
                  <w:r>
                    <w:rPr>
                      <w:color w:val="auto"/>
                      <w:sz w:val="21"/>
                      <w:szCs w:val="21"/>
                      <w:highlight w:val="none"/>
                    </w:rPr>
                    <w:t>一般固体废物</w:t>
                  </w:r>
                </w:p>
              </w:tc>
              <w:tc>
                <w:tcPr>
                  <w:tcW w:w="1156" w:type="dxa"/>
                  <w:tcBorders>
                    <w:tl2br w:val="nil"/>
                    <w:tr2bl w:val="nil"/>
                  </w:tcBorders>
                  <w:vAlign w:val="center"/>
                </w:tcPr>
                <w:p>
                  <w:pPr>
                    <w:jc w:val="center"/>
                    <w:rPr>
                      <w:color w:val="auto"/>
                      <w:sz w:val="21"/>
                      <w:szCs w:val="21"/>
                      <w:highlight w:val="none"/>
                    </w:rPr>
                  </w:pPr>
                  <w:r>
                    <w:rPr>
                      <w:color w:val="auto"/>
                      <w:sz w:val="21"/>
                      <w:szCs w:val="21"/>
                      <w:highlight w:val="none"/>
                    </w:rPr>
                    <w:t>员工生活</w:t>
                  </w:r>
                </w:p>
              </w:tc>
              <w:tc>
                <w:tcPr>
                  <w:tcW w:w="1772" w:type="dxa"/>
                  <w:gridSpan w:val="2"/>
                  <w:tcBorders>
                    <w:tl2br w:val="nil"/>
                    <w:tr2bl w:val="nil"/>
                  </w:tcBorders>
                  <w:vAlign w:val="center"/>
                </w:tcPr>
                <w:p>
                  <w:pPr>
                    <w:jc w:val="center"/>
                    <w:rPr>
                      <w:color w:val="auto"/>
                      <w:sz w:val="21"/>
                      <w:szCs w:val="21"/>
                      <w:highlight w:val="none"/>
                    </w:rPr>
                  </w:pPr>
                  <w:r>
                    <w:rPr>
                      <w:color w:val="auto"/>
                      <w:sz w:val="21"/>
                      <w:szCs w:val="21"/>
                      <w:highlight w:val="none"/>
                    </w:rPr>
                    <w:t>生活垃圾</w:t>
                  </w:r>
                </w:p>
              </w:tc>
              <w:tc>
                <w:tcPr>
                  <w:tcW w:w="2520" w:type="dxa"/>
                  <w:gridSpan w:val="2"/>
                  <w:tcBorders>
                    <w:tl2br w:val="nil"/>
                    <w:tr2bl w:val="nil"/>
                  </w:tcBorders>
                  <w:vAlign w:val="center"/>
                </w:tcPr>
                <w:p>
                  <w:pPr>
                    <w:jc w:val="center"/>
                    <w:rPr>
                      <w:color w:val="auto"/>
                      <w:sz w:val="21"/>
                      <w:szCs w:val="21"/>
                      <w:highlight w:val="none"/>
                    </w:rPr>
                  </w:pPr>
                  <w:r>
                    <w:rPr>
                      <w:rFonts w:hint="eastAsia"/>
                      <w:color w:val="auto"/>
                      <w:sz w:val="21"/>
                      <w:szCs w:val="21"/>
                      <w:highlight w:val="none"/>
                      <w:lang w:val="en-US" w:eastAsia="zh-CN"/>
                    </w:rPr>
                    <w:t>1.2</w:t>
                  </w:r>
                  <w:r>
                    <w:rPr>
                      <w:color w:val="auto"/>
                      <w:sz w:val="21"/>
                      <w:szCs w:val="21"/>
                      <w:highlight w:val="none"/>
                    </w:rPr>
                    <w:t>t/a</w:t>
                  </w:r>
                </w:p>
              </w:tc>
              <w:tc>
                <w:tcPr>
                  <w:tcW w:w="2448" w:type="dxa"/>
                  <w:gridSpan w:val="2"/>
                  <w:tcBorders>
                    <w:tl2br w:val="nil"/>
                    <w:tr2bl w:val="nil"/>
                  </w:tcBorders>
                  <w:vAlign w:val="center"/>
                </w:tcPr>
                <w:p>
                  <w:pPr>
                    <w:jc w:val="center"/>
                    <w:rPr>
                      <w:color w:val="auto"/>
                      <w:sz w:val="21"/>
                      <w:szCs w:val="21"/>
                      <w:highlight w:val="none"/>
                    </w:rPr>
                  </w:pPr>
                  <w:r>
                    <w:rPr>
                      <w:color w:val="auto"/>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restart"/>
                  <w:tcBorders>
                    <w:tl2br w:val="nil"/>
                    <w:tr2bl w:val="nil"/>
                  </w:tcBorders>
                  <w:vAlign w:val="center"/>
                </w:tcPr>
                <w:p>
                  <w:pPr>
                    <w:jc w:val="center"/>
                    <w:rPr>
                      <w:color w:val="auto"/>
                      <w:sz w:val="21"/>
                      <w:szCs w:val="21"/>
                      <w:highlight w:val="none"/>
                    </w:rPr>
                  </w:pPr>
                  <w:r>
                    <w:rPr>
                      <w:color w:val="auto"/>
                      <w:sz w:val="21"/>
                      <w:szCs w:val="21"/>
                      <w:highlight w:val="none"/>
                    </w:rPr>
                    <w:t>生产固废</w:t>
                  </w:r>
                </w:p>
              </w:tc>
              <w:tc>
                <w:tcPr>
                  <w:tcW w:w="1772" w:type="dxa"/>
                  <w:gridSpan w:val="2"/>
                  <w:tcBorders>
                    <w:tl2br w:val="nil"/>
                    <w:tr2bl w:val="nil"/>
                  </w:tcBorders>
                  <w:vAlign w:val="center"/>
                </w:tcPr>
                <w:p>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废包装材料</w:t>
                  </w:r>
                </w:p>
              </w:tc>
              <w:tc>
                <w:tcPr>
                  <w:tcW w:w="2520" w:type="dxa"/>
                  <w:gridSpan w:val="2"/>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r>
                    <w:rPr>
                      <w:color w:val="auto"/>
                      <w:sz w:val="21"/>
                      <w:szCs w:val="21"/>
                      <w:highlight w:val="none"/>
                    </w:rPr>
                    <w:t>t/a</w:t>
                  </w:r>
                </w:p>
              </w:tc>
              <w:tc>
                <w:tcPr>
                  <w:tcW w:w="2448" w:type="dxa"/>
                  <w:gridSpan w:val="2"/>
                  <w:tcBorders>
                    <w:tl2br w:val="nil"/>
                    <w:tr2bl w:val="nil"/>
                  </w:tcBorders>
                  <w:vAlign w:val="center"/>
                </w:tcPr>
                <w:p>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continue"/>
                  <w:tcBorders>
                    <w:tl2br w:val="nil"/>
                    <w:tr2bl w:val="nil"/>
                  </w:tcBorders>
                  <w:vAlign w:val="center"/>
                </w:tcPr>
                <w:p>
                  <w:pPr>
                    <w:jc w:val="center"/>
                    <w:rPr>
                      <w:color w:val="auto"/>
                      <w:sz w:val="21"/>
                      <w:szCs w:val="21"/>
                      <w:highlight w:val="none"/>
                    </w:rPr>
                  </w:pPr>
                </w:p>
              </w:tc>
              <w:tc>
                <w:tcPr>
                  <w:tcW w:w="1772" w:type="dxa"/>
                  <w:gridSpan w:val="2"/>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边角</w:t>
                  </w:r>
                  <w:r>
                    <w:rPr>
                      <w:rFonts w:hint="eastAsia"/>
                      <w:color w:val="auto"/>
                      <w:kern w:val="0"/>
                      <w:sz w:val="21"/>
                      <w:szCs w:val="21"/>
                      <w:highlight w:val="none"/>
                      <w:lang w:val="en-US" w:eastAsia="zh-CN"/>
                    </w:rPr>
                    <w:t>料</w:t>
                  </w:r>
                </w:p>
              </w:tc>
              <w:tc>
                <w:tcPr>
                  <w:tcW w:w="2520" w:type="dxa"/>
                  <w:gridSpan w:val="2"/>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r>
                    <w:rPr>
                      <w:color w:val="auto"/>
                      <w:sz w:val="21"/>
                      <w:szCs w:val="21"/>
                      <w:highlight w:val="none"/>
                    </w:rPr>
                    <w:t>t/a</w:t>
                  </w:r>
                </w:p>
              </w:tc>
              <w:tc>
                <w:tcPr>
                  <w:tcW w:w="2448" w:type="dxa"/>
                  <w:gridSpan w:val="2"/>
                  <w:tcBorders>
                    <w:tl2br w:val="nil"/>
                    <w:tr2bl w:val="nil"/>
                  </w:tcBorders>
                  <w:vAlign w:val="center"/>
                </w:tcPr>
                <w:p>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continue"/>
                  <w:tcBorders>
                    <w:tl2br w:val="nil"/>
                    <w:tr2bl w:val="nil"/>
                  </w:tcBorders>
                  <w:vAlign w:val="center"/>
                </w:tcPr>
                <w:p>
                  <w:pPr>
                    <w:jc w:val="center"/>
                    <w:rPr>
                      <w:color w:val="auto"/>
                      <w:sz w:val="21"/>
                      <w:szCs w:val="21"/>
                      <w:highlight w:val="none"/>
                    </w:rPr>
                  </w:pPr>
                </w:p>
              </w:tc>
              <w:tc>
                <w:tcPr>
                  <w:tcW w:w="1772" w:type="dxa"/>
                  <w:gridSpan w:val="2"/>
                  <w:tcBorders>
                    <w:tl2br w:val="nil"/>
                    <w:tr2bl w:val="nil"/>
                  </w:tcBorders>
                  <w:vAlign w:val="center"/>
                </w:tcPr>
                <w:p>
                  <w:pPr>
                    <w:jc w:val="center"/>
                    <w:rPr>
                      <w:rFonts w:hint="eastAsia" w:eastAsia="宋体"/>
                      <w:color w:val="auto"/>
                      <w:sz w:val="21"/>
                      <w:szCs w:val="21"/>
                      <w:highlight w:val="none"/>
                      <w:lang w:eastAsia="zh-CN"/>
                    </w:rPr>
                  </w:pPr>
                  <w:r>
                    <w:rPr>
                      <w:rFonts w:hint="eastAsia"/>
                      <w:color w:val="auto"/>
                      <w:sz w:val="21"/>
                      <w:szCs w:val="21"/>
                      <w:highlight w:val="none"/>
                      <w:lang w:eastAsia="zh-CN"/>
                    </w:rPr>
                    <w:t>不合格品</w:t>
                  </w:r>
                </w:p>
              </w:tc>
              <w:tc>
                <w:tcPr>
                  <w:tcW w:w="2520" w:type="dxa"/>
                  <w:gridSpan w:val="2"/>
                  <w:tcBorders>
                    <w:tl2br w:val="nil"/>
                    <w:tr2bl w:val="nil"/>
                  </w:tcBorders>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w:t>
                  </w:r>
                  <w:r>
                    <w:rPr>
                      <w:color w:val="auto"/>
                      <w:sz w:val="21"/>
                      <w:szCs w:val="21"/>
                      <w:highlight w:val="none"/>
                    </w:rPr>
                    <w:t>t/a</w:t>
                  </w:r>
                </w:p>
              </w:tc>
              <w:tc>
                <w:tcPr>
                  <w:tcW w:w="2448" w:type="dxa"/>
                  <w:gridSpan w:val="2"/>
                  <w:tcBorders>
                    <w:tl2br w:val="nil"/>
                    <w:tr2bl w:val="nil"/>
                  </w:tcBorders>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restart"/>
                  <w:tcBorders>
                    <w:tl2br w:val="nil"/>
                    <w:tr2bl w:val="nil"/>
                  </w:tcBorders>
                  <w:vAlign w:val="center"/>
                </w:tcPr>
                <w:p>
                  <w:pPr>
                    <w:pStyle w:val="2"/>
                    <w:jc w:val="center"/>
                    <w:rPr>
                      <w:rFonts w:hint="eastAsia" w:eastAsia="宋体"/>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危险废物</w:t>
                  </w:r>
                </w:p>
              </w:tc>
              <w:tc>
                <w:tcPr>
                  <w:tcW w:w="1772" w:type="dxa"/>
                  <w:gridSpan w:val="2"/>
                  <w:tcBorders>
                    <w:tl2br w:val="nil"/>
                    <w:tr2bl w:val="nil"/>
                  </w:tcBorders>
                  <w:vAlign w:val="center"/>
                </w:tcPr>
                <w:p>
                  <w:pPr>
                    <w:pStyle w:val="2"/>
                    <w:jc w:val="center"/>
                    <w:rPr>
                      <w:rFonts w:hint="eastAsia"/>
                      <w:color w:val="auto"/>
                      <w:sz w:val="21"/>
                      <w:szCs w:val="21"/>
                      <w:highlight w:val="none"/>
                      <w:lang w:val="en-US" w:eastAsia="zh-CN"/>
                    </w:rPr>
                  </w:pPr>
                  <w:r>
                    <w:rPr>
                      <w:rFonts w:hint="eastAsia" w:ascii="Times New Roman" w:hAnsi="Times New Roman"/>
                      <w:color w:val="auto"/>
                      <w:kern w:val="0"/>
                      <w:sz w:val="21"/>
                      <w:szCs w:val="21"/>
                      <w:highlight w:val="none"/>
                      <w:vertAlign w:val="baseline"/>
                      <w:lang w:val="en-US" w:eastAsia="zh-CN"/>
                    </w:rPr>
                    <w:t>含油废抹布、手套</w:t>
                  </w:r>
                </w:p>
              </w:tc>
              <w:tc>
                <w:tcPr>
                  <w:tcW w:w="2520" w:type="dxa"/>
                  <w:gridSpan w:val="2"/>
                  <w:tcBorders>
                    <w:tl2br w:val="nil"/>
                    <w:tr2bl w:val="nil"/>
                  </w:tcBorders>
                  <w:vAlign w:val="center"/>
                </w:tcPr>
                <w:p>
                  <w:pPr>
                    <w:pStyle w:val="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0.0072t/a</w:t>
                  </w:r>
                </w:p>
              </w:tc>
              <w:tc>
                <w:tcPr>
                  <w:tcW w:w="2448" w:type="dxa"/>
                  <w:gridSpan w:val="2"/>
                  <w:tcBorders>
                    <w:tl2br w:val="nil"/>
                    <w:tr2bl w:val="nil"/>
                  </w:tcBorders>
                  <w:vAlign w:val="center"/>
                </w:tcPr>
                <w:p>
                  <w:pPr>
                    <w:jc w:val="center"/>
                    <w:rPr>
                      <w:color w:val="auto"/>
                      <w:sz w:val="21"/>
                      <w:szCs w:val="21"/>
                      <w:highlight w:val="none"/>
                    </w:rPr>
                  </w:pPr>
                  <w:r>
                    <w:rPr>
                      <w:color w:val="auto"/>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continue"/>
                  <w:tcBorders>
                    <w:tl2br w:val="nil"/>
                    <w:tr2bl w:val="nil"/>
                  </w:tcBorders>
                  <w:vAlign w:val="center"/>
                </w:tcPr>
                <w:p>
                  <w:pPr>
                    <w:pStyle w:val="2"/>
                    <w:jc w:val="center"/>
                    <w:rPr>
                      <w:color w:val="auto"/>
                      <w:sz w:val="21"/>
                      <w:szCs w:val="21"/>
                      <w:highlight w:val="none"/>
                    </w:rPr>
                  </w:pPr>
                </w:p>
              </w:tc>
              <w:tc>
                <w:tcPr>
                  <w:tcW w:w="1772" w:type="dxa"/>
                  <w:gridSpan w:val="2"/>
                  <w:tcBorders>
                    <w:tl2br w:val="nil"/>
                    <w:tr2bl w:val="nil"/>
                  </w:tcBorders>
                  <w:vAlign w:val="center"/>
                </w:tcPr>
                <w:p>
                  <w:pPr>
                    <w:pStyle w:val="2"/>
                    <w:jc w:val="center"/>
                    <w:rPr>
                      <w:rFonts w:hint="eastAsia"/>
                      <w:color w:val="auto"/>
                      <w:sz w:val="21"/>
                      <w:szCs w:val="21"/>
                      <w:highlight w:val="none"/>
                      <w:lang w:val="en-US" w:eastAsia="zh-CN"/>
                    </w:rPr>
                  </w:pPr>
                  <w:r>
                    <w:rPr>
                      <w:rFonts w:hint="eastAsia" w:ascii="Times New Roman" w:hAnsi="Times New Roman"/>
                      <w:color w:val="auto"/>
                      <w:kern w:val="0"/>
                      <w:sz w:val="21"/>
                      <w:szCs w:val="21"/>
                      <w:highlight w:val="none"/>
                      <w:vertAlign w:val="baseline"/>
                      <w:lang w:val="en-US" w:eastAsia="zh-CN"/>
                    </w:rPr>
                    <w:t>废润滑油</w:t>
                  </w:r>
                </w:p>
              </w:tc>
              <w:tc>
                <w:tcPr>
                  <w:tcW w:w="2520" w:type="dxa"/>
                  <w:gridSpan w:val="2"/>
                  <w:tcBorders>
                    <w:tl2br w:val="nil"/>
                    <w:tr2bl w:val="nil"/>
                  </w:tcBorders>
                  <w:vAlign w:val="center"/>
                </w:tcPr>
                <w:p>
                  <w:pPr>
                    <w:pStyle w:val="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0.76</w:t>
                  </w:r>
                  <w:r>
                    <w:rPr>
                      <w:rFonts w:hint="eastAsia" w:ascii="Times New Roman" w:hAnsi="Times New Roman" w:eastAsia="宋体" w:cs="Times New Roman"/>
                      <w:color w:val="auto"/>
                      <w:kern w:val="2"/>
                      <w:sz w:val="21"/>
                      <w:szCs w:val="21"/>
                      <w:highlight w:val="none"/>
                      <w:lang w:val="en-US" w:eastAsia="zh-CN" w:bidi="ar-SA"/>
                    </w:rPr>
                    <w:t>t/a</w:t>
                  </w:r>
                </w:p>
              </w:tc>
              <w:tc>
                <w:tcPr>
                  <w:tcW w:w="2448" w:type="dxa"/>
                  <w:gridSpan w:val="2"/>
                  <w:tcBorders>
                    <w:tl2br w:val="nil"/>
                    <w:tr2bl w:val="nil"/>
                  </w:tcBorders>
                  <w:vAlign w:val="center"/>
                </w:tcPr>
                <w:p>
                  <w:pPr>
                    <w:jc w:val="center"/>
                    <w:rPr>
                      <w:color w:val="auto"/>
                      <w:sz w:val="21"/>
                      <w:szCs w:val="21"/>
                      <w:highlight w:val="none"/>
                    </w:rPr>
                  </w:pPr>
                  <w:r>
                    <w:rPr>
                      <w:color w:val="auto"/>
                      <w:sz w:val="21"/>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7" w:type="dxa"/>
                  <w:vMerge w:val="continue"/>
                  <w:tcBorders>
                    <w:tl2br w:val="nil"/>
                    <w:tr2bl w:val="nil"/>
                  </w:tcBorders>
                  <w:vAlign w:val="center"/>
                </w:tcPr>
                <w:p>
                  <w:pPr>
                    <w:jc w:val="center"/>
                    <w:rPr>
                      <w:color w:val="auto"/>
                      <w:sz w:val="21"/>
                      <w:szCs w:val="21"/>
                      <w:highlight w:val="none"/>
                    </w:rPr>
                  </w:pPr>
                </w:p>
              </w:tc>
              <w:tc>
                <w:tcPr>
                  <w:tcW w:w="1156" w:type="dxa"/>
                  <w:vMerge w:val="continue"/>
                  <w:tcBorders>
                    <w:tl2br w:val="nil"/>
                    <w:tr2bl w:val="nil"/>
                  </w:tcBorders>
                  <w:vAlign w:val="center"/>
                </w:tcPr>
                <w:p>
                  <w:pPr>
                    <w:pStyle w:val="2"/>
                    <w:jc w:val="center"/>
                    <w:rPr>
                      <w:color w:val="auto"/>
                      <w:sz w:val="21"/>
                      <w:szCs w:val="21"/>
                      <w:highlight w:val="none"/>
                    </w:rPr>
                  </w:pPr>
                </w:p>
              </w:tc>
              <w:tc>
                <w:tcPr>
                  <w:tcW w:w="1772" w:type="dxa"/>
                  <w:gridSpan w:val="2"/>
                  <w:tcBorders>
                    <w:tl2br w:val="nil"/>
                    <w:tr2bl w:val="nil"/>
                  </w:tcBorders>
                  <w:vAlign w:val="center"/>
                </w:tcPr>
                <w:p>
                  <w:pPr>
                    <w:pStyle w:val="2"/>
                    <w:jc w:val="center"/>
                    <w:rPr>
                      <w:rFonts w:hint="eastAsia"/>
                      <w:color w:val="auto"/>
                      <w:sz w:val="21"/>
                      <w:szCs w:val="21"/>
                      <w:highlight w:val="none"/>
                      <w:lang w:val="en-US" w:eastAsia="zh-CN"/>
                    </w:rPr>
                  </w:pPr>
                  <w:r>
                    <w:rPr>
                      <w:rFonts w:hint="eastAsia" w:ascii="Times New Roman" w:hAnsi="Times New Roman"/>
                      <w:color w:val="auto"/>
                      <w:kern w:val="0"/>
                      <w:sz w:val="21"/>
                      <w:szCs w:val="21"/>
                      <w:highlight w:val="none"/>
                      <w:vertAlign w:val="baseline"/>
                      <w:lang w:val="en-US" w:eastAsia="zh-CN"/>
                    </w:rPr>
                    <w:t>废润滑油油桶</w:t>
                  </w:r>
                </w:p>
              </w:tc>
              <w:tc>
                <w:tcPr>
                  <w:tcW w:w="2520" w:type="dxa"/>
                  <w:gridSpan w:val="2"/>
                  <w:tcBorders>
                    <w:tl2br w:val="nil"/>
                    <w:tr2bl w:val="nil"/>
                  </w:tcBorders>
                  <w:vAlign w:val="center"/>
                </w:tcPr>
                <w:p>
                  <w:pPr>
                    <w:pStyle w:val="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0.03</w:t>
                  </w:r>
                  <w:r>
                    <w:rPr>
                      <w:rFonts w:hint="eastAsia" w:ascii="Times New Roman" w:hAnsi="Times New Roman" w:eastAsia="宋体" w:cs="Times New Roman"/>
                      <w:color w:val="auto"/>
                      <w:kern w:val="2"/>
                      <w:sz w:val="21"/>
                      <w:szCs w:val="21"/>
                      <w:highlight w:val="none"/>
                      <w:lang w:val="en-US" w:eastAsia="zh-CN" w:bidi="ar-SA"/>
                    </w:rPr>
                    <w:t>t/a</w:t>
                  </w:r>
                </w:p>
              </w:tc>
              <w:tc>
                <w:tcPr>
                  <w:tcW w:w="2448" w:type="dxa"/>
                  <w:gridSpan w:val="2"/>
                  <w:tcBorders>
                    <w:tl2br w:val="nil"/>
                    <w:tr2bl w:val="nil"/>
                  </w:tcBorders>
                  <w:vAlign w:val="center"/>
                </w:tcPr>
                <w:p>
                  <w:pPr>
                    <w:jc w:val="center"/>
                    <w:rPr>
                      <w:color w:val="auto"/>
                      <w:sz w:val="21"/>
                      <w:szCs w:val="21"/>
                      <w:highlight w:val="none"/>
                    </w:rPr>
                  </w:pPr>
                  <w:r>
                    <w:rPr>
                      <w:color w:val="auto"/>
                      <w:sz w:val="21"/>
                      <w:szCs w:val="21"/>
                      <w:highlight w:val="none"/>
                    </w:rPr>
                    <w:t>0</w:t>
                  </w:r>
                </w:p>
              </w:tc>
            </w:tr>
          </w:tbl>
          <w:p>
            <w:pPr>
              <w:spacing w:line="360" w:lineRule="auto"/>
              <w:rPr>
                <w:b/>
                <w:color w:val="auto"/>
                <w:sz w:val="24"/>
                <w:szCs w:val="24"/>
                <w:highlight w:val="none"/>
              </w:rPr>
            </w:pPr>
            <w:r>
              <w:rPr>
                <w:b/>
                <w:color w:val="auto"/>
                <w:sz w:val="24"/>
                <w:szCs w:val="24"/>
                <w:highlight w:val="none"/>
              </w:rPr>
              <w:t>主要生态影响：</w:t>
            </w:r>
          </w:p>
          <w:p>
            <w:pPr>
              <w:spacing w:line="360" w:lineRule="auto"/>
              <w:ind w:firstLine="240" w:firstLineChars="100"/>
              <w:rPr>
                <w:rFonts w:hint="eastAsia"/>
                <w:color w:val="auto"/>
                <w:sz w:val="24"/>
                <w:szCs w:val="24"/>
                <w:highlight w:val="none"/>
              </w:rPr>
            </w:pPr>
            <w:r>
              <w:rPr>
                <w:color w:val="auto"/>
                <w:sz w:val="24"/>
                <w:szCs w:val="24"/>
                <w:highlight w:val="none"/>
              </w:rPr>
              <w:t>项目所在地没有需要特殊保护的植被和重要生态环境保护目标，项目的建设对周围生态环境的影响不明显。</w:t>
            </w:r>
            <w:r>
              <w:rPr>
                <w:rFonts w:hint="eastAsia"/>
                <w:color w:val="auto"/>
                <w:sz w:val="24"/>
                <w:szCs w:val="24"/>
                <w:highlight w:val="none"/>
              </w:rPr>
              <w:t xml:space="preserve"> </w:t>
            </w:r>
          </w:p>
          <w:p>
            <w:pPr>
              <w:spacing w:line="360" w:lineRule="auto"/>
              <w:rPr>
                <w:rFonts w:hint="default" w:eastAsia="宋体"/>
                <w:color w:val="auto"/>
                <w:sz w:val="24"/>
                <w:szCs w:val="24"/>
                <w:highlight w:val="none"/>
                <w:lang w:val="en-US" w:eastAsia="zh-CN"/>
              </w:rPr>
            </w:pPr>
          </w:p>
        </w:tc>
      </w:tr>
    </w:tbl>
    <w:p>
      <w:pPr>
        <w:pStyle w:val="16"/>
        <w:spacing w:before="0" w:after="0" w:line="240" w:lineRule="auto"/>
        <w:rPr>
          <w:color w:val="auto"/>
          <w:sz w:val="28"/>
          <w:szCs w:val="28"/>
          <w:highlight w:val="none"/>
        </w:rPr>
      </w:pPr>
      <w:bookmarkStart w:id="62" w:name="_Toc421053064"/>
      <w:bookmarkStart w:id="63" w:name="_Toc451440907"/>
      <w:bookmarkStart w:id="64" w:name="_Toc421087974"/>
      <w:bookmarkStart w:id="65" w:name="_Toc25263"/>
      <w:bookmarkStart w:id="66" w:name="_Toc20951"/>
      <w:bookmarkStart w:id="67" w:name="_Toc419969247"/>
      <w:bookmarkStart w:id="68" w:name="_Toc28491"/>
      <w:bookmarkStart w:id="69" w:name="_Toc423079060"/>
      <w:bookmarkStart w:id="70" w:name="_Toc420709134"/>
      <w:bookmarkStart w:id="71" w:name="_Toc429307989"/>
      <w:r>
        <w:rPr>
          <w:color w:val="auto"/>
          <w:sz w:val="28"/>
          <w:szCs w:val="28"/>
          <w:highlight w:val="none"/>
        </w:rPr>
        <w:t>七、环境影响分析</w:t>
      </w:r>
      <w:bookmarkEnd w:id="62"/>
      <w:bookmarkEnd w:id="63"/>
      <w:bookmarkEnd w:id="64"/>
      <w:bookmarkEnd w:id="65"/>
      <w:bookmarkEnd w:id="66"/>
      <w:bookmarkEnd w:id="67"/>
      <w:bookmarkEnd w:id="68"/>
      <w:bookmarkEnd w:id="69"/>
      <w:bookmarkEnd w:id="70"/>
      <w:bookmarkEnd w:id="71"/>
    </w:p>
    <w:tbl>
      <w:tblPr>
        <w:tblStyle w:val="34"/>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9259" w:type="dxa"/>
            <w:tcBorders>
              <w:top w:val="single" w:color="auto" w:sz="12" w:space="0"/>
            </w:tcBorders>
          </w:tcPr>
          <w:p>
            <w:pPr>
              <w:spacing w:line="360" w:lineRule="auto"/>
              <w:rPr>
                <w:b/>
                <w:color w:val="auto"/>
                <w:sz w:val="24"/>
                <w:szCs w:val="24"/>
                <w:highlight w:val="none"/>
              </w:rPr>
            </w:pPr>
            <w:r>
              <w:rPr>
                <w:b/>
                <w:color w:val="auto"/>
                <w:sz w:val="24"/>
                <w:szCs w:val="24"/>
                <w:highlight w:val="none"/>
              </w:rPr>
              <w:t>施工期环境影响简要分析：</w:t>
            </w:r>
          </w:p>
          <w:p>
            <w:pPr>
              <w:spacing w:line="360" w:lineRule="auto"/>
              <w:ind w:firstLine="350" w:firstLineChars="146"/>
              <w:rPr>
                <w:color w:val="auto"/>
                <w:sz w:val="24"/>
                <w:highlight w:val="none"/>
              </w:rPr>
            </w:pPr>
            <w:r>
              <w:rPr>
                <w:color w:val="auto"/>
                <w:sz w:val="24"/>
                <w:highlight w:val="none"/>
              </w:rPr>
              <w:t>本项目租用已建厂房，因此施工期间基本不存在土建工程。本项目施工期间产生的影响主要是设备安装、运输产生的噪声、交通废气、扬尘等。由于项目施工期较短，如果项目建设方加强施工管理，施工期对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9259" w:type="dxa"/>
            <w:tcBorders>
              <w:bottom w:val="single" w:color="auto" w:sz="12" w:space="0"/>
            </w:tcBorders>
          </w:tcPr>
          <w:p>
            <w:pPr>
              <w:spacing w:line="360" w:lineRule="auto"/>
              <w:rPr>
                <w:rFonts w:ascii="Times New Roman" w:hAnsi="Times New Roman"/>
                <w:b/>
                <w:color w:val="auto"/>
                <w:sz w:val="28"/>
                <w:szCs w:val="28"/>
                <w:highlight w:val="none"/>
              </w:rPr>
            </w:pPr>
            <w:r>
              <w:rPr>
                <w:rFonts w:hint="eastAsia" w:ascii="Times New Roman" w:hAnsi="Times New Roman"/>
                <w:b/>
                <w:color w:val="auto"/>
                <w:sz w:val="28"/>
                <w:szCs w:val="28"/>
                <w:highlight w:val="none"/>
              </w:rPr>
              <w:t>营运期环境影响分析：</w:t>
            </w:r>
          </w:p>
          <w:p>
            <w:pPr>
              <w:numPr>
                <w:ilvl w:val="0"/>
                <w:numId w:val="4"/>
                <w:numberingChange w:id="0" w:author="User" w:date="2019-04-16T15:43:00Z" w:original="%1:1:0:、"/>
              </w:num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地表水环境影响分析及防治措施</w:t>
            </w:r>
          </w:p>
          <w:p>
            <w:pPr>
              <w:pStyle w:val="24"/>
              <w:spacing w:line="360" w:lineRule="auto"/>
              <w:rPr>
                <w:rFonts w:ascii="Times New Roman" w:hAnsi="Times New Roman"/>
                <w:color w:val="auto"/>
                <w:highlight w:val="none"/>
              </w:rPr>
            </w:pPr>
            <w:r>
              <w:rPr>
                <w:rFonts w:ascii="Times New Roman" w:hAnsi="Times New Roman"/>
                <w:color w:val="auto"/>
                <w:highlight w:val="none"/>
              </w:rPr>
              <w:t xml:space="preserve">   </w:t>
            </w:r>
            <w:r>
              <w:rPr>
                <w:rFonts w:ascii="Times New Roman" w:hAnsi="Times New Roman"/>
                <w:b/>
                <w:color w:val="auto"/>
                <w:sz w:val="24"/>
                <w:szCs w:val="24"/>
                <w:highlight w:val="none"/>
              </w:rPr>
              <w:t xml:space="preserve"> </w:t>
            </w:r>
            <w:r>
              <w:rPr>
                <w:rFonts w:hint="eastAsia" w:ascii="Times New Roman" w:hAnsi="Times New Roman"/>
                <w:b/>
                <w:color w:val="auto"/>
                <w:sz w:val="24"/>
                <w:szCs w:val="24"/>
                <w:highlight w:val="none"/>
              </w:rPr>
              <w:t>（</w:t>
            </w:r>
            <w:r>
              <w:rPr>
                <w:rFonts w:ascii="Times New Roman" w:hAnsi="Times New Roman"/>
                <w:b/>
                <w:color w:val="auto"/>
                <w:sz w:val="24"/>
                <w:szCs w:val="24"/>
                <w:highlight w:val="none"/>
              </w:rPr>
              <w:t>1</w:t>
            </w:r>
            <w:r>
              <w:rPr>
                <w:rFonts w:hint="eastAsia" w:ascii="Times New Roman" w:hAnsi="Times New Roman"/>
                <w:b/>
                <w:color w:val="auto"/>
                <w:sz w:val="24"/>
                <w:szCs w:val="24"/>
                <w:highlight w:val="none"/>
              </w:rPr>
              <w:t>）评价等级确定</w:t>
            </w:r>
          </w:p>
          <w:p>
            <w:pPr>
              <w:autoSpaceDE w:val="0"/>
              <w:autoSpaceDN w:val="0"/>
              <w:adjustRightInd w:val="0"/>
              <w:spacing w:line="360" w:lineRule="auto"/>
              <w:ind w:firstLine="480" w:firstLineChars="200"/>
              <w:jc w:val="left"/>
              <w:rPr>
                <w:rFonts w:ascii="Times New Roman" w:hAnsi="Times New Roman"/>
                <w:bCs/>
                <w:color w:val="auto"/>
                <w:kern w:val="0"/>
                <w:sz w:val="24"/>
                <w:highlight w:val="none"/>
              </w:rPr>
            </w:pPr>
            <w:r>
              <w:rPr>
                <w:rFonts w:hint="eastAsia" w:ascii="Times New Roman" w:hAnsi="Times New Roman"/>
                <w:bCs/>
                <w:color w:val="auto"/>
                <w:kern w:val="0"/>
                <w:sz w:val="24"/>
                <w:highlight w:val="none"/>
              </w:rPr>
              <w:t>根据《环境影响评价技术导则</w:t>
            </w:r>
            <w:r>
              <w:rPr>
                <w:rFonts w:ascii="Times New Roman" w:hAnsi="Times New Roman"/>
                <w:bCs/>
                <w:color w:val="auto"/>
                <w:kern w:val="0"/>
                <w:sz w:val="24"/>
                <w:highlight w:val="none"/>
              </w:rPr>
              <w:t xml:space="preserve"> </w:t>
            </w:r>
            <w:r>
              <w:rPr>
                <w:rFonts w:hint="eastAsia" w:ascii="Times New Roman" w:hAnsi="Times New Roman"/>
                <w:bCs/>
                <w:color w:val="auto"/>
                <w:kern w:val="0"/>
                <w:sz w:val="24"/>
                <w:highlight w:val="none"/>
              </w:rPr>
              <w:t>地表水环境》（</w:t>
            </w:r>
            <w:r>
              <w:rPr>
                <w:rFonts w:ascii="Times New Roman" w:hAnsi="Times New Roman"/>
                <w:bCs/>
                <w:color w:val="auto"/>
                <w:kern w:val="0"/>
                <w:sz w:val="24"/>
                <w:highlight w:val="none"/>
              </w:rPr>
              <w:t>HJ2.3-2018</w:t>
            </w:r>
            <w:r>
              <w:rPr>
                <w:rFonts w:hint="eastAsia" w:ascii="Times New Roman" w:hAnsi="Times New Roman"/>
                <w:bCs/>
                <w:color w:val="auto"/>
                <w:kern w:val="0"/>
                <w:sz w:val="24"/>
                <w:highlight w:val="none"/>
              </w:rPr>
              <w:t>）的规定，建设项目地表水环境影响评价等级按照影响类型、排放方式、排放量或影响情况、受纳水体环境质量现状、水环境保护目标等综合确定。本项目属于水污染影响型建设项目，应根据排放方式和废水排放量划分评价等级，见表</w:t>
            </w:r>
            <w:r>
              <w:rPr>
                <w:rFonts w:ascii="Times New Roman" w:hAnsi="Times New Roman"/>
                <w:bCs/>
                <w:color w:val="auto"/>
                <w:kern w:val="0"/>
                <w:sz w:val="24"/>
                <w:highlight w:val="none"/>
              </w:rPr>
              <w:t>7-1</w:t>
            </w:r>
            <w:r>
              <w:rPr>
                <w:rFonts w:hint="eastAsia" w:ascii="Times New Roman" w:hAnsi="Times New Roman"/>
                <w:bCs/>
                <w:color w:val="auto"/>
                <w:kern w:val="0"/>
                <w:sz w:val="24"/>
                <w:highlight w:val="none"/>
              </w:rPr>
              <w:t>：</w:t>
            </w:r>
          </w:p>
          <w:p>
            <w:pPr>
              <w:pStyle w:val="24"/>
              <w:spacing w:line="360" w:lineRule="auto"/>
              <w:jc w:val="center"/>
              <w:rPr>
                <w:rFonts w:ascii="Times New Roman" w:hAnsi="Times New Roman"/>
                <w:b/>
                <w:color w:val="auto"/>
                <w:kern w:val="0"/>
                <w:sz w:val="21"/>
                <w:szCs w:val="24"/>
                <w:highlight w:val="none"/>
              </w:rPr>
            </w:pPr>
            <w:r>
              <w:rPr>
                <w:rFonts w:hint="eastAsia" w:ascii="Times New Roman" w:hAnsi="Times New Roman"/>
                <w:b/>
                <w:color w:val="auto"/>
                <w:kern w:val="0"/>
                <w:sz w:val="21"/>
                <w:szCs w:val="24"/>
                <w:highlight w:val="none"/>
              </w:rPr>
              <w:t>表</w:t>
            </w:r>
            <w:r>
              <w:rPr>
                <w:rFonts w:ascii="Times New Roman" w:hAnsi="Times New Roman"/>
                <w:b/>
                <w:color w:val="auto"/>
                <w:kern w:val="0"/>
                <w:sz w:val="21"/>
                <w:szCs w:val="24"/>
                <w:highlight w:val="none"/>
              </w:rPr>
              <w:t xml:space="preserve">7-1 </w:t>
            </w:r>
            <w:r>
              <w:rPr>
                <w:rFonts w:hint="eastAsia" w:ascii="Times New Roman" w:hAnsi="Times New Roman"/>
                <w:b/>
                <w:color w:val="auto"/>
                <w:kern w:val="0"/>
                <w:sz w:val="21"/>
                <w:szCs w:val="24"/>
                <w:highlight w:val="none"/>
              </w:rPr>
              <w:t>水污染影响型建设项目评价等级判定</w:t>
            </w:r>
          </w:p>
          <w:tbl>
            <w:tblPr>
              <w:tblStyle w:val="3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01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vMerge w:val="restart"/>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评价等级</w:t>
                  </w:r>
                </w:p>
              </w:tc>
              <w:tc>
                <w:tcPr>
                  <w:tcW w:w="6029" w:type="dxa"/>
                  <w:gridSpan w:val="2"/>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vMerge w:val="continue"/>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p>
              </w:tc>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排放方式</w:t>
                  </w:r>
                </w:p>
              </w:tc>
              <w:tc>
                <w:tcPr>
                  <w:tcW w:w="301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废水排放量</w:t>
                  </w:r>
                  <w:r>
                    <w:rPr>
                      <w:rFonts w:ascii="Times New Roman" w:hAnsi="Times New Roman"/>
                      <w:bCs/>
                      <w:color w:val="auto"/>
                      <w:sz w:val="21"/>
                      <w:szCs w:val="21"/>
                      <w:highlight w:val="none"/>
                    </w:rPr>
                    <w:t>Q/(m</w:t>
                  </w:r>
                  <w:r>
                    <w:rPr>
                      <w:rFonts w:ascii="Times New Roman" w:hAnsi="Times New Roman"/>
                      <w:bCs/>
                      <w:color w:val="auto"/>
                      <w:sz w:val="21"/>
                      <w:szCs w:val="21"/>
                      <w:highlight w:val="none"/>
                      <w:vertAlign w:val="superscript"/>
                    </w:rPr>
                    <w:t>3</w:t>
                  </w:r>
                  <w:r>
                    <w:rPr>
                      <w:rFonts w:ascii="Times New Roman" w:hAnsi="Times New Roman"/>
                      <w:bCs/>
                      <w:color w:val="auto"/>
                      <w:sz w:val="21"/>
                      <w:szCs w:val="21"/>
                      <w:highlight w:val="none"/>
                    </w:rPr>
                    <w:t>/d)</w:t>
                  </w:r>
                  <w:r>
                    <w:rPr>
                      <w:rFonts w:hint="eastAsia" w:ascii="Times New Roman" w:hAnsi="Times New Roman"/>
                      <w:bCs/>
                      <w:color w:val="auto"/>
                      <w:sz w:val="21"/>
                      <w:szCs w:val="21"/>
                      <w:highlight w:val="none"/>
                    </w:rPr>
                    <w:t>；</w:t>
                  </w:r>
                </w:p>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水污染物当量数</w:t>
                  </w:r>
                  <w:r>
                    <w:rPr>
                      <w:rFonts w:ascii="Times New Roman" w:hAnsi="Times New Roman"/>
                      <w:bCs/>
                      <w:color w:val="auto"/>
                      <w:sz w:val="21"/>
                      <w:szCs w:val="21"/>
                      <w:highlight w:val="none"/>
                    </w:rPr>
                    <w:t>W/</w:t>
                  </w:r>
                  <w:r>
                    <w:rPr>
                      <w:rFonts w:hint="eastAsia" w:ascii="Times New Roman" w:hAnsi="Times New Roman"/>
                      <w:bCs/>
                      <w:color w:val="auto"/>
                      <w:sz w:val="21"/>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一级</w:t>
                  </w:r>
                </w:p>
              </w:tc>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 xml:space="preserve">Q≥20000 </w:t>
                  </w:r>
                  <w:r>
                    <w:rPr>
                      <w:rFonts w:hint="eastAsia" w:ascii="Times New Roman" w:hAnsi="Times New Roman"/>
                      <w:bCs/>
                      <w:color w:val="auto"/>
                      <w:sz w:val="21"/>
                      <w:szCs w:val="21"/>
                      <w:highlight w:val="none"/>
                    </w:rPr>
                    <w:t>或</w:t>
                  </w:r>
                  <w:r>
                    <w:rPr>
                      <w:rFonts w:ascii="Times New Roman" w:hAnsi="Times New Roman"/>
                      <w:bCs/>
                      <w:color w:val="auto"/>
                      <w:sz w:val="21"/>
                      <w:szCs w:val="21"/>
                      <w:highlight w:val="none"/>
                    </w:rPr>
                    <w:t xml:space="preserve">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二级</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bCs/>
                      <w:color w:val="auto"/>
                      <w:szCs w:val="21"/>
                      <w:highlight w:val="none"/>
                    </w:rPr>
                  </w:pPr>
                  <w:r>
                    <w:rPr>
                      <w:rFonts w:hint="eastAsia" w:ascii="Times New Roman" w:hAnsi="Times New Roman"/>
                      <w:color w:val="auto"/>
                      <w:highlight w:val="none"/>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三级</w:t>
                  </w:r>
                  <w:r>
                    <w:rPr>
                      <w:rFonts w:ascii="Times New Roman" w:hAnsi="Times New Roman"/>
                      <w:bCs/>
                      <w:color w:val="auto"/>
                      <w:sz w:val="21"/>
                      <w:szCs w:val="21"/>
                      <w:highlight w:val="none"/>
                    </w:rPr>
                    <w:t>A</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bCs/>
                      <w:color w:val="auto"/>
                      <w:szCs w:val="21"/>
                      <w:highlight w:val="none"/>
                    </w:rPr>
                  </w:pPr>
                  <w:r>
                    <w:rPr>
                      <w:rFonts w:hint="eastAsia" w:ascii="Times New Roman" w:hAnsi="Times New Roman"/>
                      <w:color w:val="auto"/>
                      <w:highlight w:val="none"/>
                    </w:rPr>
                    <w:t>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Q</w:t>
                  </w:r>
                  <w:r>
                    <w:rPr>
                      <w:rFonts w:hint="eastAsia" w:ascii="Times New Roman" w:hAnsi="Times New Roman"/>
                      <w:bCs/>
                      <w:color w:val="auto"/>
                      <w:sz w:val="21"/>
                      <w:szCs w:val="21"/>
                      <w:highlight w:val="none"/>
                    </w:rPr>
                    <w:t>＜</w:t>
                  </w:r>
                  <w:r>
                    <w:rPr>
                      <w:rFonts w:ascii="Times New Roman" w:hAnsi="Times New Roman"/>
                      <w:bCs/>
                      <w:color w:val="auto"/>
                      <w:sz w:val="21"/>
                      <w:szCs w:val="21"/>
                      <w:highlight w:val="none"/>
                    </w:rPr>
                    <w:t xml:space="preserve">200 </w:t>
                  </w:r>
                  <w:r>
                    <w:rPr>
                      <w:rFonts w:hint="eastAsia" w:ascii="Times New Roman" w:hAnsi="Times New Roman"/>
                      <w:bCs/>
                      <w:color w:val="auto"/>
                      <w:sz w:val="21"/>
                      <w:szCs w:val="21"/>
                      <w:highlight w:val="none"/>
                    </w:rPr>
                    <w:t>且</w:t>
                  </w:r>
                  <w:r>
                    <w:rPr>
                      <w:rFonts w:ascii="Times New Roman" w:hAnsi="Times New Roman"/>
                      <w:bCs/>
                      <w:color w:val="auto"/>
                      <w:sz w:val="21"/>
                      <w:szCs w:val="21"/>
                      <w:highlight w:val="none"/>
                    </w:rPr>
                    <w:t xml:space="preserve"> W</w:t>
                  </w:r>
                  <w:r>
                    <w:rPr>
                      <w:rFonts w:hint="eastAsia" w:ascii="Times New Roman" w:hAnsi="Times New Roman"/>
                      <w:bCs/>
                      <w:color w:val="auto"/>
                      <w:sz w:val="21"/>
                      <w:szCs w:val="21"/>
                      <w:highlight w:val="none"/>
                    </w:rPr>
                    <w:t>＜</w:t>
                  </w:r>
                  <w:r>
                    <w:rPr>
                      <w:rFonts w:ascii="Times New Roman" w:hAnsi="Times New Roman"/>
                      <w:bCs/>
                      <w:color w:val="auto"/>
                      <w:sz w:val="21"/>
                      <w:szCs w:val="21"/>
                      <w:highlight w:val="non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hint="eastAsia" w:ascii="Times New Roman" w:hAnsi="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三级B</w:t>
                  </w:r>
                </w:p>
              </w:tc>
              <w:tc>
                <w:tcPr>
                  <w:tcW w:w="30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imes New Roman" w:hAnsi="Times New Roman"/>
                      <w:color w:val="auto"/>
                      <w:kern w:val="2"/>
                      <w:sz w:val="21"/>
                      <w:szCs w:val="24"/>
                      <w:highlight w:val="none"/>
                      <w:lang w:val="en-US" w:eastAsia="zh-CN" w:bidi="ar-SA"/>
                    </w:rPr>
                  </w:pPr>
                  <w:r>
                    <w:rPr>
                      <w:rFonts w:hint="eastAsia" w:ascii="Times New Roman" w:hAnsi="Times New Roman"/>
                      <w:color w:val="auto"/>
                      <w:kern w:val="2"/>
                      <w:sz w:val="21"/>
                      <w:szCs w:val="24"/>
                      <w:highlight w:val="none"/>
                      <w:lang w:val="en-US" w:eastAsia="zh-CN" w:bidi="ar-SA"/>
                    </w:rPr>
                    <w:t>间接排放</w:t>
                  </w:r>
                </w:p>
              </w:tc>
              <w:tc>
                <w:tcPr>
                  <w:tcW w:w="3015" w:type="dxa"/>
                  <w:tcBorders>
                    <w:top w:val="single" w:color="auto" w:sz="4" w:space="0"/>
                    <w:left w:val="single" w:color="auto" w:sz="4" w:space="0"/>
                    <w:bottom w:val="single" w:color="auto" w:sz="4" w:space="0"/>
                    <w:right w:val="single" w:color="auto" w:sz="4" w:space="0"/>
                  </w:tcBorders>
                  <w:vAlign w:val="center"/>
                </w:tcPr>
                <w:p>
                  <w:pPr>
                    <w:pStyle w:val="24"/>
                    <w:spacing w:line="36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w:t>
                  </w:r>
                </w:p>
              </w:tc>
            </w:tr>
          </w:tbl>
          <w:p>
            <w:pPr>
              <w:pStyle w:val="24"/>
              <w:spacing w:line="360" w:lineRule="auto"/>
              <w:ind w:firstLine="480" w:firstLineChars="200"/>
              <w:jc w:val="both"/>
              <w:rPr>
                <w:rFonts w:hint="eastAsia" w:ascii="Times New Roman" w:hAnsi="Times New Roman"/>
                <w:color w:val="auto"/>
                <w:sz w:val="24"/>
                <w:szCs w:val="24"/>
                <w:highlight w:val="none"/>
              </w:rPr>
            </w:pPr>
            <w:r>
              <w:rPr>
                <w:rFonts w:hint="default" w:ascii="Times New Roman" w:hAnsi="Times New Roman" w:cs="Times New Roman" w:eastAsiaTheme="minorEastAsia"/>
                <w:color w:val="auto"/>
                <w:kern w:val="0"/>
                <w:sz w:val="24"/>
                <w:highlight w:val="none"/>
              </w:rPr>
              <w:t>生活污水经三级化粪池预处理达到《水污染物排放限值 (DB44/26-2001)第二时段三级标准和</w:t>
            </w:r>
            <w:r>
              <w:rPr>
                <w:rFonts w:hint="eastAsia" w:ascii="Times New Roman" w:hAnsi="Times New Roman" w:cs="Times New Roman" w:eastAsiaTheme="minorEastAsia"/>
                <w:color w:val="auto"/>
                <w:kern w:val="0"/>
                <w:sz w:val="24"/>
                <w:highlight w:val="none"/>
                <w:lang w:eastAsia="zh-CN"/>
              </w:rPr>
              <w:t>《污水排入城镇下水道水质标准》(GB/T31962-2015 )B级标准</w:t>
            </w:r>
            <w:r>
              <w:rPr>
                <w:rFonts w:hint="default" w:ascii="Times New Roman" w:hAnsi="Times New Roman" w:cs="Times New Roman" w:eastAsiaTheme="minorEastAsia"/>
                <w:color w:val="auto"/>
                <w:kern w:val="0"/>
                <w:sz w:val="24"/>
                <w:highlight w:val="none"/>
              </w:rPr>
              <w:t>较严者后排入市政污水管网，最终纳入</w:t>
            </w:r>
            <w:r>
              <w:rPr>
                <w:rFonts w:hint="eastAsia" w:ascii="Times New Roman" w:hAnsi="Times New Roman" w:cs="Times New Roman" w:eastAsiaTheme="minorEastAsia"/>
                <w:color w:val="auto"/>
                <w:kern w:val="0"/>
                <w:sz w:val="24"/>
                <w:highlight w:val="none"/>
                <w:lang w:eastAsia="zh-CN"/>
              </w:rPr>
              <w:t>开平市水口污水处理厂</w:t>
            </w:r>
            <w:r>
              <w:rPr>
                <w:rFonts w:hint="default" w:ascii="Times New Roman" w:hAnsi="Times New Roman" w:cs="Times New Roman" w:eastAsiaTheme="minorEastAsia"/>
                <w:color w:val="auto"/>
                <w:kern w:val="0"/>
                <w:sz w:val="24"/>
                <w:highlight w:val="none"/>
              </w:rPr>
              <w:t>处理。</w:t>
            </w:r>
            <w:r>
              <w:rPr>
                <w:rFonts w:hint="eastAsia" w:ascii="Times New Roman" w:hAnsi="Times New Roman" w:cs="Times New Roman" w:eastAsiaTheme="minorEastAsia"/>
                <w:color w:val="auto"/>
                <w:kern w:val="0"/>
                <w:sz w:val="24"/>
                <w:highlight w:val="none"/>
                <w:lang w:eastAsia="zh-CN"/>
              </w:rPr>
              <w:t>开平市水口污水处理厂</w:t>
            </w:r>
            <w:r>
              <w:rPr>
                <w:rFonts w:hint="default" w:ascii="Times New Roman" w:hAnsi="Times New Roman" w:cs="Times New Roman" w:eastAsiaTheme="minorEastAsia"/>
                <w:color w:val="auto"/>
                <w:kern w:val="0"/>
                <w:sz w:val="24"/>
                <w:highlight w:val="none"/>
              </w:rPr>
              <w:t>执行《城镇污水处理厂污染物排放标准》（GB18918-2002）一级A标准及广东省地方标准《水污染物排放限值》（DB44/26-2001）第二时段一级标准中的较严值</w:t>
            </w:r>
            <w:r>
              <w:rPr>
                <w:rFonts w:hint="default" w:ascii="Times New Roman" w:hAnsi="Times New Roman" w:cs="Times New Roman" w:eastAsiaTheme="minorEastAsia"/>
                <w:bCs/>
                <w:color w:val="auto"/>
                <w:kern w:val="0"/>
                <w:sz w:val="24"/>
                <w:szCs w:val="24"/>
                <w:highlight w:val="none"/>
              </w:rPr>
              <w:t>排入</w:t>
            </w:r>
            <w:r>
              <w:rPr>
                <w:rFonts w:hint="default" w:ascii="Times New Roman" w:hAnsi="Times New Roman" w:cs="Times New Roman" w:eastAsiaTheme="minorEastAsia"/>
                <w:bCs/>
                <w:color w:val="auto"/>
                <w:kern w:val="0"/>
                <w:sz w:val="24"/>
                <w:szCs w:val="24"/>
                <w:highlight w:val="none"/>
                <w:lang w:eastAsia="zh-CN"/>
              </w:rPr>
              <w:t>潭江</w:t>
            </w:r>
            <w:r>
              <w:rPr>
                <w:rFonts w:hint="default" w:ascii="Times New Roman" w:hAnsi="Times New Roman" w:cs="Times New Roman" w:eastAsiaTheme="minorEastAsia"/>
                <w:color w:val="auto"/>
                <w:sz w:val="24"/>
                <w:szCs w:val="24"/>
                <w:highlight w:val="none"/>
              </w:rPr>
              <w:t>。属于间</w:t>
            </w:r>
            <w:r>
              <w:rPr>
                <w:rFonts w:hint="eastAsia" w:ascii="Times New Roman" w:hAnsi="Times New Roman"/>
                <w:color w:val="auto"/>
                <w:sz w:val="24"/>
                <w:szCs w:val="24"/>
                <w:highlight w:val="none"/>
              </w:rPr>
              <w:t>接排放，因此，评价等级判定为三级B，可不进行水环境影响预测。</w:t>
            </w:r>
          </w:p>
          <w:p>
            <w:pPr>
              <w:spacing w:line="360" w:lineRule="auto"/>
              <w:ind w:left="420" w:leftChars="200"/>
              <w:rPr>
                <w:rFonts w:ascii="Times New Roman" w:hAnsi="Times New Roman"/>
                <w:b/>
                <w:color w:val="auto"/>
                <w:sz w:val="24"/>
                <w:highlight w:val="none"/>
              </w:rPr>
            </w:pPr>
            <w:r>
              <w:rPr>
                <w:rFonts w:hint="eastAsia" w:ascii="Times New Roman" w:hAnsi="Times New Roman"/>
                <w:b/>
                <w:color w:val="auto"/>
                <w:sz w:val="24"/>
                <w:highlight w:val="none"/>
              </w:rPr>
              <w:t>（</w:t>
            </w:r>
            <w:r>
              <w:rPr>
                <w:rFonts w:ascii="Times New Roman" w:hAnsi="Times New Roman"/>
                <w:b/>
                <w:color w:val="auto"/>
                <w:sz w:val="24"/>
                <w:highlight w:val="none"/>
              </w:rPr>
              <w:t>2</w:t>
            </w:r>
            <w:r>
              <w:rPr>
                <w:rFonts w:hint="eastAsia" w:ascii="Times New Roman" w:hAnsi="Times New Roman"/>
                <w:b/>
                <w:color w:val="auto"/>
                <w:sz w:val="24"/>
                <w:highlight w:val="none"/>
              </w:rPr>
              <w:t>）项目废水污染物排放情况</w:t>
            </w:r>
          </w:p>
          <w:p>
            <w:pPr>
              <w:spacing w:line="360" w:lineRule="auto"/>
              <w:ind w:firstLine="480" w:firstLineChars="200"/>
              <w:rPr>
                <w:rFonts w:ascii="Times New Roman" w:hAnsi="Times New Roman"/>
                <w:bCs/>
                <w:color w:val="auto"/>
                <w:kern w:val="0"/>
                <w:sz w:val="24"/>
                <w:szCs w:val="22"/>
                <w:highlight w:val="none"/>
              </w:rPr>
            </w:pPr>
            <w:r>
              <w:rPr>
                <w:rFonts w:hint="eastAsia" w:ascii="Times New Roman" w:hAnsi="Times New Roman"/>
                <w:bCs/>
                <w:color w:val="auto"/>
                <w:kern w:val="0"/>
                <w:sz w:val="24"/>
                <w:szCs w:val="22"/>
                <w:highlight w:val="none"/>
              </w:rPr>
              <w:t>项目废水类别、污染物及污染治理设施信息见表</w:t>
            </w:r>
            <w:r>
              <w:rPr>
                <w:rFonts w:ascii="Times New Roman" w:hAnsi="Times New Roman"/>
                <w:bCs/>
                <w:color w:val="auto"/>
                <w:kern w:val="0"/>
                <w:sz w:val="24"/>
                <w:szCs w:val="22"/>
                <w:highlight w:val="none"/>
              </w:rPr>
              <w:t>7-2</w:t>
            </w:r>
            <w:r>
              <w:rPr>
                <w:rFonts w:hint="eastAsia" w:ascii="Times New Roman" w:hAnsi="Times New Roman"/>
                <w:bCs/>
                <w:color w:val="auto"/>
                <w:kern w:val="0"/>
                <w:sz w:val="24"/>
                <w:szCs w:val="22"/>
                <w:highlight w:val="none"/>
              </w:rPr>
              <w:t>，废水污染物排放执行标准见表</w:t>
            </w:r>
            <w:r>
              <w:rPr>
                <w:rFonts w:ascii="Times New Roman" w:hAnsi="Times New Roman"/>
                <w:bCs/>
                <w:color w:val="auto"/>
                <w:kern w:val="0"/>
                <w:sz w:val="24"/>
                <w:szCs w:val="22"/>
                <w:highlight w:val="none"/>
              </w:rPr>
              <w:t>7-3</w:t>
            </w:r>
            <w:r>
              <w:rPr>
                <w:rFonts w:hint="eastAsia" w:ascii="Times New Roman" w:hAnsi="Times New Roman"/>
                <w:bCs/>
                <w:color w:val="auto"/>
                <w:kern w:val="0"/>
                <w:sz w:val="24"/>
                <w:szCs w:val="22"/>
                <w:highlight w:val="none"/>
              </w:rPr>
              <w:t>，废水间接排放口基本情况见表</w:t>
            </w:r>
            <w:r>
              <w:rPr>
                <w:rFonts w:ascii="Times New Roman" w:hAnsi="Times New Roman"/>
                <w:bCs/>
                <w:color w:val="auto"/>
                <w:kern w:val="0"/>
                <w:sz w:val="24"/>
                <w:szCs w:val="22"/>
                <w:highlight w:val="none"/>
              </w:rPr>
              <w:t>7-4</w:t>
            </w:r>
            <w:r>
              <w:rPr>
                <w:rFonts w:hint="eastAsia" w:ascii="Times New Roman" w:hAnsi="Times New Roman"/>
                <w:bCs/>
                <w:color w:val="auto"/>
                <w:kern w:val="0"/>
                <w:sz w:val="24"/>
                <w:szCs w:val="22"/>
                <w:highlight w:val="none"/>
              </w:rPr>
              <w:t>，废水污染物排放信息见表</w:t>
            </w:r>
            <w:r>
              <w:rPr>
                <w:rFonts w:ascii="Times New Roman" w:hAnsi="Times New Roman"/>
                <w:bCs/>
                <w:color w:val="auto"/>
                <w:kern w:val="0"/>
                <w:sz w:val="24"/>
                <w:szCs w:val="22"/>
                <w:highlight w:val="none"/>
              </w:rPr>
              <w:t>7-5</w:t>
            </w:r>
            <w:r>
              <w:rPr>
                <w:rFonts w:hint="eastAsia" w:ascii="Times New Roman" w:hAnsi="Times New Roman"/>
                <w:bCs/>
                <w:color w:val="auto"/>
                <w:kern w:val="0"/>
                <w:sz w:val="24"/>
                <w:szCs w:val="22"/>
                <w:highlight w:val="none"/>
              </w:rPr>
              <w:t>。</w:t>
            </w:r>
          </w:p>
          <w:p>
            <w:pPr>
              <w:pStyle w:val="24"/>
              <w:spacing w:line="360" w:lineRule="auto"/>
              <w:jc w:val="center"/>
              <w:rPr>
                <w:rFonts w:ascii="Times New Roman" w:hAnsi="Times New Roman"/>
                <w:b/>
                <w:color w:val="auto"/>
                <w:sz w:val="24"/>
                <w:szCs w:val="24"/>
                <w:highlight w:val="none"/>
              </w:rPr>
            </w:pPr>
            <w:r>
              <w:rPr>
                <w:rFonts w:hint="eastAsia" w:ascii="Times New Roman" w:hAnsi="Times New Roman"/>
                <w:b/>
                <w:color w:val="auto"/>
                <w:kern w:val="0"/>
                <w:sz w:val="21"/>
                <w:szCs w:val="24"/>
                <w:highlight w:val="none"/>
              </w:rPr>
              <w:t>表</w:t>
            </w:r>
            <w:r>
              <w:rPr>
                <w:rFonts w:ascii="Times New Roman" w:hAnsi="Times New Roman"/>
                <w:b/>
                <w:color w:val="auto"/>
                <w:kern w:val="0"/>
                <w:sz w:val="21"/>
                <w:szCs w:val="24"/>
                <w:highlight w:val="none"/>
              </w:rPr>
              <w:t xml:space="preserve">7-2 </w:t>
            </w:r>
            <w:r>
              <w:rPr>
                <w:rFonts w:hint="eastAsia" w:ascii="Times New Roman" w:hAnsi="Times New Roman"/>
                <w:b/>
                <w:color w:val="auto"/>
                <w:kern w:val="0"/>
                <w:sz w:val="21"/>
                <w:szCs w:val="24"/>
                <w:highlight w:val="none"/>
              </w:rPr>
              <w:t>废水类别、污染物及污染治理设施信息表</w:t>
            </w:r>
          </w:p>
          <w:tbl>
            <w:tblPr>
              <w:tblStyle w:val="3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0"/>
              <w:gridCol w:w="1065"/>
              <w:gridCol w:w="825"/>
              <w:gridCol w:w="1365"/>
              <w:gridCol w:w="945"/>
              <w:gridCol w:w="810"/>
              <w:gridCol w:w="765"/>
              <w:gridCol w:w="40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序号</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废水类别</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污染物种类</w:t>
                  </w:r>
                </w:p>
              </w:tc>
              <w:tc>
                <w:tcPr>
                  <w:tcW w:w="82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排放去向</w:t>
                  </w:r>
                </w:p>
              </w:tc>
              <w:tc>
                <w:tcPr>
                  <w:tcW w:w="13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排放规律</w:t>
                  </w:r>
                </w:p>
              </w:tc>
              <w:tc>
                <w:tcPr>
                  <w:tcW w:w="252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污染治理设施</w:t>
                  </w:r>
                </w:p>
              </w:tc>
              <w:tc>
                <w:tcPr>
                  <w:tcW w:w="40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排放口编号</w:t>
                  </w:r>
                </w:p>
              </w:tc>
              <w:tc>
                <w:tcPr>
                  <w:tcW w:w="171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36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污染治理设施编号</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污染治理设施名称</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污染治理设施工艺</w:t>
                  </w:r>
                </w:p>
              </w:tc>
              <w:tc>
                <w:tcPr>
                  <w:tcW w:w="40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71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1</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生活污水</w:t>
                  </w:r>
                </w:p>
              </w:tc>
              <w:tc>
                <w:tcPr>
                  <w:tcW w:w="1065" w:type="dxa"/>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COD</w:t>
                  </w:r>
                  <w:r>
                    <w:rPr>
                      <w:rFonts w:ascii="Times New Roman" w:hAnsi="Times New Roman"/>
                      <w:color w:val="auto"/>
                      <w:kern w:val="24"/>
                      <w:szCs w:val="21"/>
                      <w:highlight w:val="none"/>
                      <w:vertAlign w:val="subscript"/>
                    </w:rPr>
                    <w:t>Cr</w:t>
                  </w:r>
                  <w:r>
                    <w:rPr>
                      <w:rFonts w:hint="eastAsia" w:ascii="Times New Roman" w:hAnsi="Times New Roman"/>
                      <w:color w:val="auto"/>
                      <w:kern w:val="24"/>
                      <w:szCs w:val="21"/>
                      <w:highlight w:val="none"/>
                    </w:rPr>
                    <w:t>、</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BOD</w:t>
                  </w:r>
                  <w:r>
                    <w:rPr>
                      <w:rFonts w:ascii="Times New Roman" w:hAnsi="Times New Roman"/>
                      <w:color w:val="auto"/>
                      <w:kern w:val="24"/>
                      <w:szCs w:val="21"/>
                      <w:highlight w:val="none"/>
                      <w:vertAlign w:val="subscript"/>
                    </w:rPr>
                    <w:t>5</w:t>
                  </w:r>
                  <w:r>
                    <w:rPr>
                      <w:rFonts w:hint="eastAsia" w:ascii="Times New Roman" w:hAnsi="Times New Roman"/>
                      <w:color w:val="auto"/>
                      <w:kern w:val="24"/>
                      <w:szCs w:val="21"/>
                      <w:highlight w:val="none"/>
                    </w:rPr>
                    <w:t>、</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NH</w:t>
                  </w:r>
                  <w:r>
                    <w:rPr>
                      <w:rFonts w:ascii="Times New Roman" w:hAnsi="Times New Roman"/>
                      <w:color w:val="auto"/>
                      <w:kern w:val="24"/>
                      <w:szCs w:val="21"/>
                      <w:highlight w:val="none"/>
                      <w:vertAlign w:val="subscript"/>
                    </w:rPr>
                    <w:t>3</w:t>
                  </w:r>
                  <w:r>
                    <w:rPr>
                      <w:rFonts w:ascii="Times New Roman" w:hAnsi="Times New Roman"/>
                      <w:color w:val="auto"/>
                      <w:kern w:val="24"/>
                      <w:szCs w:val="21"/>
                      <w:highlight w:val="none"/>
                    </w:rPr>
                    <w:t>-N</w:t>
                  </w:r>
                  <w:r>
                    <w:rPr>
                      <w:rFonts w:hint="eastAsia" w:ascii="Times New Roman" w:hAnsi="Times New Roman"/>
                      <w:color w:val="auto"/>
                      <w:kern w:val="24"/>
                      <w:szCs w:val="21"/>
                      <w:highlight w:val="none"/>
                    </w:rPr>
                    <w:t>、</w:t>
                  </w:r>
                </w:p>
                <w:p>
                  <w:pPr>
                    <w:jc w:val="center"/>
                    <w:rPr>
                      <w:rFonts w:hint="eastAsia" w:ascii="Times New Roman" w:hAnsi="Times New Roman" w:eastAsia="宋体"/>
                      <w:color w:val="auto"/>
                      <w:kern w:val="24"/>
                      <w:szCs w:val="21"/>
                      <w:highlight w:val="none"/>
                      <w:lang w:eastAsia="zh-CN"/>
                    </w:rPr>
                  </w:pPr>
                  <w:r>
                    <w:rPr>
                      <w:rFonts w:ascii="Times New Roman" w:hAnsi="Times New Roman"/>
                      <w:color w:val="auto"/>
                      <w:kern w:val="24"/>
                      <w:szCs w:val="21"/>
                      <w:highlight w:val="none"/>
                    </w:rPr>
                    <w:t>SS</w:t>
                  </w:r>
                </w:p>
              </w:tc>
              <w:tc>
                <w:tcPr>
                  <w:tcW w:w="825" w:type="dxa"/>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olor w:val="auto"/>
                      <w:kern w:val="24"/>
                      <w:szCs w:val="21"/>
                      <w:highlight w:val="none"/>
                      <w:lang w:eastAsia="zh-CN"/>
                    </w:rPr>
                  </w:pPr>
                  <w:r>
                    <w:rPr>
                      <w:rFonts w:hint="eastAsia" w:ascii="Times New Roman" w:hAnsi="Times New Roman"/>
                      <w:color w:val="auto"/>
                      <w:kern w:val="24"/>
                      <w:szCs w:val="21"/>
                      <w:highlight w:val="none"/>
                    </w:rPr>
                    <w:t>进入</w:t>
                  </w:r>
                  <w:r>
                    <w:rPr>
                      <w:rFonts w:hint="eastAsia"/>
                      <w:color w:val="auto"/>
                      <w:kern w:val="24"/>
                      <w:szCs w:val="21"/>
                      <w:highlight w:val="none"/>
                      <w:lang w:eastAsia="zh-CN"/>
                    </w:rPr>
                    <w:t>开平市水口污水处理厂</w:t>
                  </w:r>
                </w:p>
              </w:tc>
              <w:tc>
                <w:tcPr>
                  <w:tcW w:w="1365" w:type="dxa"/>
                  <w:tcBorders>
                    <w:top w:val="single" w:color="auto" w:sz="4" w:space="0"/>
                    <w:left w:val="single" w:color="auto" w:sz="4" w:space="0"/>
                    <w:right w:val="single" w:color="auto" w:sz="4" w:space="0"/>
                  </w:tcBorders>
                  <w:vAlign w:val="center"/>
                </w:tcPr>
                <w:p>
                  <w:pPr>
                    <w:jc w:val="center"/>
                    <w:rPr>
                      <w:rFonts w:hint="eastAsia" w:ascii="Times New Roman" w:hAnsi="Times New Roman"/>
                      <w:color w:val="auto"/>
                      <w:kern w:val="24"/>
                      <w:szCs w:val="21"/>
                      <w:highlight w:val="none"/>
                    </w:rPr>
                  </w:pPr>
                  <w:r>
                    <w:rPr>
                      <w:rFonts w:hint="eastAsia" w:ascii="Times New Roman" w:hAnsi="Times New Roman"/>
                      <w:color w:val="auto"/>
                      <w:kern w:val="24"/>
                      <w:szCs w:val="21"/>
                      <w:highlight w:val="none"/>
                    </w:rPr>
                    <w:t>间断排放，排放期间流量不稳定且无规律，但不属于冲击型排放</w:t>
                  </w:r>
                </w:p>
              </w:tc>
              <w:tc>
                <w:tcPr>
                  <w:tcW w:w="94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Times New Roman" w:hAnsi="Times New Roman" w:eastAsia="宋体"/>
                      <w:color w:val="auto"/>
                      <w:kern w:val="24"/>
                      <w:szCs w:val="21"/>
                      <w:highlight w:val="none"/>
                      <w:lang w:eastAsia="zh-CN"/>
                    </w:rPr>
                  </w:pPr>
                  <w:r>
                    <w:rPr>
                      <w:rFonts w:eastAsiaTheme="minorEastAsia"/>
                      <w:color w:val="auto"/>
                      <w:szCs w:val="21"/>
                      <w:highlight w:val="none"/>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olor w:val="auto"/>
                      <w:kern w:val="24"/>
                      <w:szCs w:val="21"/>
                      <w:highlight w:val="none"/>
                    </w:rPr>
                  </w:pPr>
                  <w:r>
                    <w:rPr>
                      <w:rFonts w:eastAsiaTheme="minorEastAsia"/>
                      <w:color w:val="auto"/>
                      <w:szCs w:val="21"/>
                      <w:highlight w:val="none"/>
                    </w:rPr>
                    <w:t>化粪池</w:t>
                  </w:r>
                </w:p>
              </w:tc>
              <w:tc>
                <w:tcPr>
                  <w:tcW w:w="76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olor w:val="auto"/>
                      <w:kern w:val="24"/>
                      <w:szCs w:val="21"/>
                      <w:highlight w:val="none"/>
                    </w:rPr>
                  </w:pPr>
                  <w:r>
                    <w:rPr>
                      <w:rFonts w:eastAsiaTheme="minorEastAsia"/>
                      <w:color w:val="auto"/>
                      <w:szCs w:val="21"/>
                      <w:highlight w:val="none"/>
                    </w:rPr>
                    <w:t>分格沉淀、厌氧消化</w:t>
                  </w:r>
                </w:p>
              </w:tc>
              <w:tc>
                <w:tcPr>
                  <w:tcW w:w="40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lang w:eastAsia="zh-CN"/>
                    </w:rPr>
                    <w:t>无</w:t>
                  </w:r>
                </w:p>
              </w:tc>
              <w:tc>
                <w:tcPr>
                  <w:tcW w:w="171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w:t>
                  </w:r>
                  <w:r>
                    <w:rPr>
                      <w:rFonts w:hint="eastAsia" w:ascii="Times New Roman" w:hAnsi="Times New Roman"/>
                      <w:color w:val="auto"/>
                      <w:kern w:val="24"/>
                      <w:szCs w:val="21"/>
                      <w:highlight w:val="none"/>
                    </w:rPr>
                    <w:t>企业总排</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w:t>
                  </w:r>
                  <w:r>
                    <w:rPr>
                      <w:rFonts w:hint="eastAsia" w:ascii="Times New Roman" w:hAnsi="Times New Roman"/>
                      <w:color w:val="auto"/>
                      <w:kern w:val="24"/>
                      <w:szCs w:val="21"/>
                      <w:highlight w:val="none"/>
                    </w:rPr>
                    <w:t>雨水排放</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w:t>
                  </w:r>
                  <w:r>
                    <w:rPr>
                      <w:rFonts w:hint="eastAsia" w:ascii="Times New Roman" w:hAnsi="Times New Roman"/>
                      <w:color w:val="auto"/>
                      <w:kern w:val="24"/>
                      <w:szCs w:val="21"/>
                      <w:highlight w:val="none"/>
                    </w:rPr>
                    <w:t>清净下水排放</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w:t>
                  </w:r>
                  <w:r>
                    <w:rPr>
                      <w:rFonts w:hint="eastAsia" w:ascii="Times New Roman" w:hAnsi="Times New Roman"/>
                      <w:color w:val="auto"/>
                      <w:kern w:val="24"/>
                      <w:szCs w:val="21"/>
                      <w:highlight w:val="none"/>
                    </w:rPr>
                    <w:t>温排水排放</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w:t>
                  </w:r>
                  <w:r>
                    <w:rPr>
                      <w:rFonts w:hint="eastAsia" w:ascii="Times New Roman" w:hAnsi="Times New Roman"/>
                      <w:color w:val="auto"/>
                      <w:kern w:val="24"/>
                      <w:szCs w:val="21"/>
                      <w:highlight w:val="none"/>
                    </w:rPr>
                    <w:t>车间或车间处理设施排放口</w:t>
                  </w:r>
                </w:p>
              </w:tc>
            </w:tr>
          </w:tbl>
          <w:p>
            <w:pPr>
              <w:pStyle w:val="24"/>
              <w:spacing w:line="360" w:lineRule="auto"/>
              <w:jc w:val="center"/>
              <w:rPr>
                <w:rFonts w:ascii="Times New Roman" w:hAnsi="Times New Roman"/>
                <w:b/>
                <w:color w:val="auto"/>
                <w:kern w:val="0"/>
                <w:sz w:val="21"/>
                <w:szCs w:val="24"/>
                <w:highlight w:val="none"/>
              </w:rPr>
            </w:pPr>
            <w:r>
              <w:rPr>
                <w:rFonts w:hint="eastAsia" w:ascii="Times New Roman" w:hAnsi="Times New Roman"/>
                <w:b/>
                <w:color w:val="auto"/>
                <w:kern w:val="0"/>
                <w:sz w:val="21"/>
                <w:szCs w:val="24"/>
                <w:highlight w:val="none"/>
              </w:rPr>
              <w:t>表</w:t>
            </w:r>
            <w:r>
              <w:rPr>
                <w:rFonts w:ascii="Times New Roman" w:hAnsi="Times New Roman"/>
                <w:b/>
                <w:color w:val="auto"/>
                <w:kern w:val="0"/>
                <w:sz w:val="21"/>
                <w:szCs w:val="24"/>
                <w:highlight w:val="none"/>
              </w:rPr>
              <w:t xml:space="preserve">7-3 </w:t>
            </w:r>
            <w:r>
              <w:rPr>
                <w:rFonts w:hint="eastAsia" w:ascii="Times New Roman" w:hAnsi="Times New Roman"/>
                <w:b/>
                <w:color w:val="auto"/>
                <w:kern w:val="0"/>
                <w:sz w:val="21"/>
                <w:szCs w:val="24"/>
                <w:highlight w:val="none"/>
              </w:rPr>
              <w:t>废水污染物排放执行标准表</w:t>
            </w:r>
          </w:p>
          <w:tbl>
            <w:tblPr>
              <w:tblStyle w:val="34"/>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20"/>
              <w:gridCol w:w="1290"/>
              <w:gridCol w:w="4413"/>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序号</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排放口</w:t>
                  </w:r>
                </w:p>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编号</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污染物种类</w:t>
                  </w:r>
                </w:p>
              </w:tc>
              <w:tc>
                <w:tcPr>
                  <w:tcW w:w="64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p>
              </w:tc>
              <w:tc>
                <w:tcPr>
                  <w:tcW w:w="44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名称</w:t>
                  </w:r>
                </w:p>
              </w:tc>
              <w:tc>
                <w:tcPr>
                  <w:tcW w:w="20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浓度限值</w:t>
                  </w:r>
                  <w:r>
                    <w:rPr>
                      <w:rFonts w:ascii="Times New Roman" w:hAnsi="Times New Roman"/>
                      <w:color w:val="auto"/>
                      <w:kern w:val="24"/>
                      <w:sz w:val="21"/>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ascii="Times New Roman" w:hAnsi="Times New Roman"/>
                      <w:color w:val="auto"/>
                      <w:kern w:val="24"/>
                      <w:sz w:val="21"/>
                      <w:szCs w:val="21"/>
                      <w:highlight w:val="none"/>
                    </w:rPr>
                    <w:t>1</w:t>
                  </w: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auto"/>
                      <w:kern w:val="24"/>
                      <w:sz w:val="21"/>
                      <w:szCs w:val="21"/>
                      <w:highlight w:val="none"/>
                      <w:lang w:eastAsia="zh-CN"/>
                    </w:rPr>
                  </w:pPr>
                  <w:r>
                    <w:rPr>
                      <w:rFonts w:hint="eastAsia" w:ascii="Times New Roman" w:hAnsi="Times New Roman"/>
                      <w:color w:val="auto"/>
                      <w:kern w:val="24"/>
                      <w:szCs w:val="21"/>
                      <w:highlight w:val="none"/>
                    </w:rPr>
                    <w:t>生活污水</w:t>
                  </w:r>
                  <w:r>
                    <w:rPr>
                      <w:rFonts w:hint="eastAsia" w:ascii="Times New Roman" w:hAnsi="Times New Roman"/>
                      <w:color w:val="auto"/>
                      <w:kern w:val="24"/>
                      <w:szCs w:val="21"/>
                      <w:highlight w:val="none"/>
                      <w:lang w:eastAsia="zh-CN"/>
                    </w:rPr>
                    <w:t>排放口</w:t>
                  </w:r>
                </w:p>
              </w:tc>
              <w:tc>
                <w:tcPr>
                  <w:tcW w:w="12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ascii="Times New Roman" w:hAnsi="Times New Roman"/>
                      <w:color w:val="auto"/>
                      <w:kern w:val="24"/>
                      <w:sz w:val="21"/>
                      <w:szCs w:val="21"/>
                      <w:highlight w:val="none"/>
                    </w:rPr>
                    <w:t>COD</w:t>
                  </w:r>
                  <w:r>
                    <w:rPr>
                      <w:rFonts w:ascii="Times New Roman" w:hAnsi="Times New Roman"/>
                      <w:color w:val="auto"/>
                      <w:kern w:val="24"/>
                      <w:sz w:val="21"/>
                      <w:szCs w:val="21"/>
                      <w:highlight w:val="none"/>
                      <w:vertAlign w:val="subscript"/>
                    </w:rPr>
                    <w:t>Cr</w:t>
                  </w:r>
                  <w:r>
                    <w:rPr>
                      <w:rFonts w:hint="eastAsia" w:ascii="Times New Roman" w:hAnsi="Times New Roman"/>
                      <w:color w:val="auto"/>
                      <w:kern w:val="24"/>
                      <w:sz w:val="21"/>
                      <w:szCs w:val="21"/>
                      <w:highlight w:val="none"/>
                    </w:rPr>
                    <w:t>、</w:t>
                  </w:r>
                </w:p>
                <w:p>
                  <w:pPr>
                    <w:jc w:val="center"/>
                    <w:rPr>
                      <w:rFonts w:ascii="Times New Roman" w:hAnsi="Times New Roman"/>
                      <w:color w:val="auto"/>
                      <w:kern w:val="24"/>
                      <w:sz w:val="21"/>
                      <w:szCs w:val="21"/>
                      <w:highlight w:val="none"/>
                    </w:rPr>
                  </w:pPr>
                  <w:r>
                    <w:rPr>
                      <w:rFonts w:ascii="Times New Roman" w:hAnsi="Times New Roman"/>
                      <w:color w:val="auto"/>
                      <w:kern w:val="24"/>
                      <w:sz w:val="21"/>
                      <w:szCs w:val="21"/>
                      <w:highlight w:val="none"/>
                    </w:rPr>
                    <w:t>BOD</w:t>
                  </w:r>
                  <w:r>
                    <w:rPr>
                      <w:rFonts w:ascii="Times New Roman" w:hAnsi="Times New Roman"/>
                      <w:color w:val="auto"/>
                      <w:kern w:val="24"/>
                      <w:sz w:val="21"/>
                      <w:szCs w:val="21"/>
                      <w:highlight w:val="none"/>
                      <w:vertAlign w:val="subscript"/>
                    </w:rPr>
                    <w:t>5</w:t>
                  </w:r>
                  <w:r>
                    <w:rPr>
                      <w:rFonts w:hint="eastAsia" w:ascii="Times New Roman" w:hAnsi="Times New Roman"/>
                      <w:color w:val="auto"/>
                      <w:kern w:val="24"/>
                      <w:sz w:val="21"/>
                      <w:szCs w:val="21"/>
                      <w:highlight w:val="none"/>
                    </w:rPr>
                    <w:t>、</w:t>
                  </w:r>
                </w:p>
                <w:p>
                  <w:pPr>
                    <w:jc w:val="center"/>
                    <w:rPr>
                      <w:rFonts w:ascii="Times New Roman" w:hAnsi="Times New Roman"/>
                      <w:color w:val="auto"/>
                      <w:kern w:val="24"/>
                      <w:sz w:val="21"/>
                      <w:szCs w:val="21"/>
                      <w:highlight w:val="none"/>
                    </w:rPr>
                  </w:pPr>
                  <w:r>
                    <w:rPr>
                      <w:rFonts w:ascii="Times New Roman" w:hAnsi="Times New Roman"/>
                      <w:color w:val="auto"/>
                      <w:kern w:val="24"/>
                      <w:sz w:val="21"/>
                      <w:szCs w:val="21"/>
                      <w:highlight w:val="none"/>
                    </w:rPr>
                    <w:t>NH</w:t>
                  </w:r>
                  <w:r>
                    <w:rPr>
                      <w:rFonts w:ascii="Times New Roman" w:hAnsi="Times New Roman"/>
                      <w:color w:val="auto"/>
                      <w:kern w:val="24"/>
                      <w:sz w:val="21"/>
                      <w:szCs w:val="21"/>
                      <w:highlight w:val="none"/>
                      <w:vertAlign w:val="subscript"/>
                    </w:rPr>
                    <w:t>3</w:t>
                  </w:r>
                  <w:r>
                    <w:rPr>
                      <w:rFonts w:ascii="Times New Roman" w:hAnsi="Times New Roman"/>
                      <w:color w:val="auto"/>
                      <w:kern w:val="24"/>
                      <w:sz w:val="21"/>
                      <w:szCs w:val="21"/>
                      <w:highlight w:val="none"/>
                    </w:rPr>
                    <w:t>-N</w:t>
                  </w:r>
                  <w:r>
                    <w:rPr>
                      <w:rFonts w:hint="eastAsia" w:ascii="Times New Roman" w:hAnsi="Times New Roman"/>
                      <w:color w:val="auto"/>
                      <w:kern w:val="24"/>
                      <w:sz w:val="21"/>
                      <w:szCs w:val="21"/>
                      <w:highlight w:val="none"/>
                    </w:rPr>
                    <w:t>、</w:t>
                  </w:r>
                </w:p>
                <w:p>
                  <w:pPr>
                    <w:jc w:val="center"/>
                    <w:rPr>
                      <w:rFonts w:hint="eastAsia" w:ascii="Times New Roman" w:hAnsi="Times New Roman" w:eastAsia="宋体"/>
                      <w:color w:val="auto"/>
                      <w:kern w:val="24"/>
                      <w:sz w:val="21"/>
                      <w:szCs w:val="21"/>
                      <w:highlight w:val="none"/>
                      <w:lang w:val="en-US" w:eastAsia="zh-CN"/>
                    </w:rPr>
                  </w:pPr>
                  <w:r>
                    <w:rPr>
                      <w:rFonts w:ascii="Times New Roman" w:hAnsi="Times New Roman"/>
                      <w:color w:val="auto"/>
                      <w:kern w:val="24"/>
                      <w:sz w:val="21"/>
                      <w:szCs w:val="21"/>
                      <w:highlight w:val="none"/>
                    </w:rPr>
                    <w:t>SS</w:t>
                  </w:r>
                </w:p>
              </w:tc>
              <w:tc>
                <w:tcPr>
                  <w:tcW w:w="441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 w:val="21"/>
                      <w:szCs w:val="21"/>
                      <w:highlight w:val="none"/>
                    </w:rPr>
                  </w:pPr>
                  <w:r>
                    <w:rPr>
                      <w:rFonts w:hint="eastAsia" w:ascii="Times New Roman" w:hAnsi="Times New Roman"/>
                      <w:color w:val="auto"/>
                      <w:kern w:val="24"/>
                      <w:sz w:val="21"/>
                      <w:szCs w:val="21"/>
                      <w:highlight w:val="none"/>
                    </w:rPr>
                    <w:t>广东省地方标准《水污染物排放限值》（DB44/26-2001）第二时段三级标准</w:t>
                  </w:r>
                </w:p>
              </w:tc>
              <w:tc>
                <w:tcPr>
                  <w:tcW w:w="2030"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r>
                    <w:rPr>
                      <w:color w:val="auto"/>
                      <w:highlight w:val="none"/>
                    </w:rPr>
                    <w:t>COD</w:t>
                  </w:r>
                  <w:r>
                    <w:rPr>
                      <w:color w:val="auto"/>
                      <w:highlight w:val="none"/>
                      <w:vertAlign w:val="subscript"/>
                    </w:rPr>
                    <w:t>Cr</w:t>
                  </w:r>
                  <w:r>
                    <w:rPr>
                      <w:color w:val="auto"/>
                      <w:highlight w:val="none"/>
                    </w:rPr>
                    <w:t>≤</w:t>
                  </w:r>
                  <w:r>
                    <w:rPr>
                      <w:rFonts w:hint="eastAsia"/>
                      <w:color w:val="auto"/>
                      <w:highlight w:val="none"/>
                      <w:lang w:val="en-US" w:eastAsia="zh-CN"/>
                    </w:rPr>
                    <w:t>500</w:t>
                  </w:r>
                  <w:r>
                    <w:rPr>
                      <w:color w:val="auto"/>
                      <w:highlight w:val="none"/>
                    </w:rPr>
                    <w:t>mg/L</w:t>
                  </w:r>
                  <w:r>
                    <w:rPr>
                      <w:rFonts w:hint="eastAsia"/>
                      <w:color w:val="auto"/>
                      <w:highlight w:val="none"/>
                    </w:rPr>
                    <w:t>，</w:t>
                  </w:r>
                </w:p>
                <w:p>
                  <w:pPr>
                    <w:jc w:val="center"/>
                    <w:rPr>
                      <w:rFonts w:hint="eastAsia"/>
                      <w:color w:val="auto"/>
                      <w:highlight w:val="none"/>
                      <w:lang w:eastAsia="zh-CN"/>
                    </w:rPr>
                  </w:pPr>
                  <w:r>
                    <w:rPr>
                      <w:color w:val="auto"/>
                      <w:highlight w:val="none"/>
                    </w:rPr>
                    <w:t>BOD</w:t>
                  </w:r>
                  <w:r>
                    <w:rPr>
                      <w:color w:val="auto"/>
                      <w:highlight w:val="none"/>
                      <w:vertAlign w:val="subscript"/>
                    </w:rPr>
                    <w:t>5</w:t>
                  </w:r>
                  <w:r>
                    <w:rPr>
                      <w:color w:val="auto"/>
                      <w:highlight w:val="none"/>
                    </w:rPr>
                    <w:t>≤</w:t>
                  </w:r>
                  <w:r>
                    <w:rPr>
                      <w:rFonts w:hint="eastAsia"/>
                      <w:color w:val="auto"/>
                      <w:highlight w:val="none"/>
                      <w:lang w:val="en-US" w:eastAsia="zh-CN"/>
                    </w:rPr>
                    <w:t>300</w:t>
                  </w:r>
                  <w:r>
                    <w:rPr>
                      <w:color w:val="auto"/>
                      <w:highlight w:val="none"/>
                    </w:rPr>
                    <w:t>mg/L</w:t>
                  </w:r>
                  <w:r>
                    <w:rPr>
                      <w:rFonts w:hint="eastAsia"/>
                      <w:color w:val="auto"/>
                      <w:highlight w:val="none"/>
                    </w:rPr>
                    <w:t>，</w:t>
                  </w:r>
                  <w:r>
                    <w:rPr>
                      <w:color w:val="auto"/>
                      <w:highlight w:val="none"/>
                    </w:rPr>
                    <w:t>SS≤</w:t>
                  </w:r>
                  <w:r>
                    <w:rPr>
                      <w:rFonts w:hint="eastAsia"/>
                      <w:color w:val="auto"/>
                      <w:highlight w:val="none"/>
                      <w:lang w:val="en-US" w:eastAsia="zh-CN"/>
                    </w:rPr>
                    <w:t>400</w:t>
                  </w:r>
                  <w:r>
                    <w:rPr>
                      <w:color w:val="auto"/>
                      <w:highlight w:val="none"/>
                    </w:rPr>
                    <w:t>mg/L</w:t>
                  </w:r>
                  <w:r>
                    <w:rPr>
                      <w:rFonts w:hint="eastAsia"/>
                      <w:color w:val="auto"/>
                      <w:highlight w:val="none"/>
                      <w:lang w:eastAsia="zh-CN"/>
                    </w:rPr>
                    <w:t>，</w:t>
                  </w:r>
                </w:p>
                <w:p>
                  <w:pPr>
                    <w:pStyle w:val="2"/>
                    <w:jc w:val="center"/>
                    <w:rPr>
                      <w:rFonts w:hint="eastAsia"/>
                      <w:color w:val="auto"/>
                      <w:highlight w:val="none"/>
                      <w:lang w:eastAsia="zh-CN"/>
                    </w:rPr>
                  </w:pPr>
                  <w:r>
                    <w:rPr>
                      <w:rFonts w:ascii="Times New Roman" w:hAnsi="Times New Roman"/>
                      <w:color w:val="auto"/>
                      <w:kern w:val="24"/>
                      <w:sz w:val="21"/>
                      <w:szCs w:val="21"/>
                      <w:highlight w:val="none"/>
                    </w:rPr>
                    <w:t>NH</w:t>
                  </w:r>
                  <w:r>
                    <w:rPr>
                      <w:rFonts w:ascii="Times New Roman" w:hAnsi="Times New Roman"/>
                      <w:color w:val="auto"/>
                      <w:kern w:val="24"/>
                      <w:sz w:val="21"/>
                      <w:szCs w:val="21"/>
                      <w:highlight w:val="none"/>
                      <w:vertAlign w:val="subscript"/>
                    </w:rPr>
                    <w:t>3</w:t>
                  </w:r>
                  <w:r>
                    <w:rPr>
                      <w:rFonts w:ascii="Times New Roman" w:hAnsi="Times New Roman"/>
                      <w:color w:val="auto"/>
                      <w:kern w:val="24"/>
                      <w:sz w:val="21"/>
                      <w:szCs w:val="21"/>
                      <w:highlight w:val="none"/>
                    </w:rPr>
                    <w:t>-N</w:t>
                  </w:r>
                  <w:r>
                    <w:rPr>
                      <w:rFonts w:hint="eastAsia" w:ascii="Times New Roman" w:hAnsi="Times New Roman"/>
                      <w:color w:val="auto"/>
                      <w:kern w:val="24"/>
                      <w:sz w:val="21"/>
                      <w:szCs w:val="21"/>
                      <w:highlight w:val="none"/>
                    </w:rPr>
                    <w:t>≤</w:t>
                  </w:r>
                  <w:r>
                    <w:rPr>
                      <w:rFonts w:hint="eastAsia" w:ascii="Times New Roman" w:hAnsi="Times New Roman"/>
                      <w:color w:val="auto"/>
                      <w:kern w:val="24"/>
                      <w:sz w:val="21"/>
                      <w:szCs w:val="21"/>
                      <w:highlight w:val="none"/>
                      <w:lang w:val="en-US" w:eastAsia="zh-CN"/>
                    </w:rPr>
                    <w:t>45</w:t>
                  </w:r>
                  <w:r>
                    <w:rPr>
                      <w:rFonts w:hint="eastAsia" w:ascii="Times New Roman" w:hAnsi="Times New Roman"/>
                      <w:color w:val="auto"/>
                      <w:kern w:val="24"/>
                      <w:sz w:val="21"/>
                      <w:szCs w:val="21"/>
                      <w:highlight w:val="none"/>
                    </w:rPr>
                    <w:t>mg/L</w:t>
                  </w:r>
                </w:p>
              </w:tc>
            </w:tr>
          </w:tbl>
          <w:p>
            <w:pPr>
              <w:pStyle w:val="24"/>
              <w:spacing w:line="360" w:lineRule="auto"/>
              <w:jc w:val="center"/>
              <w:rPr>
                <w:rFonts w:ascii="Times New Roman" w:hAnsi="Times New Roman"/>
                <w:b/>
                <w:color w:val="auto"/>
                <w:kern w:val="0"/>
                <w:sz w:val="21"/>
                <w:szCs w:val="24"/>
                <w:highlight w:val="none"/>
              </w:rPr>
            </w:pPr>
            <w:r>
              <w:rPr>
                <w:rFonts w:hint="eastAsia" w:ascii="Times New Roman" w:hAnsi="Times New Roman"/>
                <w:b/>
                <w:color w:val="auto"/>
                <w:kern w:val="0"/>
                <w:sz w:val="21"/>
                <w:szCs w:val="24"/>
                <w:highlight w:val="none"/>
              </w:rPr>
              <w:t>表</w:t>
            </w:r>
            <w:r>
              <w:rPr>
                <w:rFonts w:ascii="Times New Roman" w:hAnsi="Times New Roman"/>
                <w:b/>
                <w:color w:val="auto"/>
                <w:kern w:val="0"/>
                <w:sz w:val="21"/>
                <w:szCs w:val="24"/>
                <w:highlight w:val="none"/>
              </w:rPr>
              <w:t xml:space="preserve">7-4 </w:t>
            </w:r>
            <w:r>
              <w:rPr>
                <w:rFonts w:hint="eastAsia" w:ascii="Times New Roman" w:hAnsi="Times New Roman"/>
                <w:b/>
                <w:color w:val="auto"/>
                <w:kern w:val="0"/>
                <w:sz w:val="21"/>
                <w:szCs w:val="24"/>
                <w:highlight w:val="none"/>
              </w:rPr>
              <w:t>废水间接排放口基本情况表</w:t>
            </w:r>
          </w:p>
          <w:tbl>
            <w:tblPr>
              <w:tblStyle w:val="34"/>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60"/>
              <w:gridCol w:w="791"/>
              <w:gridCol w:w="714"/>
              <w:gridCol w:w="800"/>
              <w:gridCol w:w="712"/>
              <w:gridCol w:w="1158"/>
              <w:gridCol w:w="831"/>
              <w:gridCol w:w="579"/>
              <w:gridCol w:w="78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2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序</w:t>
                  </w:r>
                </w:p>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号</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排放口编号</w:t>
                  </w:r>
                </w:p>
              </w:tc>
              <w:tc>
                <w:tcPr>
                  <w:tcW w:w="15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排放口地理坐标</w:t>
                  </w:r>
                </w:p>
              </w:tc>
              <w:tc>
                <w:tcPr>
                  <w:tcW w:w="8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废水排放量</w:t>
                  </w:r>
                  <w:r>
                    <w:rPr>
                      <w:rFonts w:ascii="Times New Roman" w:hAnsi="Times New Roman"/>
                      <w:color w:val="auto"/>
                      <w:kern w:val="24"/>
                      <w:szCs w:val="21"/>
                      <w:highlight w:val="none"/>
                    </w:rPr>
                    <w:t>/</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(t/a)</w:t>
                  </w:r>
                </w:p>
              </w:tc>
              <w:tc>
                <w:tcPr>
                  <w:tcW w:w="71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排放去向</w:t>
                  </w:r>
                </w:p>
              </w:tc>
              <w:tc>
                <w:tcPr>
                  <w:tcW w:w="115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排放规律</w:t>
                  </w:r>
                </w:p>
              </w:tc>
              <w:tc>
                <w:tcPr>
                  <w:tcW w:w="83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间歇排放时段</w:t>
                  </w:r>
                </w:p>
              </w:tc>
              <w:tc>
                <w:tcPr>
                  <w:tcW w:w="28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2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经度</w:t>
                  </w:r>
                </w:p>
              </w:tc>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纬度</w:t>
                  </w:r>
                </w:p>
              </w:tc>
              <w:tc>
                <w:tcPr>
                  <w:tcW w:w="8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71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15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83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57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名称</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污染物</w:t>
                  </w:r>
                </w:p>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种类</w:t>
                  </w:r>
                </w:p>
              </w:tc>
              <w:tc>
                <w:tcPr>
                  <w:tcW w:w="148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国家或地方污染物排放标准浓度限值</w:t>
                  </w:r>
                  <w:r>
                    <w:rPr>
                      <w:rFonts w:ascii="Times New Roman" w:hAnsi="Times New Roman"/>
                      <w:color w:val="auto"/>
                      <w:kern w:val="24"/>
                      <w:szCs w:val="21"/>
                      <w:highlight w:val="non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2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1</w:t>
                  </w:r>
                </w:p>
              </w:tc>
              <w:tc>
                <w:tcPr>
                  <w:tcW w:w="7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kern w:val="24"/>
                      <w:szCs w:val="21"/>
                      <w:highlight w:val="none"/>
                    </w:rPr>
                  </w:pPr>
                  <w:r>
                    <w:rPr>
                      <w:rFonts w:hint="eastAsia" w:ascii="Times New Roman" w:hAnsi="Times New Roman"/>
                      <w:color w:val="auto"/>
                      <w:kern w:val="24"/>
                      <w:szCs w:val="21"/>
                      <w:highlight w:val="none"/>
                    </w:rPr>
                    <w:t>生活污水</w:t>
                  </w:r>
                  <w:r>
                    <w:rPr>
                      <w:rFonts w:hint="eastAsia" w:ascii="Times New Roman" w:hAnsi="Times New Roman"/>
                      <w:color w:val="auto"/>
                      <w:kern w:val="24"/>
                      <w:szCs w:val="21"/>
                      <w:highlight w:val="none"/>
                      <w:lang w:eastAsia="zh-CN"/>
                    </w:rPr>
                    <w:t>排放口</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kern w:val="24"/>
                      <w:szCs w:val="21"/>
                      <w:highlight w:val="none"/>
                    </w:rPr>
                  </w:pPr>
                  <w:r>
                    <w:rPr>
                      <w:rFonts w:hint="eastAsia"/>
                      <w:color w:val="auto"/>
                      <w:kern w:val="24"/>
                      <w:szCs w:val="21"/>
                      <w:highlight w:val="none"/>
                      <w:lang w:val="en-US" w:eastAsia="zh-CN"/>
                    </w:rPr>
                    <w:t>112°46'59.58"</w:t>
                  </w:r>
                </w:p>
              </w:tc>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auto"/>
                      <w:kern w:val="24"/>
                      <w:szCs w:val="21"/>
                      <w:highlight w:val="none"/>
                    </w:rPr>
                  </w:pPr>
                  <w:r>
                    <w:rPr>
                      <w:rFonts w:hint="eastAsia"/>
                      <w:color w:val="auto"/>
                      <w:kern w:val="24"/>
                      <w:szCs w:val="21"/>
                      <w:highlight w:val="none"/>
                      <w:lang w:val="en-US" w:eastAsia="zh-CN"/>
                    </w:rPr>
                    <w:t>22°26'49.97"</w:t>
                  </w:r>
                </w:p>
              </w:tc>
              <w:tc>
                <w:tcPr>
                  <w:tcW w:w="8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olor w:val="auto"/>
                      <w:kern w:val="24"/>
                      <w:szCs w:val="21"/>
                      <w:highlight w:val="none"/>
                      <w:lang w:val="en-US" w:eastAsia="zh-CN"/>
                    </w:rPr>
                  </w:pPr>
                  <w:r>
                    <w:rPr>
                      <w:rFonts w:hint="eastAsia"/>
                      <w:color w:val="auto"/>
                      <w:kern w:val="24"/>
                      <w:szCs w:val="21"/>
                      <w:highlight w:val="none"/>
                      <w:lang w:val="en-US" w:eastAsia="zh-CN"/>
                    </w:rPr>
                    <w:t>54</w:t>
                  </w:r>
                </w:p>
              </w:tc>
              <w:tc>
                <w:tcPr>
                  <w:tcW w:w="712" w:type="dxa"/>
                  <w:tcBorders>
                    <w:top w:val="single" w:color="auto" w:sz="4" w:space="0"/>
                    <w:left w:val="single" w:color="auto" w:sz="4" w:space="0"/>
                    <w:right w:val="single" w:color="auto" w:sz="4" w:space="0"/>
                  </w:tcBorders>
                  <w:vAlign w:val="center"/>
                </w:tcPr>
                <w:p>
                  <w:pPr>
                    <w:spacing w:line="276" w:lineRule="auto"/>
                    <w:jc w:val="center"/>
                    <w:rPr>
                      <w:rFonts w:eastAsiaTheme="minorEastAsia"/>
                      <w:snapToGrid w:val="0"/>
                      <w:color w:val="auto"/>
                      <w:szCs w:val="21"/>
                      <w:highlight w:val="none"/>
                    </w:rPr>
                  </w:pPr>
                  <w:r>
                    <w:rPr>
                      <w:rFonts w:eastAsiaTheme="minorEastAsia"/>
                      <w:snapToGrid w:val="0"/>
                      <w:color w:val="auto"/>
                      <w:szCs w:val="21"/>
                      <w:highlight w:val="none"/>
                    </w:rPr>
                    <w:t>进入</w:t>
                  </w:r>
                </w:p>
                <w:p>
                  <w:pPr>
                    <w:spacing w:line="276" w:lineRule="auto"/>
                    <w:jc w:val="center"/>
                    <w:rPr>
                      <w:rFonts w:eastAsiaTheme="minorEastAsia"/>
                      <w:snapToGrid w:val="0"/>
                      <w:color w:val="auto"/>
                      <w:szCs w:val="21"/>
                      <w:highlight w:val="none"/>
                    </w:rPr>
                  </w:pPr>
                  <w:r>
                    <w:rPr>
                      <w:rFonts w:eastAsiaTheme="minorEastAsia"/>
                      <w:snapToGrid w:val="0"/>
                      <w:color w:val="auto"/>
                      <w:szCs w:val="21"/>
                      <w:highlight w:val="none"/>
                    </w:rPr>
                    <w:t>城市</w:t>
                  </w:r>
                </w:p>
                <w:p>
                  <w:pPr>
                    <w:spacing w:line="276" w:lineRule="auto"/>
                    <w:jc w:val="center"/>
                    <w:rPr>
                      <w:rFonts w:eastAsiaTheme="minorEastAsia"/>
                      <w:snapToGrid w:val="0"/>
                      <w:color w:val="auto"/>
                      <w:szCs w:val="21"/>
                      <w:highlight w:val="none"/>
                    </w:rPr>
                  </w:pPr>
                  <w:r>
                    <w:rPr>
                      <w:rFonts w:eastAsiaTheme="minorEastAsia"/>
                      <w:snapToGrid w:val="0"/>
                      <w:color w:val="auto"/>
                      <w:szCs w:val="21"/>
                      <w:highlight w:val="none"/>
                    </w:rPr>
                    <w:t>污水</w:t>
                  </w:r>
                </w:p>
                <w:p>
                  <w:pPr>
                    <w:spacing w:line="276" w:lineRule="auto"/>
                    <w:jc w:val="center"/>
                    <w:rPr>
                      <w:rFonts w:ascii="Times New Roman" w:hAnsi="Times New Roman"/>
                      <w:color w:val="auto"/>
                      <w:kern w:val="24"/>
                      <w:szCs w:val="21"/>
                      <w:highlight w:val="none"/>
                    </w:rPr>
                  </w:pPr>
                  <w:r>
                    <w:rPr>
                      <w:rFonts w:eastAsiaTheme="minorEastAsia"/>
                      <w:snapToGrid w:val="0"/>
                      <w:color w:val="auto"/>
                      <w:szCs w:val="21"/>
                      <w:highlight w:val="none"/>
                    </w:rPr>
                    <w:t>处理厂</w:t>
                  </w:r>
                </w:p>
              </w:tc>
              <w:tc>
                <w:tcPr>
                  <w:tcW w:w="1158" w:type="dxa"/>
                  <w:tcBorders>
                    <w:top w:val="single" w:color="auto" w:sz="4" w:space="0"/>
                    <w:left w:val="single" w:color="auto" w:sz="4" w:space="0"/>
                    <w:right w:val="single" w:color="auto" w:sz="4" w:space="0"/>
                  </w:tcBorders>
                  <w:vAlign w:val="center"/>
                </w:tcPr>
                <w:p>
                  <w:pPr>
                    <w:spacing w:line="276" w:lineRule="auto"/>
                    <w:jc w:val="center"/>
                    <w:rPr>
                      <w:rFonts w:ascii="Times New Roman" w:hAnsi="Times New Roman"/>
                      <w:color w:val="auto"/>
                      <w:kern w:val="24"/>
                      <w:szCs w:val="21"/>
                      <w:highlight w:val="none"/>
                    </w:rPr>
                  </w:pPr>
                  <w:r>
                    <w:rPr>
                      <w:rFonts w:eastAsiaTheme="minorEastAsia"/>
                      <w:snapToGrid w:val="0"/>
                      <w:color w:val="auto"/>
                      <w:szCs w:val="21"/>
                      <w:highlight w:val="none"/>
                    </w:rPr>
                    <w:t>间断排放，排放期间流量不稳定且无规律，但不属于冲击型排放</w:t>
                  </w:r>
                </w:p>
              </w:tc>
              <w:tc>
                <w:tcPr>
                  <w:tcW w:w="831" w:type="dxa"/>
                  <w:tcBorders>
                    <w:top w:val="single" w:color="auto" w:sz="4" w:space="0"/>
                    <w:left w:val="single" w:color="auto" w:sz="4" w:space="0"/>
                    <w:right w:val="single" w:color="auto" w:sz="4" w:space="0"/>
                  </w:tcBorders>
                  <w:vAlign w:val="center"/>
                </w:tcPr>
                <w:p>
                  <w:pPr>
                    <w:spacing w:line="276" w:lineRule="auto"/>
                    <w:jc w:val="center"/>
                    <w:rPr>
                      <w:rFonts w:ascii="Times New Roman" w:hAnsi="Times New Roman"/>
                      <w:color w:val="auto"/>
                      <w:kern w:val="24"/>
                      <w:szCs w:val="21"/>
                      <w:highlight w:val="none"/>
                    </w:rPr>
                  </w:pPr>
                  <w:r>
                    <w:rPr>
                      <w:rFonts w:eastAsiaTheme="minorEastAsia"/>
                      <w:snapToGrid w:val="0"/>
                      <w:color w:val="auto"/>
                      <w:szCs w:val="21"/>
                      <w:highlight w:val="none"/>
                    </w:rPr>
                    <w:t>/</w:t>
                  </w:r>
                </w:p>
              </w:tc>
              <w:tc>
                <w:tcPr>
                  <w:tcW w:w="579" w:type="dxa"/>
                  <w:tcBorders>
                    <w:top w:val="single" w:color="auto" w:sz="4" w:space="0"/>
                    <w:left w:val="single" w:color="auto" w:sz="4" w:space="0"/>
                    <w:right w:val="single" w:color="auto" w:sz="4" w:space="0"/>
                  </w:tcBorders>
                  <w:vAlign w:val="center"/>
                </w:tcPr>
                <w:p>
                  <w:pPr>
                    <w:spacing w:line="276" w:lineRule="auto"/>
                    <w:jc w:val="center"/>
                    <w:rPr>
                      <w:rFonts w:hint="eastAsia" w:ascii="Times New Roman" w:hAnsi="Times New Roman" w:eastAsia="宋体"/>
                      <w:color w:val="auto"/>
                      <w:kern w:val="24"/>
                      <w:szCs w:val="21"/>
                      <w:highlight w:val="none"/>
                      <w:lang w:eastAsia="zh-CN"/>
                    </w:rPr>
                  </w:pPr>
                  <w:r>
                    <w:rPr>
                      <w:rFonts w:eastAsiaTheme="minorEastAsia"/>
                      <w:snapToGrid w:val="0"/>
                      <w:color w:val="auto"/>
                      <w:szCs w:val="21"/>
                      <w:highlight w:val="none"/>
                    </w:rPr>
                    <w:t>开平市水口污水处理厂</w:t>
                  </w:r>
                </w:p>
              </w:tc>
              <w:tc>
                <w:tcPr>
                  <w:tcW w:w="780" w:type="dxa"/>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COD</w:t>
                  </w:r>
                  <w:r>
                    <w:rPr>
                      <w:rFonts w:ascii="Times New Roman" w:hAnsi="Times New Roman"/>
                      <w:color w:val="auto"/>
                      <w:kern w:val="24"/>
                      <w:szCs w:val="21"/>
                      <w:highlight w:val="none"/>
                      <w:vertAlign w:val="subscript"/>
                    </w:rPr>
                    <w:t>Cr</w:t>
                  </w:r>
                  <w:r>
                    <w:rPr>
                      <w:rFonts w:hint="eastAsia" w:ascii="Times New Roman" w:hAnsi="Times New Roman"/>
                      <w:color w:val="auto"/>
                      <w:kern w:val="24"/>
                      <w:szCs w:val="21"/>
                      <w:highlight w:val="none"/>
                    </w:rPr>
                    <w:t>、</w:t>
                  </w:r>
                </w:p>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BOD</w:t>
                  </w:r>
                  <w:r>
                    <w:rPr>
                      <w:rFonts w:ascii="Times New Roman" w:hAnsi="Times New Roman"/>
                      <w:color w:val="auto"/>
                      <w:kern w:val="24"/>
                      <w:szCs w:val="21"/>
                      <w:highlight w:val="none"/>
                      <w:vertAlign w:val="subscript"/>
                    </w:rPr>
                    <w:t>5</w:t>
                  </w:r>
                  <w:r>
                    <w:rPr>
                      <w:rFonts w:hint="eastAsia" w:ascii="Times New Roman" w:hAnsi="Times New Roman"/>
                      <w:color w:val="auto"/>
                      <w:kern w:val="24"/>
                      <w:szCs w:val="21"/>
                      <w:highlight w:val="none"/>
                    </w:rPr>
                    <w:t>、</w:t>
                  </w:r>
                </w:p>
                <w:p>
                  <w:pPr>
                    <w:jc w:val="center"/>
                    <w:rPr>
                      <w:rFonts w:hint="eastAsia" w:ascii="Times New Roman" w:hAnsi="Times New Roman" w:eastAsia="宋体"/>
                      <w:color w:val="auto"/>
                      <w:kern w:val="24"/>
                      <w:szCs w:val="21"/>
                      <w:highlight w:val="none"/>
                      <w:lang w:eastAsia="zh-CN"/>
                    </w:rPr>
                  </w:pPr>
                  <w:r>
                    <w:rPr>
                      <w:rFonts w:ascii="Times New Roman" w:hAnsi="Times New Roman"/>
                      <w:color w:val="auto"/>
                      <w:kern w:val="24"/>
                      <w:szCs w:val="21"/>
                      <w:highlight w:val="none"/>
                    </w:rPr>
                    <w:t>NH</w:t>
                  </w:r>
                  <w:r>
                    <w:rPr>
                      <w:rFonts w:ascii="Times New Roman" w:hAnsi="Times New Roman"/>
                      <w:color w:val="auto"/>
                      <w:kern w:val="24"/>
                      <w:szCs w:val="21"/>
                      <w:highlight w:val="none"/>
                      <w:vertAlign w:val="subscript"/>
                    </w:rPr>
                    <w:t>3</w:t>
                  </w:r>
                  <w:r>
                    <w:rPr>
                      <w:rFonts w:ascii="Times New Roman" w:hAnsi="Times New Roman"/>
                      <w:color w:val="auto"/>
                      <w:kern w:val="24"/>
                      <w:szCs w:val="21"/>
                      <w:highlight w:val="none"/>
                    </w:rPr>
                    <w:t>-N</w:t>
                  </w:r>
                  <w:r>
                    <w:rPr>
                      <w:rFonts w:hint="eastAsia" w:ascii="Times New Roman" w:hAnsi="Times New Roman"/>
                      <w:color w:val="auto"/>
                      <w:kern w:val="24"/>
                      <w:szCs w:val="21"/>
                      <w:highlight w:val="none"/>
                    </w:rPr>
                    <w:t>、</w:t>
                  </w:r>
                  <w:r>
                    <w:rPr>
                      <w:rFonts w:ascii="Times New Roman" w:hAnsi="Times New Roman"/>
                      <w:color w:val="auto"/>
                      <w:kern w:val="24"/>
                      <w:szCs w:val="21"/>
                      <w:highlight w:val="none"/>
                    </w:rPr>
                    <w:t>SS</w:t>
                  </w:r>
                </w:p>
              </w:tc>
              <w:tc>
                <w:tcPr>
                  <w:tcW w:w="1481" w:type="dxa"/>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COD</w:t>
                  </w:r>
                  <w:r>
                    <w:rPr>
                      <w:rFonts w:ascii="Times New Roman" w:hAnsi="Times New Roman"/>
                      <w:color w:val="auto"/>
                      <w:kern w:val="24"/>
                      <w:szCs w:val="21"/>
                      <w:highlight w:val="none"/>
                      <w:vertAlign w:val="subscript"/>
                    </w:rPr>
                    <w:t>Cr</w:t>
                  </w:r>
                  <w:r>
                    <w:rPr>
                      <w:rFonts w:ascii="Times New Roman" w:hAnsi="Times New Roman"/>
                      <w:color w:val="auto"/>
                      <w:kern w:val="24"/>
                      <w:szCs w:val="21"/>
                      <w:highlight w:val="none"/>
                    </w:rPr>
                    <w:t>≤40mg/L</w:t>
                  </w:r>
                  <w:r>
                    <w:rPr>
                      <w:rFonts w:hint="eastAsia" w:ascii="Times New Roman" w:hAnsi="Times New Roman"/>
                      <w:color w:val="auto"/>
                      <w:kern w:val="24"/>
                      <w:szCs w:val="21"/>
                      <w:highlight w:val="none"/>
                    </w:rPr>
                    <w:t>，</w:t>
                  </w:r>
                </w:p>
                <w:p>
                  <w:pPr>
                    <w:jc w:val="center"/>
                    <w:rPr>
                      <w:rFonts w:hint="eastAsia" w:ascii="Times New Roman" w:hAnsi="Times New Roman"/>
                      <w:color w:val="auto"/>
                      <w:kern w:val="24"/>
                      <w:szCs w:val="21"/>
                      <w:highlight w:val="none"/>
                    </w:rPr>
                  </w:pPr>
                  <w:r>
                    <w:rPr>
                      <w:rFonts w:ascii="Times New Roman" w:hAnsi="Times New Roman"/>
                      <w:color w:val="auto"/>
                      <w:kern w:val="24"/>
                      <w:szCs w:val="21"/>
                      <w:highlight w:val="none"/>
                    </w:rPr>
                    <w:t>BOD</w:t>
                  </w:r>
                  <w:r>
                    <w:rPr>
                      <w:rFonts w:ascii="Times New Roman" w:hAnsi="Times New Roman"/>
                      <w:color w:val="auto"/>
                      <w:kern w:val="24"/>
                      <w:szCs w:val="21"/>
                      <w:highlight w:val="none"/>
                      <w:vertAlign w:val="subscript"/>
                    </w:rPr>
                    <w:t>5</w:t>
                  </w:r>
                  <w:r>
                    <w:rPr>
                      <w:rFonts w:ascii="Times New Roman" w:hAnsi="Times New Roman"/>
                      <w:color w:val="auto"/>
                      <w:kern w:val="24"/>
                      <w:szCs w:val="21"/>
                      <w:highlight w:val="none"/>
                    </w:rPr>
                    <w:t>≤10mg/L</w:t>
                  </w:r>
                  <w:r>
                    <w:rPr>
                      <w:rFonts w:hint="eastAsia" w:ascii="Times New Roman" w:hAnsi="Times New Roman"/>
                      <w:color w:val="auto"/>
                      <w:kern w:val="24"/>
                      <w:szCs w:val="21"/>
                      <w:highlight w:val="none"/>
                    </w:rPr>
                    <w:t>，</w:t>
                  </w:r>
                  <w:r>
                    <w:rPr>
                      <w:rFonts w:ascii="Times New Roman" w:hAnsi="Times New Roman"/>
                      <w:color w:val="auto"/>
                      <w:kern w:val="24"/>
                      <w:szCs w:val="21"/>
                      <w:highlight w:val="none"/>
                    </w:rPr>
                    <w:t>SS≤10mg/L</w:t>
                  </w:r>
                  <w:r>
                    <w:rPr>
                      <w:rFonts w:hint="eastAsia" w:ascii="Times New Roman" w:hAnsi="Times New Roman"/>
                      <w:color w:val="auto"/>
                      <w:kern w:val="24"/>
                      <w:szCs w:val="21"/>
                      <w:highlight w:val="none"/>
                    </w:rPr>
                    <w:t>，</w:t>
                  </w:r>
                </w:p>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氨氮</w:t>
                  </w:r>
                  <w:r>
                    <w:rPr>
                      <w:rFonts w:ascii="Times New Roman" w:hAnsi="Times New Roman"/>
                      <w:color w:val="auto"/>
                      <w:kern w:val="24"/>
                      <w:szCs w:val="21"/>
                      <w:highlight w:val="none"/>
                    </w:rPr>
                    <w:t>≤5mg/L</w:t>
                  </w:r>
                </w:p>
              </w:tc>
            </w:tr>
          </w:tbl>
          <w:p>
            <w:pPr>
              <w:pStyle w:val="24"/>
              <w:spacing w:line="240" w:lineRule="auto"/>
              <w:jc w:val="center"/>
              <w:rPr>
                <w:rFonts w:ascii="Times New Roman" w:hAnsi="Times New Roman"/>
                <w:b/>
                <w:color w:val="auto"/>
                <w:kern w:val="0"/>
                <w:sz w:val="21"/>
                <w:szCs w:val="24"/>
                <w:highlight w:val="none"/>
              </w:rPr>
            </w:pPr>
            <w:r>
              <w:rPr>
                <w:rFonts w:hint="eastAsia" w:ascii="Times New Roman" w:hAnsi="Times New Roman"/>
                <w:b/>
                <w:color w:val="auto"/>
                <w:kern w:val="0"/>
                <w:sz w:val="21"/>
                <w:szCs w:val="24"/>
                <w:highlight w:val="none"/>
              </w:rPr>
              <w:t>表</w:t>
            </w:r>
            <w:r>
              <w:rPr>
                <w:rFonts w:ascii="Times New Roman" w:hAnsi="Times New Roman"/>
                <w:b/>
                <w:color w:val="auto"/>
                <w:kern w:val="0"/>
                <w:sz w:val="21"/>
                <w:szCs w:val="24"/>
                <w:highlight w:val="none"/>
              </w:rPr>
              <w:t xml:space="preserve">7-5 </w:t>
            </w:r>
            <w:r>
              <w:rPr>
                <w:rFonts w:hint="eastAsia" w:ascii="Times New Roman" w:hAnsi="Times New Roman"/>
                <w:b/>
                <w:color w:val="auto"/>
                <w:kern w:val="0"/>
                <w:sz w:val="21"/>
                <w:szCs w:val="24"/>
                <w:highlight w:val="none"/>
              </w:rPr>
              <w:t>废水污染物排放信息表</w:t>
            </w:r>
          </w:p>
          <w:tbl>
            <w:tblPr>
              <w:tblStyle w:val="3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序号</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排放口</w:t>
                  </w:r>
                </w:p>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编号</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污染物种类</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排放浓度</w:t>
                  </w:r>
                  <w:r>
                    <w:rPr>
                      <w:rFonts w:ascii="Times New Roman" w:hAnsi="Times New Roman"/>
                      <w:color w:val="auto"/>
                      <w:kern w:val="24"/>
                      <w:szCs w:val="21"/>
                      <w:highlight w:val="none"/>
                    </w:rPr>
                    <w:t>/ (mg/L)</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日排放量</w:t>
                  </w:r>
                  <w:r>
                    <w:rPr>
                      <w:rFonts w:ascii="Times New Roman" w:hAnsi="Times New Roman"/>
                      <w:color w:val="auto"/>
                      <w:kern w:val="24"/>
                      <w:szCs w:val="21"/>
                      <w:highlight w:val="none"/>
                    </w:rPr>
                    <w:t>/ (t/d)</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年排放量</w:t>
                  </w:r>
                  <w:r>
                    <w:rPr>
                      <w:rFonts w:ascii="Times New Roman" w:hAnsi="Times New Roman"/>
                      <w:color w:val="auto"/>
                      <w:kern w:val="24"/>
                      <w:szCs w:val="21"/>
                      <w:highlight w:val="none"/>
                    </w:rPr>
                    <w:t>/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07"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1</w:t>
                  </w:r>
                </w:p>
              </w:tc>
              <w:tc>
                <w:tcPr>
                  <w:tcW w:w="1507"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生活污水</w:t>
                  </w:r>
                  <w:r>
                    <w:rPr>
                      <w:rFonts w:hint="eastAsia" w:ascii="Times New Roman" w:hAnsi="Times New Roman"/>
                      <w:color w:val="auto"/>
                      <w:kern w:val="24"/>
                      <w:szCs w:val="21"/>
                      <w:highlight w:val="none"/>
                      <w:lang w:eastAsia="zh-CN"/>
                    </w:rPr>
                    <w:t>排放口</w:t>
                  </w: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szCs w:val="21"/>
                      <w:highlight w:val="none"/>
                    </w:rPr>
                    <w:t>COD</w:t>
                  </w:r>
                  <w:r>
                    <w:rPr>
                      <w:rFonts w:ascii="Times New Roman" w:hAnsi="Times New Roman"/>
                      <w:color w:val="auto"/>
                      <w:szCs w:val="21"/>
                      <w:highlight w:val="none"/>
                      <w:vertAlign w:val="subscript"/>
                    </w:rPr>
                    <w:t>Cr</w:t>
                  </w:r>
                </w:p>
              </w:tc>
              <w:tc>
                <w:tcPr>
                  <w:tcW w:w="150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val="0"/>
                      <w:color w:val="auto"/>
                      <w:szCs w:val="21"/>
                      <w:highlight w:val="none"/>
                      <w:lang w:val="en-US" w:eastAsia="zh-CN"/>
                    </w:rPr>
                  </w:pPr>
                  <w:r>
                    <w:rPr>
                      <w:rFonts w:ascii="Times New Roman" w:hAnsi="Times New Roman" w:cs="Times New Roman"/>
                      <w:color w:val="auto"/>
                      <w:kern w:val="0"/>
                      <w:sz w:val="21"/>
                      <w:szCs w:val="21"/>
                      <w:highlight w:val="none"/>
                    </w:rPr>
                    <w:t>200</w:t>
                  </w:r>
                </w:p>
              </w:tc>
              <w:tc>
                <w:tcPr>
                  <w:tcW w:w="1507" w:type="dxa"/>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 xml:space="preserve">0.000037 </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bCs/>
                      <w:color w:val="auto"/>
                      <w:kern w:val="0"/>
                      <w:szCs w:val="21"/>
                      <w:highlight w:val="none"/>
                      <w:lang w:val="en-US" w:eastAsia="zh-CN"/>
                    </w:rPr>
                    <w:t xml:space="preserve">0.011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szCs w:val="21"/>
                      <w:highlight w:val="none"/>
                    </w:rPr>
                    <w:t>BOD</w:t>
                  </w:r>
                  <w:r>
                    <w:rPr>
                      <w:rFonts w:ascii="Times New Roman" w:hAnsi="Times New Roman"/>
                      <w:color w:val="auto"/>
                      <w:szCs w:val="21"/>
                      <w:highlight w:val="none"/>
                      <w:vertAlign w:val="subscript"/>
                    </w:rPr>
                    <w:t>5</w:t>
                  </w:r>
                </w:p>
              </w:tc>
              <w:tc>
                <w:tcPr>
                  <w:tcW w:w="150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val="0"/>
                      <w:color w:val="auto"/>
                      <w:szCs w:val="21"/>
                      <w:highlight w:val="none"/>
                      <w:lang w:val="en-US" w:eastAsia="zh-CN"/>
                    </w:rPr>
                  </w:pPr>
                  <w:r>
                    <w:rPr>
                      <w:rFonts w:ascii="Times New Roman" w:hAnsi="Times New Roman" w:cs="Times New Roman"/>
                      <w:color w:val="auto"/>
                      <w:kern w:val="0"/>
                      <w:sz w:val="21"/>
                      <w:szCs w:val="21"/>
                      <w:highlight w:val="none"/>
                    </w:rPr>
                    <w:t>120</w:t>
                  </w:r>
                </w:p>
              </w:tc>
              <w:tc>
                <w:tcPr>
                  <w:tcW w:w="1507" w:type="dxa"/>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 xml:space="preserve">0.000020 </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bCs/>
                      <w:color w:val="auto"/>
                      <w:kern w:val="0"/>
                      <w:szCs w:val="21"/>
                      <w:highlight w:val="no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szCs w:val="21"/>
                      <w:highlight w:val="none"/>
                    </w:rPr>
                    <w:t>SS</w:t>
                  </w:r>
                </w:p>
              </w:tc>
              <w:tc>
                <w:tcPr>
                  <w:tcW w:w="150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val="0"/>
                      <w:color w:val="auto"/>
                      <w:szCs w:val="21"/>
                      <w:highlight w:val="none"/>
                      <w:lang w:val="en-US" w:eastAsia="zh-CN"/>
                    </w:rPr>
                  </w:pPr>
                  <w:r>
                    <w:rPr>
                      <w:rFonts w:ascii="Times New Roman" w:hAnsi="Times New Roman" w:cs="Times New Roman"/>
                      <w:color w:val="auto"/>
                      <w:kern w:val="0"/>
                      <w:sz w:val="21"/>
                      <w:szCs w:val="21"/>
                      <w:highlight w:val="none"/>
                    </w:rPr>
                    <w:t>120</w:t>
                  </w:r>
                </w:p>
              </w:tc>
              <w:tc>
                <w:tcPr>
                  <w:tcW w:w="1507" w:type="dxa"/>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 xml:space="preserve">0.000020 </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bCs/>
                      <w:color w:val="auto"/>
                      <w:kern w:val="0"/>
                      <w:szCs w:val="21"/>
                      <w:highlight w:val="no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150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szCs w:val="21"/>
                      <w:highlight w:val="none"/>
                    </w:rPr>
                    <w:t>氨氮</w:t>
                  </w:r>
                </w:p>
              </w:tc>
              <w:tc>
                <w:tcPr>
                  <w:tcW w:w="150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b w:val="0"/>
                      <w:bCs w:val="0"/>
                      <w:color w:val="auto"/>
                      <w:szCs w:val="21"/>
                      <w:highlight w:val="none"/>
                      <w:lang w:val="en-US" w:eastAsia="zh-CN"/>
                    </w:rPr>
                  </w:pPr>
                  <w:r>
                    <w:rPr>
                      <w:rFonts w:ascii="Times New Roman" w:hAnsi="Times New Roman" w:cs="Times New Roman"/>
                      <w:color w:val="auto"/>
                      <w:kern w:val="0"/>
                      <w:sz w:val="21"/>
                      <w:szCs w:val="21"/>
                      <w:highlight w:val="none"/>
                    </w:rPr>
                    <w:t>20</w:t>
                  </w:r>
                </w:p>
              </w:tc>
              <w:tc>
                <w:tcPr>
                  <w:tcW w:w="1507" w:type="dxa"/>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bCs/>
                      <w:color w:val="auto"/>
                      <w:kern w:val="0"/>
                      <w:szCs w:val="21"/>
                      <w:highlight w:val="none"/>
                      <w:lang w:val="en-US" w:eastAsia="zh-CN"/>
                    </w:rPr>
                  </w:pPr>
                  <w:r>
                    <w:rPr>
                      <w:rFonts w:hint="default" w:ascii="Times New Roman" w:hAnsi="Times New Roman"/>
                      <w:bCs/>
                      <w:color w:val="auto"/>
                      <w:kern w:val="0"/>
                      <w:szCs w:val="21"/>
                      <w:highlight w:val="none"/>
                      <w:lang w:val="en-US" w:eastAsia="zh-CN"/>
                    </w:rPr>
                    <w:t xml:space="preserve">0.000003 </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bCs/>
                      <w:color w:val="auto"/>
                      <w:kern w:val="0"/>
                      <w:szCs w:val="21"/>
                      <w:highlight w:val="none"/>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3014" w:type="dxa"/>
                  <w:gridSpan w:val="2"/>
                  <w:vMerge w:val="restart"/>
                  <w:tcBorders>
                    <w:top w:val="single" w:color="auto" w:sz="4" w:space="0"/>
                    <w:left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全厂排放口</w:t>
                  </w:r>
                </w:p>
                <w:p>
                  <w:pPr>
                    <w:jc w:val="center"/>
                    <w:rPr>
                      <w:rFonts w:ascii="Times New Roman" w:hAnsi="Times New Roman"/>
                      <w:color w:val="auto"/>
                      <w:kern w:val="24"/>
                      <w:szCs w:val="21"/>
                      <w:highlight w:val="none"/>
                    </w:rPr>
                  </w:pPr>
                  <w:r>
                    <w:rPr>
                      <w:rFonts w:hint="eastAsia" w:ascii="Times New Roman" w:hAnsi="Times New Roman"/>
                      <w:color w:val="auto"/>
                      <w:kern w:val="24"/>
                      <w:szCs w:val="21"/>
                      <w:highlight w:val="none"/>
                    </w:rPr>
                    <w:t>合计</w:t>
                  </w: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COD</w:t>
                  </w:r>
                  <w:r>
                    <w:rPr>
                      <w:rFonts w:hint="default" w:ascii="Times New Roman" w:hAnsi="Times New Roman" w:cs="Times New Roman"/>
                      <w:color w:val="auto"/>
                      <w:kern w:val="24"/>
                      <w:szCs w:val="21"/>
                      <w:highlight w:val="none"/>
                      <w:vertAlign w:val="subscript"/>
                    </w:rPr>
                    <w:t>Cr</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4"/>
                      <w:szCs w:val="21"/>
                      <w:highlight w:val="none"/>
                      <w:lang w:val="en-US" w:eastAsia="zh-CN"/>
                    </w:rPr>
                  </w:pPr>
                  <w:r>
                    <w:rPr>
                      <w:rFonts w:hint="default" w:ascii="Times New Roman" w:hAnsi="Times New Roman"/>
                      <w:bCs/>
                      <w:color w:val="auto"/>
                      <w:kern w:val="0"/>
                      <w:szCs w:val="21"/>
                      <w:highlight w:val="none"/>
                      <w:lang w:val="en-US" w:eastAsia="zh-CN"/>
                    </w:rPr>
                    <w:t xml:space="preserve">0.011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4" w:type="dxa"/>
                  <w:gridSpan w:val="2"/>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BOD</w:t>
                  </w:r>
                  <w:r>
                    <w:rPr>
                      <w:rFonts w:ascii="Times New Roman" w:hAnsi="Times New Roman"/>
                      <w:color w:val="auto"/>
                      <w:kern w:val="24"/>
                      <w:szCs w:val="21"/>
                      <w:highlight w:val="none"/>
                      <w:vertAlign w:val="subscript"/>
                    </w:rPr>
                    <w:t>5</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4"/>
                      <w:szCs w:val="21"/>
                      <w:highlight w:val="none"/>
                      <w:lang w:val="en-US" w:eastAsia="zh-CN"/>
                    </w:rPr>
                  </w:pPr>
                  <w:r>
                    <w:rPr>
                      <w:rFonts w:hint="default" w:ascii="Times New Roman" w:hAnsi="Times New Roman"/>
                      <w:bCs/>
                      <w:color w:val="auto"/>
                      <w:kern w:val="0"/>
                      <w:szCs w:val="21"/>
                      <w:highlight w:val="no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SS</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4"/>
                      <w:szCs w:val="21"/>
                      <w:highlight w:val="none"/>
                      <w:lang w:val="en-US" w:eastAsia="zh-CN"/>
                    </w:rPr>
                  </w:pPr>
                  <w:r>
                    <w:rPr>
                      <w:rFonts w:hint="default" w:ascii="Times New Roman" w:hAnsi="Times New Roman"/>
                      <w:bCs/>
                      <w:color w:val="auto"/>
                      <w:kern w:val="0"/>
                      <w:szCs w:val="21"/>
                      <w:highlight w:val="no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vMerge w:val="continue"/>
                  <w:tcBorders>
                    <w:left w:val="single" w:color="auto" w:sz="4" w:space="0"/>
                    <w:right w:val="single" w:color="auto" w:sz="4" w:space="0"/>
                  </w:tcBorders>
                  <w:vAlign w:val="center"/>
                </w:tcPr>
                <w:p>
                  <w:pPr>
                    <w:jc w:val="center"/>
                    <w:rPr>
                      <w:rFonts w:ascii="Times New Roman" w:hAnsi="Times New Roman"/>
                      <w:color w:val="auto"/>
                      <w:kern w:val="24"/>
                      <w:szCs w:val="21"/>
                      <w:highlight w:val="none"/>
                    </w:rPr>
                  </w:pPr>
                </w:p>
              </w:tc>
              <w:tc>
                <w:tcPr>
                  <w:tcW w:w="45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kern w:val="24"/>
                      <w:szCs w:val="21"/>
                      <w:highlight w:val="none"/>
                    </w:rPr>
                  </w:pPr>
                  <w:r>
                    <w:rPr>
                      <w:rFonts w:ascii="Times New Roman" w:hAnsi="Times New Roman"/>
                      <w:color w:val="auto"/>
                      <w:kern w:val="24"/>
                      <w:szCs w:val="21"/>
                      <w:highlight w:val="none"/>
                    </w:rPr>
                    <w:t>NH</w:t>
                  </w:r>
                  <w:r>
                    <w:rPr>
                      <w:rFonts w:ascii="Times New Roman" w:hAnsi="Times New Roman"/>
                      <w:color w:val="auto"/>
                      <w:kern w:val="24"/>
                      <w:szCs w:val="21"/>
                      <w:highlight w:val="none"/>
                      <w:vertAlign w:val="subscript"/>
                    </w:rPr>
                    <w:t>3</w:t>
                  </w:r>
                  <w:r>
                    <w:rPr>
                      <w:rFonts w:ascii="Times New Roman" w:hAnsi="Times New Roman"/>
                      <w:color w:val="auto"/>
                      <w:kern w:val="24"/>
                      <w:szCs w:val="21"/>
                      <w:highlight w:val="none"/>
                    </w:rPr>
                    <w:t>-N</w:t>
                  </w:r>
                </w:p>
              </w:tc>
              <w:tc>
                <w:tcPr>
                  <w:tcW w:w="15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4"/>
                      <w:szCs w:val="21"/>
                      <w:highlight w:val="none"/>
                      <w:lang w:val="en-US" w:eastAsia="zh-CN"/>
                    </w:rPr>
                  </w:pPr>
                  <w:r>
                    <w:rPr>
                      <w:rFonts w:hint="default" w:ascii="Times New Roman" w:hAnsi="Times New Roman"/>
                      <w:bCs/>
                      <w:color w:val="auto"/>
                      <w:kern w:val="0"/>
                      <w:szCs w:val="21"/>
                      <w:highlight w:val="none"/>
                      <w:lang w:val="en-US" w:eastAsia="zh-CN"/>
                    </w:rPr>
                    <w:t xml:space="preserve">0.001 </w:t>
                  </w:r>
                </w:p>
              </w:tc>
            </w:tr>
          </w:tbl>
          <w:p>
            <w:pPr>
              <w:pStyle w:val="24"/>
              <w:numPr>
                <w:ilvl w:val="0"/>
                <w:numId w:val="0"/>
              </w:numPr>
              <w:ind w:firstLine="482" w:firstLineChars="200"/>
              <w:rPr>
                <w:rFonts w:ascii="Times New Roman" w:hAnsi="Times New Roman"/>
                <w:b/>
                <w:color w:val="auto"/>
                <w:sz w:val="24"/>
                <w:szCs w:val="24"/>
                <w:highlight w:val="none"/>
              </w:rPr>
            </w:pPr>
            <w:r>
              <w:rPr>
                <w:rFonts w:hint="eastAsia" w:ascii="Times New Roman" w:hAnsi="Times New Roman"/>
                <w:b/>
                <w:color w:val="auto"/>
                <w:sz w:val="24"/>
                <w:szCs w:val="24"/>
                <w:highlight w:val="none"/>
                <w:lang w:eastAsia="zh-CN"/>
              </w:rPr>
              <w:t>（</w:t>
            </w:r>
            <w:r>
              <w:rPr>
                <w:rFonts w:hint="eastAsia" w:ascii="Times New Roman" w:hAnsi="Times New Roman"/>
                <w:b/>
                <w:color w:val="auto"/>
                <w:sz w:val="24"/>
                <w:szCs w:val="24"/>
                <w:highlight w:val="none"/>
                <w:lang w:val="en-US" w:eastAsia="zh-CN"/>
              </w:rPr>
              <w:t>3</w:t>
            </w:r>
            <w:r>
              <w:rPr>
                <w:rFonts w:hint="eastAsia" w:ascii="Times New Roman" w:hAnsi="Times New Roman"/>
                <w:b/>
                <w:color w:val="auto"/>
                <w:sz w:val="24"/>
                <w:szCs w:val="24"/>
                <w:highlight w:val="none"/>
                <w:lang w:eastAsia="zh-CN"/>
              </w:rPr>
              <w:t>）</w:t>
            </w:r>
            <w:r>
              <w:rPr>
                <w:rFonts w:hint="eastAsia" w:ascii="Times New Roman" w:hAnsi="Times New Roman"/>
                <w:b/>
                <w:color w:val="auto"/>
                <w:sz w:val="24"/>
                <w:szCs w:val="24"/>
                <w:highlight w:val="none"/>
              </w:rPr>
              <w:t>环境影响分析</w:t>
            </w:r>
          </w:p>
          <w:p>
            <w:pPr>
              <w:pStyle w:val="24"/>
              <w:spacing w:line="360" w:lineRule="auto"/>
              <w:ind w:left="420" w:leftChars="200"/>
              <w:rPr>
                <w:rFonts w:ascii="Times New Roman" w:hAnsi="Times New Roman"/>
                <w:b/>
                <w:bCs/>
                <w:color w:val="auto"/>
                <w:sz w:val="24"/>
                <w:szCs w:val="24"/>
                <w:highlight w:val="none"/>
              </w:rPr>
            </w:pPr>
            <w:r>
              <w:rPr>
                <w:rFonts w:hint="eastAsia" w:hAnsi="宋体" w:cs="宋体"/>
                <w:b/>
                <w:bCs/>
                <w:color w:val="auto"/>
                <w:kern w:val="0"/>
                <w:sz w:val="24"/>
                <w:szCs w:val="24"/>
                <w:highlight w:val="none"/>
              </w:rPr>
              <w:t>◇</w:t>
            </w:r>
            <w:r>
              <w:rPr>
                <w:rFonts w:hint="eastAsia" w:ascii="Times New Roman" w:hAnsi="Times New Roman"/>
                <w:b/>
                <w:bCs/>
                <w:color w:val="auto"/>
                <w:sz w:val="24"/>
                <w:szCs w:val="24"/>
                <w:highlight w:val="none"/>
              </w:rPr>
              <w:t>生活污水</w:t>
            </w:r>
          </w:p>
          <w:p>
            <w:pPr>
              <w:pStyle w:val="24"/>
              <w:spacing w:line="360" w:lineRule="auto"/>
              <w:ind w:firstLine="480" w:firstLineChars="200"/>
              <w:rPr>
                <w:rFonts w:ascii="Times New Roman" w:hAnsi="Times New Roman"/>
                <w:bCs/>
                <w:color w:val="auto"/>
                <w:kern w:val="0"/>
                <w:sz w:val="24"/>
                <w:szCs w:val="22"/>
                <w:highlight w:val="none"/>
              </w:rPr>
            </w:pPr>
            <w:r>
              <w:rPr>
                <w:rFonts w:hint="eastAsia" w:ascii="Times New Roman" w:hAnsi="Times New Roman"/>
                <w:color w:val="auto"/>
                <w:sz w:val="24"/>
                <w:highlight w:val="none"/>
                <w:lang w:eastAsia="zh-CN"/>
              </w:rPr>
              <w:t>项目</w:t>
            </w:r>
            <w:r>
              <w:rPr>
                <w:rFonts w:hint="eastAsia" w:ascii="Times New Roman" w:hAnsi="Times New Roman"/>
                <w:bCs/>
                <w:color w:val="auto"/>
                <w:kern w:val="0"/>
                <w:sz w:val="24"/>
                <w:szCs w:val="22"/>
                <w:highlight w:val="none"/>
              </w:rPr>
              <w:t>员工人数</w:t>
            </w:r>
            <w:r>
              <w:rPr>
                <w:rFonts w:hint="eastAsia" w:ascii="Times New Roman" w:hAnsi="Times New Roman"/>
                <w:bCs/>
                <w:color w:val="auto"/>
                <w:kern w:val="0"/>
                <w:sz w:val="24"/>
                <w:szCs w:val="22"/>
                <w:highlight w:val="none"/>
                <w:lang w:val="en-US" w:eastAsia="zh-CN"/>
              </w:rPr>
              <w:t>5</w:t>
            </w:r>
            <w:r>
              <w:rPr>
                <w:rFonts w:hint="eastAsia" w:ascii="Times New Roman" w:hAnsi="Times New Roman"/>
                <w:bCs/>
                <w:color w:val="auto"/>
                <w:kern w:val="0"/>
                <w:sz w:val="24"/>
                <w:szCs w:val="22"/>
                <w:highlight w:val="none"/>
              </w:rPr>
              <w:t>人，</w:t>
            </w:r>
            <w:r>
              <w:rPr>
                <w:rFonts w:hint="eastAsia"/>
                <w:color w:val="auto"/>
                <w:sz w:val="24"/>
                <w:szCs w:val="24"/>
                <w:highlight w:val="none"/>
                <w:lang w:eastAsia="zh-CN"/>
              </w:rPr>
              <w:t>不设置食堂及</w:t>
            </w:r>
            <w:r>
              <w:rPr>
                <w:color w:val="auto"/>
                <w:sz w:val="24"/>
                <w:szCs w:val="24"/>
                <w:highlight w:val="none"/>
              </w:rPr>
              <w:t>员工宿舍</w:t>
            </w:r>
            <w:r>
              <w:rPr>
                <w:rFonts w:hint="eastAsia" w:ascii="Times New Roman" w:hAnsi="Times New Roman"/>
                <w:bCs/>
                <w:color w:val="auto"/>
                <w:kern w:val="0"/>
                <w:sz w:val="24"/>
                <w:szCs w:val="22"/>
                <w:highlight w:val="none"/>
                <w:lang w:eastAsia="zh-CN"/>
              </w:rPr>
              <w:t>。</w:t>
            </w:r>
            <w:r>
              <w:rPr>
                <w:rFonts w:hint="eastAsia" w:ascii="Times New Roman" w:hAnsi="Times New Roman"/>
                <w:bCs/>
                <w:color w:val="auto"/>
                <w:kern w:val="0"/>
                <w:sz w:val="24"/>
                <w:szCs w:val="22"/>
                <w:highlight w:val="none"/>
              </w:rPr>
              <w:t>废水来源于从业人员在工作时产生的生活污水，主要为洗手和冲便废水，废水产生量为</w:t>
            </w:r>
            <w:r>
              <w:rPr>
                <w:rFonts w:hint="eastAsia" w:ascii="Times New Roman" w:hAnsi="Times New Roman"/>
                <w:bCs/>
                <w:color w:val="auto"/>
                <w:kern w:val="0"/>
                <w:sz w:val="24"/>
                <w:szCs w:val="22"/>
                <w:highlight w:val="none"/>
                <w:lang w:val="en-US" w:eastAsia="zh-CN"/>
              </w:rPr>
              <w:t>54</w:t>
            </w:r>
            <w:r>
              <w:rPr>
                <w:rFonts w:hint="eastAsia" w:ascii="Times New Roman" w:hAnsi="Times New Roman"/>
                <w:bCs/>
                <w:color w:val="auto"/>
                <w:kern w:val="0"/>
                <w:sz w:val="24"/>
                <w:szCs w:val="22"/>
                <w:highlight w:val="none"/>
              </w:rPr>
              <w:t>m</w:t>
            </w:r>
            <w:r>
              <w:rPr>
                <w:rFonts w:hint="eastAsia" w:ascii="Times New Roman" w:hAnsi="Times New Roman"/>
                <w:bCs/>
                <w:color w:val="auto"/>
                <w:kern w:val="0"/>
                <w:sz w:val="24"/>
                <w:szCs w:val="22"/>
                <w:highlight w:val="none"/>
                <w:vertAlign w:val="superscript"/>
              </w:rPr>
              <w:t>3</w:t>
            </w:r>
            <w:r>
              <w:rPr>
                <w:rFonts w:hint="eastAsia" w:ascii="Times New Roman" w:hAnsi="Times New Roman"/>
                <w:bCs/>
                <w:color w:val="auto"/>
                <w:kern w:val="0"/>
                <w:sz w:val="24"/>
                <w:szCs w:val="22"/>
                <w:highlight w:val="none"/>
              </w:rPr>
              <w:t>/a，废水的污染物主要是COD</w:t>
            </w:r>
            <w:r>
              <w:rPr>
                <w:rFonts w:hint="eastAsia" w:ascii="Times New Roman" w:hAnsi="Times New Roman"/>
                <w:bCs/>
                <w:color w:val="auto"/>
                <w:kern w:val="0"/>
                <w:sz w:val="24"/>
                <w:szCs w:val="22"/>
                <w:highlight w:val="none"/>
                <w:vertAlign w:val="subscript"/>
              </w:rPr>
              <w:t>Cr</w:t>
            </w:r>
            <w:r>
              <w:rPr>
                <w:rFonts w:hint="eastAsia" w:ascii="Times New Roman" w:hAnsi="Times New Roman"/>
                <w:bCs/>
                <w:color w:val="auto"/>
                <w:kern w:val="0"/>
                <w:sz w:val="24"/>
                <w:szCs w:val="22"/>
                <w:highlight w:val="none"/>
              </w:rPr>
              <w:t>、BOD</w:t>
            </w:r>
            <w:r>
              <w:rPr>
                <w:rFonts w:hint="eastAsia" w:ascii="Times New Roman" w:hAnsi="Times New Roman"/>
                <w:bCs/>
                <w:color w:val="auto"/>
                <w:kern w:val="0"/>
                <w:sz w:val="24"/>
                <w:szCs w:val="22"/>
                <w:highlight w:val="none"/>
                <w:vertAlign w:val="subscript"/>
              </w:rPr>
              <w:t>5</w:t>
            </w:r>
            <w:r>
              <w:rPr>
                <w:rFonts w:hint="eastAsia" w:ascii="Times New Roman" w:hAnsi="Times New Roman"/>
                <w:bCs/>
                <w:color w:val="auto"/>
                <w:kern w:val="0"/>
                <w:sz w:val="24"/>
                <w:szCs w:val="22"/>
                <w:highlight w:val="none"/>
              </w:rPr>
              <w:t>、NH</w:t>
            </w:r>
            <w:r>
              <w:rPr>
                <w:rFonts w:hint="eastAsia" w:ascii="Times New Roman" w:hAnsi="Times New Roman"/>
                <w:bCs/>
                <w:color w:val="auto"/>
                <w:kern w:val="0"/>
                <w:sz w:val="24"/>
                <w:szCs w:val="22"/>
                <w:highlight w:val="none"/>
                <w:vertAlign w:val="subscript"/>
              </w:rPr>
              <w:t>3</w:t>
            </w:r>
            <w:r>
              <w:rPr>
                <w:rFonts w:hint="eastAsia" w:ascii="Times New Roman" w:hAnsi="Times New Roman"/>
                <w:bCs/>
                <w:color w:val="auto"/>
                <w:kern w:val="0"/>
                <w:sz w:val="24"/>
                <w:szCs w:val="22"/>
                <w:highlight w:val="none"/>
              </w:rPr>
              <w:t>-N</w:t>
            </w:r>
            <w:r>
              <w:rPr>
                <w:rFonts w:hint="eastAsia" w:ascii="Times New Roman" w:hAnsi="Times New Roman"/>
                <w:bCs/>
                <w:color w:val="auto"/>
                <w:kern w:val="0"/>
                <w:sz w:val="24"/>
                <w:szCs w:val="22"/>
                <w:highlight w:val="none"/>
                <w:lang w:eastAsia="zh-CN"/>
              </w:rPr>
              <w:t>、</w:t>
            </w:r>
            <w:r>
              <w:rPr>
                <w:rFonts w:hint="eastAsia" w:ascii="Times New Roman" w:hAnsi="Times New Roman"/>
                <w:bCs/>
                <w:color w:val="auto"/>
                <w:kern w:val="0"/>
                <w:sz w:val="24"/>
                <w:szCs w:val="22"/>
                <w:highlight w:val="none"/>
              </w:rPr>
              <w:t>SS等。生活污水经三级化粪处理后排入</w:t>
            </w:r>
            <w:r>
              <w:rPr>
                <w:rFonts w:hint="eastAsia" w:ascii="Times New Roman" w:hAnsi="Times New Roman"/>
                <w:bCs/>
                <w:color w:val="auto"/>
                <w:kern w:val="0"/>
                <w:sz w:val="24"/>
                <w:szCs w:val="22"/>
                <w:highlight w:val="none"/>
                <w:lang w:eastAsia="zh-CN"/>
              </w:rPr>
              <w:t>开平市水口污水处理厂</w:t>
            </w:r>
            <w:r>
              <w:rPr>
                <w:rFonts w:hint="eastAsia" w:ascii="Times New Roman" w:hAnsi="Times New Roman"/>
                <w:bCs/>
                <w:color w:val="auto"/>
                <w:kern w:val="0"/>
                <w:sz w:val="24"/>
                <w:szCs w:val="22"/>
                <w:highlight w:val="none"/>
              </w:rPr>
              <w:t>处理后排入</w:t>
            </w:r>
            <w:r>
              <w:rPr>
                <w:rFonts w:hint="eastAsia" w:ascii="Times New Roman" w:hAnsi="Times New Roman"/>
                <w:bCs/>
                <w:color w:val="auto"/>
                <w:kern w:val="0"/>
                <w:sz w:val="24"/>
                <w:szCs w:val="22"/>
                <w:highlight w:val="none"/>
                <w:lang w:eastAsia="zh-CN"/>
              </w:rPr>
              <w:t>潭江</w:t>
            </w:r>
            <w:r>
              <w:rPr>
                <w:rFonts w:hint="eastAsia" w:ascii="Times New Roman" w:hAnsi="Times New Roman"/>
                <w:bCs/>
                <w:color w:val="auto"/>
                <w:kern w:val="0"/>
                <w:sz w:val="24"/>
                <w:szCs w:val="22"/>
                <w:highlight w:val="none"/>
              </w:rPr>
              <w:t>，项目生活污水不会对该地区水环境造成明显的影响。</w:t>
            </w:r>
          </w:p>
          <w:p>
            <w:pPr>
              <w:autoSpaceDE w:val="0"/>
              <w:autoSpaceDN w:val="0"/>
              <w:adjustRightInd w:val="0"/>
              <w:spacing w:line="360" w:lineRule="auto"/>
              <w:ind w:firstLine="479" w:firstLineChars="199"/>
              <w:jc w:val="left"/>
              <w:rPr>
                <w:rFonts w:hint="eastAsia"/>
                <w:b/>
                <w:bCs/>
                <w:color w:val="auto"/>
                <w:kern w:val="0"/>
                <w:sz w:val="24"/>
                <w:szCs w:val="24"/>
                <w:highlight w:val="none"/>
                <w:lang w:eastAsia="zh-CN"/>
              </w:rPr>
            </w:pPr>
            <w:r>
              <w:rPr>
                <w:rFonts w:hint="eastAsia"/>
                <w:b/>
                <w:bCs/>
                <w:color w:val="auto"/>
                <w:kern w:val="0"/>
                <w:sz w:val="24"/>
                <w:szCs w:val="24"/>
                <w:highlight w:val="none"/>
                <w:lang w:eastAsia="zh-CN"/>
              </w:rPr>
              <w:t>◇</w:t>
            </w:r>
            <w:r>
              <w:rPr>
                <w:rFonts w:hint="eastAsia" w:hAnsi="宋体"/>
                <w:b/>
                <w:color w:val="auto"/>
                <w:sz w:val="24"/>
                <w:highlight w:val="none"/>
                <w:lang w:eastAsia="zh-CN"/>
              </w:rPr>
              <w:t>喷淋废水</w:t>
            </w:r>
          </w:p>
          <w:p>
            <w:pPr>
              <w:widowControl w:val="0"/>
              <w:spacing w:after="0" w:line="360" w:lineRule="auto"/>
              <w:ind w:right="170" w:firstLine="470" w:firstLineChars="196"/>
              <w:jc w:val="both"/>
              <w:rPr>
                <w:rFonts w:hint="default" w:ascii="Times New Roman" w:hAnsi="Times New Roman" w:eastAsia="宋体" w:cs="Times New Roman"/>
                <w:color w:val="auto"/>
                <w:kern w:val="2"/>
                <w:sz w:val="24"/>
                <w:szCs w:val="24"/>
                <w:highlight w:val="none"/>
              </w:rPr>
            </w:pPr>
            <w:r>
              <w:rPr>
                <w:rFonts w:hint="eastAsia" w:hAnsi="宋体"/>
                <w:color w:val="auto"/>
                <w:sz w:val="24"/>
                <w:highlight w:val="none"/>
              </w:rPr>
              <w:t>项目采用</w:t>
            </w:r>
            <w:r>
              <w:rPr>
                <w:rFonts w:hint="eastAsia" w:hAnsi="宋体"/>
                <w:color w:val="auto"/>
                <w:sz w:val="24"/>
                <w:highlight w:val="none"/>
                <w:lang w:val="en-US" w:eastAsia="zh-CN"/>
              </w:rPr>
              <w:t>水喷淋塔+等离子油烟净化器</w:t>
            </w:r>
            <w:r>
              <w:rPr>
                <w:rFonts w:hint="eastAsia" w:hAnsi="宋体"/>
                <w:color w:val="auto"/>
                <w:sz w:val="24"/>
                <w:highlight w:val="none"/>
              </w:rPr>
              <w:t>对</w:t>
            </w:r>
            <w:r>
              <w:rPr>
                <w:rFonts w:hint="eastAsia" w:hAnsi="宋体"/>
                <w:color w:val="auto"/>
                <w:sz w:val="24"/>
                <w:highlight w:val="none"/>
                <w:lang w:eastAsia="zh-CN"/>
              </w:rPr>
              <w:t>锻压</w:t>
            </w:r>
            <w:r>
              <w:rPr>
                <w:rFonts w:hint="eastAsia" w:hAnsi="宋体"/>
                <w:color w:val="auto"/>
                <w:sz w:val="24"/>
                <w:highlight w:val="none"/>
              </w:rPr>
              <w:t>工序产生的</w:t>
            </w:r>
            <w:r>
              <w:rPr>
                <w:rFonts w:hint="eastAsia" w:hAnsi="宋体"/>
                <w:color w:val="auto"/>
                <w:sz w:val="24"/>
                <w:highlight w:val="none"/>
                <w:lang w:eastAsia="zh-CN"/>
              </w:rPr>
              <w:t>废气</w:t>
            </w:r>
            <w:r>
              <w:rPr>
                <w:rFonts w:hint="eastAsia" w:hAnsi="宋体"/>
                <w:color w:val="auto"/>
                <w:sz w:val="24"/>
                <w:highlight w:val="none"/>
              </w:rPr>
              <w:t>进行处理，</w:t>
            </w:r>
            <w:r>
              <w:rPr>
                <w:rFonts w:hint="default" w:ascii="Times New Roman" w:hAnsi="Times New Roman" w:eastAsia="宋体" w:cs="Times New Roman"/>
                <w:color w:val="auto"/>
                <w:kern w:val="2"/>
                <w:sz w:val="24"/>
                <w:szCs w:val="24"/>
                <w:highlight w:val="none"/>
              </w:rPr>
              <w:t>喷淋废水</w:t>
            </w:r>
            <w:r>
              <w:rPr>
                <w:rFonts w:hint="eastAsia" w:cs="Times New Roman"/>
                <w:color w:val="auto"/>
                <w:kern w:val="2"/>
                <w:sz w:val="24"/>
                <w:szCs w:val="24"/>
                <w:highlight w:val="none"/>
                <w:lang w:eastAsia="zh-CN"/>
              </w:rPr>
              <w:t>主要污染物为</w:t>
            </w:r>
            <w:r>
              <w:rPr>
                <w:rFonts w:hint="eastAsia"/>
                <w:color w:val="auto"/>
                <w:sz w:val="24"/>
                <w:szCs w:val="24"/>
                <w:highlight w:val="none"/>
                <w:lang w:eastAsia="zh-CN"/>
              </w:rPr>
              <w:t>石油类，</w:t>
            </w:r>
            <w:r>
              <w:rPr>
                <w:rFonts w:hint="default" w:ascii="Times New Roman" w:hAnsi="Times New Roman" w:eastAsia="宋体" w:cs="Times New Roman"/>
                <w:color w:val="auto"/>
                <w:kern w:val="2"/>
                <w:sz w:val="24"/>
                <w:szCs w:val="24"/>
                <w:highlight w:val="none"/>
              </w:rPr>
              <w:t>经喷淋塔配套循环水池循环后使用，</w:t>
            </w:r>
            <w:r>
              <w:rPr>
                <w:rFonts w:hint="default" w:ascii="Times New Roman" w:hAnsi="Times New Roman" w:cs="Times New Roman"/>
                <w:color w:val="auto"/>
                <w:sz w:val="24"/>
                <w:highlight w:val="none"/>
              </w:rPr>
              <w:t>因受热等因素损失，需定期补充新鲜水，</w:t>
            </w:r>
            <w:r>
              <w:rPr>
                <w:rFonts w:hint="default" w:ascii="Times New Roman" w:hAnsi="Times New Roman" w:cs="Times New Roman"/>
                <w:color w:val="auto"/>
                <w:sz w:val="24"/>
                <w:highlight w:val="none"/>
                <w:lang w:eastAsia="zh-CN"/>
              </w:rPr>
              <w:t>根据建设单位提供的资料，水喷淋装置循环水池有效水容积为</w:t>
            </w:r>
            <w:r>
              <w:rPr>
                <w:rFonts w:hint="default" w:ascii="Times New Roman" w:hAnsi="Times New Roman" w:cs="Times New Roman"/>
                <w:color w:val="auto"/>
                <w:sz w:val="24"/>
                <w:highlight w:val="none"/>
                <w:lang w:val="en-US" w:eastAsia="zh-CN"/>
              </w:rPr>
              <w:t>4m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eastAsia="zh-CN"/>
              </w:rPr>
              <w:t>，每天</w:t>
            </w:r>
            <w:r>
              <w:rPr>
                <w:rFonts w:hint="default" w:ascii="Times New Roman" w:hAnsi="Times New Roman" w:cs="Times New Roman"/>
                <w:color w:val="auto"/>
                <w:sz w:val="24"/>
                <w:highlight w:val="none"/>
              </w:rPr>
              <w:t>补充损耗水量约为</w:t>
            </w:r>
            <w:r>
              <w:rPr>
                <w:rFonts w:hint="default" w:ascii="Times New Roman" w:hAnsi="Times New Roman" w:cs="Times New Roman"/>
                <w:color w:val="auto"/>
                <w:sz w:val="24"/>
                <w:highlight w:val="none"/>
                <w:lang w:eastAsia="zh-CN"/>
              </w:rPr>
              <w:t>水池容积的</w:t>
            </w:r>
            <w:r>
              <w:rPr>
                <w:rFonts w:hint="default" w:ascii="Times New Roman" w:hAnsi="Times New Roman" w:cs="Times New Roman"/>
                <w:color w:val="auto"/>
                <w:sz w:val="24"/>
                <w:highlight w:val="none"/>
                <w:lang w:val="en-US" w:eastAsia="zh-CN"/>
              </w:rPr>
              <w:t>5%，0.2</w:t>
            </w:r>
            <w:r>
              <w:rPr>
                <w:rFonts w:hint="default" w:ascii="Times New Roman" w:hAnsi="Times New Roman" w:cs="Times New Roman"/>
                <w:color w:val="auto"/>
                <w:sz w:val="24"/>
                <w:highlight w:val="none"/>
              </w:rPr>
              <w:t>t/</w:t>
            </w:r>
            <w:r>
              <w:rPr>
                <w:rFonts w:hint="default" w:ascii="Times New Roman" w:hAnsi="Times New Roman" w:eastAsia="宋体" w:cs="Times New Roman"/>
                <w:color w:val="auto"/>
                <w:sz w:val="24"/>
                <w:highlight w:val="none"/>
                <w:lang w:val="en-US" w:eastAsia="zh-CN"/>
              </w:rPr>
              <w:t>d，即60</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ascii="Times New Roman" w:hAnsi="Times New Roman" w:cs="Times New Roman"/>
                <w:color w:val="auto"/>
                <w:sz w:val="24"/>
                <w:szCs w:val="22"/>
                <w:highlight w:val="none"/>
                <w:lang w:val="en-US" w:eastAsia="zh-CN"/>
              </w:rPr>
              <w:t>4</w:t>
            </w:r>
            <w:r>
              <w:rPr>
                <w:rFonts w:hint="default" w:ascii="Times New Roman" w:hAnsi="Times New Roman" w:cs="Times New Roman"/>
                <w:color w:val="auto"/>
                <w:sz w:val="24"/>
                <w:szCs w:val="22"/>
                <w:highlight w:val="none"/>
              </w:rPr>
              <w:t>吨/次，则更换废水产生量为</w:t>
            </w:r>
            <w:r>
              <w:rPr>
                <w:rFonts w:hint="eastAsia" w:ascii="Times New Roman" w:hAnsi="Times New Roman" w:cs="Times New Roman"/>
                <w:color w:val="auto"/>
                <w:sz w:val="24"/>
                <w:szCs w:val="22"/>
                <w:highlight w:val="none"/>
                <w:lang w:val="en-US" w:eastAsia="zh-CN"/>
              </w:rPr>
              <w:t>16</w:t>
            </w:r>
            <w:r>
              <w:rPr>
                <w:rFonts w:hint="default" w:ascii="Times New Roman" w:hAnsi="Times New Roman" w:cs="Times New Roman"/>
                <w:color w:val="auto"/>
                <w:sz w:val="24"/>
                <w:szCs w:val="22"/>
                <w:highlight w:val="none"/>
              </w:rPr>
              <w:t>t/a。该废水经收集后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pStyle w:val="24"/>
              <w:numPr>
                <w:ilvl w:val="0"/>
                <w:numId w:val="0"/>
              </w:numPr>
              <w:spacing w:line="360" w:lineRule="auto"/>
              <w:ind w:firstLine="482" w:firstLineChars="200"/>
              <w:rPr>
                <w:rFonts w:ascii="Times New Roman" w:hAnsi="Times New Roman"/>
                <w:b/>
                <w:color w:val="auto"/>
                <w:sz w:val="24"/>
                <w:szCs w:val="24"/>
                <w:highlight w:val="none"/>
              </w:rPr>
            </w:pPr>
            <w:r>
              <w:rPr>
                <w:rFonts w:hint="eastAsia" w:ascii="Times New Roman" w:hAnsi="Times New Roman"/>
                <w:b/>
                <w:color w:val="auto"/>
                <w:sz w:val="24"/>
                <w:szCs w:val="24"/>
                <w:highlight w:val="none"/>
                <w:lang w:eastAsia="zh-CN"/>
              </w:rPr>
              <w:t>（</w:t>
            </w:r>
            <w:r>
              <w:rPr>
                <w:rFonts w:hint="eastAsia" w:ascii="Times New Roman" w:hAnsi="Times New Roman"/>
                <w:b/>
                <w:color w:val="auto"/>
                <w:sz w:val="24"/>
                <w:szCs w:val="24"/>
                <w:highlight w:val="none"/>
                <w:lang w:val="en-US" w:eastAsia="zh-CN"/>
              </w:rPr>
              <w:t>4</w:t>
            </w:r>
            <w:r>
              <w:rPr>
                <w:rFonts w:hint="eastAsia" w:ascii="Times New Roman" w:hAnsi="Times New Roman"/>
                <w:b/>
                <w:color w:val="auto"/>
                <w:sz w:val="24"/>
                <w:szCs w:val="24"/>
                <w:highlight w:val="none"/>
                <w:lang w:eastAsia="zh-CN"/>
              </w:rPr>
              <w:t>）</w:t>
            </w:r>
            <w:r>
              <w:rPr>
                <w:rFonts w:hint="eastAsia" w:ascii="Times New Roman" w:hAnsi="Times New Roman"/>
                <w:b/>
                <w:color w:val="auto"/>
                <w:sz w:val="24"/>
                <w:szCs w:val="24"/>
                <w:highlight w:val="none"/>
              </w:rPr>
              <w:t>生活污水依托</w:t>
            </w:r>
            <w:r>
              <w:rPr>
                <w:rFonts w:hint="eastAsia" w:ascii="Times New Roman" w:hAnsi="Times New Roman"/>
                <w:b/>
                <w:color w:val="auto"/>
                <w:sz w:val="24"/>
                <w:szCs w:val="24"/>
                <w:highlight w:val="none"/>
                <w:lang w:eastAsia="zh-CN"/>
              </w:rPr>
              <w:t>开平市水口污水处理厂</w:t>
            </w:r>
            <w:r>
              <w:rPr>
                <w:rFonts w:hint="eastAsia" w:ascii="Times New Roman" w:hAnsi="Times New Roman"/>
                <w:b/>
                <w:color w:val="auto"/>
                <w:sz w:val="24"/>
                <w:szCs w:val="24"/>
                <w:highlight w:val="none"/>
              </w:rPr>
              <w:t>进行处理的可行性分析</w:t>
            </w:r>
          </w:p>
          <w:p>
            <w:pPr>
              <w:pStyle w:val="24"/>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①措施有效性</w:t>
            </w:r>
          </w:p>
          <w:p>
            <w:pPr>
              <w:pStyle w:val="24"/>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生活污水来自厂区日常运行，属于典型的城市生活用水，主要污染物成分为SS、BOD</w:t>
            </w:r>
            <w:r>
              <w:rPr>
                <w:rFonts w:hint="eastAsia" w:ascii="Times New Roman" w:hAnsi="Times New Roman"/>
                <w:bCs/>
                <w:color w:val="auto"/>
                <w:sz w:val="24"/>
                <w:szCs w:val="24"/>
                <w:highlight w:val="none"/>
                <w:vertAlign w:val="subscript"/>
              </w:rPr>
              <w:t>5</w:t>
            </w:r>
            <w:r>
              <w:rPr>
                <w:rFonts w:hint="eastAsia" w:ascii="Times New Roman" w:hAnsi="Times New Roman"/>
                <w:bCs/>
                <w:color w:val="auto"/>
                <w:sz w:val="24"/>
                <w:szCs w:val="24"/>
                <w:highlight w:val="none"/>
              </w:rPr>
              <w:t>、COD</w:t>
            </w:r>
            <w:r>
              <w:rPr>
                <w:rFonts w:hint="eastAsia" w:ascii="Times New Roman" w:hAnsi="Times New Roman"/>
                <w:bCs/>
                <w:color w:val="auto"/>
                <w:kern w:val="0"/>
                <w:sz w:val="24"/>
                <w:szCs w:val="22"/>
                <w:highlight w:val="none"/>
                <w:vertAlign w:val="subscript"/>
              </w:rPr>
              <w:t>Cr</w:t>
            </w:r>
            <w:r>
              <w:rPr>
                <w:rFonts w:hint="eastAsia" w:ascii="Times New Roman" w:hAnsi="Times New Roman"/>
                <w:bCs/>
                <w:color w:val="auto"/>
                <w:sz w:val="24"/>
                <w:szCs w:val="24"/>
                <w:highlight w:val="none"/>
              </w:rPr>
              <w:t>、氨氮，经过三级化粪池预处理后，可以达到</w:t>
            </w:r>
            <w:r>
              <w:rPr>
                <w:rFonts w:hint="eastAsia" w:ascii="Times New Roman" w:hAnsi="Times New Roman"/>
                <w:bCs/>
                <w:color w:val="auto"/>
                <w:sz w:val="24"/>
                <w:szCs w:val="24"/>
                <w:highlight w:val="none"/>
                <w:lang w:eastAsia="zh-CN"/>
              </w:rPr>
              <w:t>开平市水口污水处理厂</w:t>
            </w:r>
            <w:r>
              <w:rPr>
                <w:rFonts w:hint="eastAsia" w:ascii="Times New Roman" w:hAnsi="Times New Roman"/>
                <w:bCs/>
                <w:color w:val="auto"/>
                <w:sz w:val="24"/>
                <w:szCs w:val="24"/>
                <w:highlight w:val="none"/>
              </w:rPr>
              <w:t>污水进水水质标准要求，满足</w:t>
            </w:r>
            <w:r>
              <w:rPr>
                <w:rFonts w:hint="eastAsia" w:ascii="Times New Roman" w:hAnsi="Times New Roman"/>
                <w:bCs/>
                <w:color w:val="auto"/>
                <w:sz w:val="24"/>
                <w:szCs w:val="24"/>
                <w:highlight w:val="none"/>
                <w:lang w:eastAsia="zh-CN"/>
              </w:rPr>
              <w:t>开平市水口污水处理厂</w:t>
            </w:r>
            <w:r>
              <w:rPr>
                <w:rFonts w:hint="eastAsia" w:ascii="Times New Roman" w:hAnsi="Times New Roman"/>
                <w:bCs/>
                <w:color w:val="auto"/>
                <w:sz w:val="24"/>
                <w:szCs w:val="24"/>
                <w:highlight w:val="none"/>
              </w:rPr>
              <w:t>的进水水质要求。</w:t>
            </w:r>
          </w:p>
          <w:p>
            <w:pPr>
              <w:pStyle w:val="24"/>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②依托可行性</w:t>
            </w:r>
          </w:p>
          <w:p>
            <w:pPr>
              <w:pStyle w:val="24"/>
              <w:spacing w:line="360" w:lineRule="auto"/>
              <w:ind w:firstLine="480" w:firstLineChars="200"/>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开平市水口污水处理厂位于水口镇泮兴路16号，设计处理规模为5000吨/天，工程占地面积6666.7平方米，建筑面积1016平方米。采用“CASS”处理工艺，该方案成熟可靠，在正常运营的情况下，尾水完全可以达到既定标准的要求。</w:t>
            </w:r>
          </w:p>
          <w:p>
            <w:pPr>
              <w:pStyle w:val="24"/>
              <w:spacing w:line="360" w:lineRule="auto"/>
              <w:ind w:firstLine="480" w:firstLineChars="200"/>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工程于2007年开始开工建设，于2009年12月建成并开始试运行。主要建设单体为办公楼、粗格栅及提升泵池、细格栅及提升泵池、CASS池、接触消毒池、鼓风机房及变配电间、加药及污泥脱水间、消毒间等。</w:t>
            </w:r>
          </w:p>
          <w:p>
            <w:pPr>
              <w:pStyle w:val="24"/>
              <w:spacing w:line="360" w:lineRule="auto"/>
              <w:ind w:firstLine="480" w:firstLineChars="200"/>
              <w:rPr>
                <w:rFonts w:hint="eastAsia" w:ascii="Times New Roman" w:hAnsi="Times New Roman"/>
                <w:bCs/>
                <w:color w:val="auto"/>
                <w:sz w:val="24"/>
                <w:szCs w:val="24"/>
                <w:highlight w:val="none"/>
                <w:lang w:eastAsia="zh-CN"/>
              </w:rPr>
            </w:pPr>
          </w:p>
          <w:p>
            <w:pPr>
              <w:pStyle w:val="24"/>
              <w:spacing w:line="360" w:lineRule="auto"/>
              <w:ind w:firstLine="480" w:firstLineChars="200"/>
              <w:rPr>
                <w:rFonts w:hint="eastAsia" w:ascii="Times New Roman" w:hAnsi="Times New Roman"/>
                <w:bCs/>
                <w:color w:val="auto"/>
                <w:sz w:val="24"/>
                <w:szCs w:val="24"/>
                <w:highlight w:val="none"/>
                <w:lang w:eastAsia="zh-CN"/>
              </w:rPr>
            </w:pPr>
          </w:p>
          <w:p>
            <w:pPr>
              <w:pStyle w:val="19"/>
              <w:rPr>
                <w:rFonts w:hint="default"/>
                <w:color w:val="auto"/>
                <w:highlight w:val="none"/>
                <w:lang w:val="en-US" w:eastAsia="zh-CN"/>
              </w:rPr>
            </w:pPr>
            <w:r>
              <w:rPr>
                <w:rFonts w:hint="eastAsia"/>
                <w:bCs/>
                <w:color w:val="auto"/>
                <w:sz w:val="24"/>
                <w:szCs w:val="24"/>
                <w:highlight w:val="none"/>
                <w:lang w:val="en-US" w:eastAsia="zh-CN"/>
              </w:rPr>
              <w:t xml:space="preserve">   </w:t>
            </w:r>
            <w:r>
              <w:rPr>
                <w:color w:val="auto"/>
                <w:highlight w:val="none"/>
              </w:rPr>
              <w:drawing>
                <wp:inline distT="0" distB="0" distL="114300" distR="114300">
                  <wp:extent cx="5385435" cy="3638550"/>
                  <wp:effectExtent l="0" t="0" r="571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385435" cy="3638550"/>
                          </a:xfrm>
                          <a:prstGeom prst="rect">
                            <a:avLst/>
                          </a:prstGeom>
                          <a:noFill/>
                          <a:ln>
                            <a:noFill/>
                          </a:ln>
                        </pic:spPr>
                      </pic:pic>
                    </a:graphicData>
                  </a:graphic>
                </wp:inline>
              </w:drawing>
            </w:r>
          </w:p>
          <w:p>
            <w:pPr>
              <w:spacing w:before="120" w:beforeLines="50" w:line="360" w:lineRule="auto"/>
              <w:ind w:firstLine="422" w:firstLineChars="200"/>
              <w:jc w:val="center"/>
              <w:rPr>
                <w:rFonts w:hint="eastAsia" w:ascii="Times New Roman" w:hAnsi="Times New Roman"/>
                <w:b/>
                <w:bCs w:val="0"/>
                <w:color w:val="auto"/>
                <w:sz w:val="21"/>
                <w:szCs w:val="21"/>
                <w:highlight w:val="none"/>
              </w:rPr>
            </w:pPr>
            <w:r>
              <w:rPr>
                <w:rFonts w:hint="eastAsia" w:ascii="Times New Roman" w:hAnsi="Times New Roman"/>
                <w:b/>
                <w:bCs w:val="0"/>
                <w:color w:val="auto"/>
                <w:sz w:val="21"/>
                <w:szCs w:val="21"/>
                <w:highlight w:val="none"/>
              </w:rPr>
              <w:t>图</w:t>
            </w:r>
            <w:r>
              <w:rPr>
                <w:rFonts w:hint="eastAsia"/>
                <w:b/>
                <w:bCs w:val="0"/>
                <w:color w:val="auto"/>
                <w:sz w:val="21"/>
                <w:szCs w:val="21"/>
                <w:highlight w:val="none"/>
                <w:lang w:val="en-US" w:eastAsia="zh-CN"/>
              </w:rPr>
              <w:t>7-1</w:t>
            </w:r>
            <w:r>
              <w:rPr>
                <w:rFonts w:hint="eastAsia" w:ascii="Times New Roman" w:hAnsi="Times New Roman"/>
                <w:b/>
                <w:bCs w:val="0"/>
                <w:color w:val="auto"/>
                <w:sz w:val="21"/>
                <w:szCs w:val="21"/>
                <w:highlight w:val="none"/>
              </w:rPr>
              <w:t xml:space="preserve"> </w:t>
            </w:r>
            <w:r>
              <w:rPr>
                <w:rFonts w:hint="eastAsia"/>
                <w:b/>
                <w:bCs w:val="0"/>
                <w:color w:val="auto"/>
                <w:sz w:val="21"/>
                <w:szCs w:val="21"/>
                <w:highlight w:val="none"/>
                <w:lang w:eastAsia="zh-CN"/>
              </w:rPr>
              <w:t>开平市水口污水处理厂</w:t>
            </w:r>
            <w:r>
              <w:rPr>
                <w:rFonts w:hint="eastAsia" w:ascii="Times New Roman" w:hAnsi="Times New Roman"/>
                <w:b/>
                <w:bCs w:val="0"/>
                <w:color w:val="auto"/>
                <w:sz w:val="21"/>
                <w:szCs w:val="21"/>
                <w:highlight w:val="none"/>
              </w:rPr>
              <w:t>污水处理工艺流程</w:t>
            </w:r>
          </w:p>
          <w:p>
            <w:pPr>
              <w:pStyle w:val="19"/>
              <w:spacing w:line="360" w:lineRule="auto"/>
              <w:rPr>
                <w:rFonts w:hint="default" w:cs="Times New Roman"/>
                <w:bCs/>
                <w:color w:val="auto"/>
                <w:kern w:val="2"/>
                <w:sz w:val="24"/>
                <w:szCs w:val="22"/>
                <w:highlight w:val="none"/>
                <w:lang w:val="en-US" w:eastAsia="zh-CN" w:bidi="ar-SA"/>
              </w:rPr>
            </w:pPr>
            <w:r>
              <w:rPr>
                <w:rFonts w:hint="eastAsia"/>
                <w:b/>
                <w:bCs w:val="0"/>
                <w:color w:val="auto"/>
                <w:sz w:val="24"/>
                <w:highlight w:val="none"/>
                <w:lang w:val="en-US" w:eastAsia="zh-CN"/>
              </w:rPr>
              <w:t xml:space="preserve">   </w:t>
            </w:r>
            <w:r>
              <w:rPr>
                <w:rFonts w:hint="eastAsia" w:ascii="Times New Roman" w:hAnsi="Times New Roman" w:eastAsia="宋体" w:cs="Times New Roman"/>
                <w:bCs/>
                <w:color w:val="auto"/>
                <w:kern w:val="2"/>
                <w:sz w:val="24"/>
                <w:szCs w:val="22"/>
                <w:highlight w:val="none"/>
                <w:lang w:val="en-US" w:eastAsia="zh-CN" w:bidi="ar-SA"/>
              </w:rPr>
              <w:t xml:space="preserve"> 目前截污管网已覆盖本项目所在区域，在管网接驳衔接性上具备可行性。</w:t>
            </w:r>
            <w:r>
              <w:rPr>
                <w:rFonts w:hint="eastAsia" w:cs="Times New Roman"/>
                <w:bCs/>
                <w:color w:val="auto"/>
                <w:kern w:val="2"/>
                <w:sz w:val="24"/>
                <w:szCs w:val="22"/>
                <w:highlight w:val="none"/>
                <w:lang w:val="en-US" w:eastAsia="zh-CN" w:bidi="ar-SA"/>
              </w:rPr>
              <w:t>开平市水口污水处理厂</w:t>
            </w:r>
            <w:r>
              <w:rPr>
                <w:rFonts w:hint="eastAsia" w:ascii="Times New Roman" w:hAnsi="Times New Roman" w:eastAsia="宋体" w:cs="Times New Roman"/>
                <w:bCs/>
                <w:color w:val="auto"/>
                <w:kern w:val="2"/>
                <w:sz w:val="24"/>
                <w:szCs w:val="22"/>
                <w:highlight w:val="none"/>
                <w:lang w:val="en-US" w:eastAsia="zh-CN" w:bidi="ar-SA"/>
              </w:rPr>
              <w:t>主要收集水口镇新市、东方红、泮村、泮南、永安等管理区和第二、第四工业园的生活污水，污水处理厂实际处理量为3000m</w:t>
            </w:r>
            <w:r>
              <w:rPr>
                <w:rFonts w:hint="eastAsia" w:ascii="Times New Roman" w:hAnsi="Times New Roman" w:eastAsia="宋体" w:cs="Times New Roman"/>
                <w:bCs/>
                <w:color w:val="auto"/>
                <w:kern w:val="2"/>
                <w:sz w:val="24"/>
                <w:szCs w:val="22"/>
                <w:highlight w:val="none"/>
                <w:vertAlign w:val="superscript"/>
                <w:lang w:val="en-US" w:eastAsia="zh-CN" w:bidi="ar-SA"/>
              </w:rPr>
              <w:t>3</w:t>
            </w:r>
            <w:r>
              <w:rPr>
                <w:rFonts w:hint="eastAsia" w:ascii="Times New Roman" w:hAnsi="Times New Roman" w:eastAsia="宋体" w:cs="Times New Roman"/>
                <w:bCs/>
                <w:color w:val="auto"/>
                <w:kern w:val="2"/>
                <w:sz w:val="24"/>
                <w:szCs w:val="22"/>
                <w:highlight w:val="none"/>
                <w:lang w:val="en-US" w:eastAsia="zh-CN" w:bidi="ar-SA"/>
              </w:rPr>
              <w:t xml:space="preserve">/d，本项目生活污水每天排放量约 </w:t>
            </w:r>
            <w:r>
              <w:rPr>
                <w:rFonts w:hint="eastAsia" w:cs="Times New Roman"/>
                <w:bCs/>
                <w:color w:val="auto"/>
                <w:kern w:val="2"/>
                <w:sz w:val="24"/>
                <w:szCs w:val="22"/>
                <w:highlight w:val="none"/>
                <w:lang w:val="en-US" w:eastAsia="zh-CN" w:bidi="ar-SA"/>
              </w:rPr>
              <w:t>0.18</w:t>
            </w:r>
            <w:r>
              <w:rPr>
                <w:rFonts w:hint="eastAsia" w:ascii="Times New Roman" w:hAnsi="Times New Roman" w:eastAsia="宋体" w:cs="Times New Roman"/>
                <w:bCs/>
                <w:color w:val="auto"/>
                <w:kern w:val="2"/>
                <w:sz w:val="24"/>
                <w:szCs w:val="22"/>
                <w:highlight w:val="none"/>
                <w:lang w:val="en-US" w:eastAsia="zh-CN" w:bidi="ar-SA"/>
              </w:rPr>
              <w:t>m</w:t>
            </w:r>
            <w:r>
              <w:rPr>
                <w:rFonts w:hint="eastAsia" w:ascii="Times New Roman" w:hAnsi="Times New Roman" w:eastAsia="宋体" w:cs="Times New Roman"/>
                <w:bCs/>
                <w:color w:val="auto"/>
                <w:kern w:val="2"/>
                <w:sz w:val="24"/>
                <w:szCs w:val="22"/>
                <w:highlight w:val="none"/>
                <w:vertAlign w:val="superscript"/>
                <w:lang w:val="en-US" w:eastAsia="zh-CN" w:bidi="ar-SA"/>
              </w:rPr>
              <w:t>3</w:t>
            </w:r>
            <w:r>
              <w:rPr>
                <w:rFonts w:hint="eastAsia" w:ascii="Times New Roman" w:hAnsi="Times New Roman" w:eastAsia="宋体" w:cs="Times New Roman"/>
                <w:bCs/>
                <w:color w:val="auto"/>
                <w:kern w:val="2"/>
                <w:sz w:val="24"/>
                <w:szCs w:val="22"/>
                <w:highlight w:val="none"/>
                <w:lang w:val="en-US" w:eastAsia="zh-CN" w:bidi="ar-SA"/>
              </w:rPr>
              <w:t>/d，约占</w:t>
            </w:r>
            <w:r>
              <w:rPr>
                <w:rFonts w:hint="eastAsia" w:cs="Times New Roman"/>
                <w:bCs/>
                <w:color w:val="auto"/>
                <w:kern w:val="2"/>
                <w:sz w:val="24"/>
                <w:szCs w:val="22"/>
                <w:highlight w:val="none"/>
                <w:lang w:val="en-US" w:eastAsia="zh-CN" w:bidi="ar-SA"/>
              </w:rPr>
              <w:t>开平市水口污水处理厂</w:t>
            </w:r>
            <w:r>
              <w:rPr>
                <w:rFonts w:hint="eastAsia" w:ascii="Times New Roman" w:hAnsi="Times New Roman" w:eastAsia="宋体" w:cs="Times New Roman"/>
                <w:bCs/>
                <w:color w:val="auto"/>
                <w:kern w:val="2"/>
                <w:sz w:val="24"/>
                <w:szCs w:val="22"/>
                <w:highlight w:val="none"/>
                <w:lang w:val="en-US" w:eastAsia="zh-CN" w:bidi="ar-SA"/>
              </w:rPr>
              <w:t>剩余污水处理能力的0.</w:t>
            </w:r>
            <w:r>
              <w:rPr>
                <w:rFonts w:hint="eastAsia" w:cs="Times New Roman"/>
                <w:bCs/>
                <w:color w:val="auto"/>
                <w:kern w:val="2"/>
                <w:sz w:val="24"/>
                <w:szCs w:val="22"/>
                <w:highlight w:val="none"/>
                <w:lang w:val="en-US" w:eastAsia="zh-CN" w:bidi="ar-SA"/>
              </w:rPr>
              <w:t>0</w:t>
            </w:r>
            <w:r>
              <w:rPr>
                <w:rFonts w:hint="eastAsia" w:ascii="Times New Roman" w:hAnsi="Times New Roman" w:eastAsia="宋体" w:cs="Times New Roman"/>
                <w:bCs/>
                <w:color w:val="auto"/>
                <w:kern w:val="2"/>
                <w:sz w:val="24"/>
                <w:szCs w:val="22"/>
                <w:highlight w:val="none"/>
                <w:lang w:val="en-US" w:eastAsia="zh-CN" w:bidi="ar-SA"/>
              </w:rPr>
              <w:t>09%，因此，</w:t>
            </w:r>
            <w:r>
              <w:rPr>
                <w:rFonts w:hint="eastAsia" w:cs="Times New Roman"/>
                <w:bCs/>
                <w:color w:val="auto"/>
                <w:kern w:val="2"/>
                <w:sz w:val="24"/>
                <w:szCs w:val="22"/>
                <w:highlight w:val="none"/>
                <w:lang w:val="en-US" w:eastAsia="zh-CN" w:bidi="ar-SA"/>
              </w:rPr>
              <w:t>开平市水口污水处理厂</w:t>
            </w:r>
            <w:r>
              <w:rPr>
                <w:rFonts w:hint="eastAsia" w:ascii="Times New Roman" w:hAnsi="Times New Roman" w:eastAsia="宋体" w:cs="Times New Roman"/>
                <w:bCs/>
                <w:color w:val="auto"/>
                <w:kern w:val="2"/>
                <w:sz w:val="24"/>
                <w:szCs w:val="22"/>
                <w:highlight w:val="none"/>
                <w:lang w:val="en-US" w:eastAsia="zh-CN" w:bidi="ar-SA"/>
              </w:rPr>
              <w:t>仍富有处理能力处理项目所产生的生活污水。项目产生的生活污水经三级化粪池进行预处理，出水水质符合</w:t>
            </w:r>
            <w:r>
              <w:rPr>
                <w:rFonts w:hint="eastAsia" w:cs="Times New Roman"/>
                <w:bCs/>
                <w:color w:val="auto"/>
                <w:kern w:val="2"/>
                <w:sz w:val="24"/>
                <w:szCs w:val="22"/>
                <w:highlight w:val="none"/>
                <w:lang w:val="en-US" w:eastAsia="zh-CN" w:bidi="ar-SA"/>
              </w:rPr>
              <w:t>开平市水口污水处理厂</w:t>
            </w:r>
            <w:r>
              <w:rPr>
                <w:rFonts w:hint="eastAsia" w:ascii="Times New Roman" w:hAnsi="Times New Roman" w:eastAsia="宋体" w:cs="Times New Roman"/>
                <w:bCs/>
                <w:color w:val="auto"/>
                <w:kern w:val="2"/>
                <w:sz w:val="24"/>
                <w:szCs w:val="22"/>
                <w:highlight w:val="none"/>
                <w:lang w:val="en-US" w:eastAsia="zh-CN" w:bidi="ar-SA"/>
              </w:rPr>
              <w:t>进水水质要求。因此从水质分析，</w:t>
            </w:r>
            <w:r>
              <w:rPr>
                <w:rFonts w:hint="eastAsia" w:cs="Times New Roman"/>
                <w:bCs/>
                <w:color w:val="auto"/>
                <w:kern w:val="2"/>
                <w:sz w:val="24"/>
                <w:szCs w:val="22"/>
                <w:highlight w:val="none"/>
                <w:lang w:val="en-US" w:eastAsia="zh-CN" w:bidi="ar-SA"/>
              </w:rPr>
              <w:t>开平市水口污水处理厂能够接纳本项目的生活污水。</w:t>
            </w:r>
          </w:p>
          <w:p>
            <w:pPr>
              <w:pStyle w:val="19"/>
              <w:spacing w:line="360" w:lineRule="auto"/>
              <w:ind w:firstLine="480" w:firstLineChars="200"/>
              <w:rPr>
                <w:rFonts w:ascii="Times New Roman" w:hAnsi="Times New Roman"/>
                <w:bCs/>
                <w:color w:val="auto"/>
                <w:sz w:val="24"/>
                <w:highlight w:val="none"/>
              </w:rPr>
            </w:pPr>
            <w:r>
              <w:rPr>
                <w:rFonts w:hint="eastAsia" w:cs="Times New Roman"/>
                <w:bCs/>
                <w:color w:val="auto"/>
                <w:kern w:val="2"/>
                <w:sz w:val="24"/>
                <w:szCs w:val="22"/>
                <w:highlight w:val="none"/>
                <w:lang w:val="en-US" w:eastAsia="zh-CN" w:bidi="ar-SA"/>
              </w:rPr>
              <w:t>总结：本项目所排生活废水从水量和水质方面分析，生活污水纳入开平市水口污水处理厂处理是可行的，开平市水口污水处理</w:t>
            </w:r>
            <w:r>
              <w:rPr>
                <w:rFonts w:hint="eastAsia"/>
                <w:bCs/>
                <w:color w:val="auto"/>
                <w:sz w:val="24"/>
                <w:highlight w:val="none"/>
                <w:lang w:eastAsia="zh-CN"/>
              </w:rPr>
              <w:t>厂</w:t>
            </w:r>
            <w:r>
              <w:rPr>
                <w:rFonts w:hint="eastAsia" w:ascii="Times New Roman" w:hAnsi="Times New Roman"/>
                <w:bCs/>
                <w:color w:val="auto"/>
                <w:sz w:val="24"/>
                <w:highlight w:val="none"/>
              </w:rPr>
              <w:t>总体运行良好，出水水质稳定，可以稳定达标排放，因此，本项目排放生活污水对纳污水体</w:t>
            </w:r>
            <w:r>
              <w:rPr>
                <w:rFonts w:hint="eastAsia"/>
                <w:bCs/>
                <w:color w:val="auto"/>
                <w:sz w:val="24"/>
                <w:highlight w:val="none"/>
                <w:lang w:eastAsia="zh-CN"/>
              </w:rPr>
              <w:t>潭江</w:t>
            </w:r>
            <w:r>
              <w:rPr>
                <w:rFonts w:hint="eastAsia" w:ascii="Times New Roman" w:hAnsi="Times New Roman"/>
                <w:bCs/>
                <w:color w:val="auto"/>
                <w:sz w:val="24"/>
                <w:highlight w:val="none"/>
              </w:rPr>
              <w:t>及周围其它地表水环境影响不大。</w:t>
            </w:r>
          </w:p>
          <w:p>
            <w:pPr>
              <w:spacing w:line="360" w:lineRule="auto"/>
              <w:ind w:firstLine="482" w:firstLineChars="200"/>
              <w:rPr>
                <w:rFonts w:hint="eastAsia" w:ascii="Times New Roman" w:hAnsi="Times New Roman" w:eastAsia="宋体" w:cs="Times New Roman"/>
                <w:bCs/>
                <w:color w:val="auto"/>
                <w:kern w:val="0"/>
                <w:sz w:val="24"/>
                <w:szCs w:val="22"/>
                <w:highlight w:val="none"/>
              </w:rPr>
            </w:pPr>
            <w:r>
              <w:rPr>
                <w:rFonts w:ascii="Times New Roman" w:hAnsi="Times New Roman"/>
                <w:b/>
                <w:bCs/>
                <w:color w:val="auto"/>
                <w:sz w:val="24"/>
                <w:highlight w:val="none"/>
              </w:rPr>
              <w:t>2</w:t>
            </w:r>
            <w:r>
              <w:rPr>
                <w:rFonts w:hint="eastAsia" w:ascii="Times New Roman" w:hAnsi="Times New Roman"/>
                <w:b/>
                <w:bCs/>
                <w:color w:val="auto"/>
                <w:sz w:val="24"/>
                <w:highlight w:val="none"/>
              </w:rPr>
              <w:t>、大气环境</w:t>
            </w:r>
            <w:r>
              <w:rPr>
                <w:rFonts w:hint="eastAsia" w:ascii="Times New Roman" w:hAnsi="Times New Roman" w:eastAsia="宋体" w:cs="Times New Roman"/>
                <w:b/>
                <w:bCs/>
                <w:color w:val="auto"/>
                <w:sz w:val="24"/>
                <w:szCs w:val="22"/>
                <w:highlight w:val="none"/>
              </w:rPr>
              <w:t>影响分析</w:t>
            </w:r>
          </w:p>
          <w:p>
            <w:pPr>
              <w:spacing w:line="360" w:lineRule="auto"/>
              <w:ind w:firstLine="480" w:firstLineChars="200"/>
              <w:rPr>
                <w:rFonts w:hint="eastAsia" w:ascii="Times New Roman" w:hAnsi="Times New Roman" w:eastAsia="宋体" w:cs="Times New Roman"/>
                <w:bCs/>
                <w:color w:val="auto"/>
                <w:kern w:val="0"/>
                <w:sz w:val="24"/>
                <w:szCs w:val="22"/>
                <w:highlight w:val="none"/>
              </w:rPr>
            </w:pPr>
            <w:bookmarkStart w:id="72" w:name="OLE_LINK34"/>
            <w:bookmarkStart w:id="73" w:name="OLE_LINK8"/>
            <w:r>
              <w:rPr>
                <w:rFonts w:hint="eastAsia" w:ascii="Times New Roman" w:hAnsi="Times New Roman" w:eastAsia="宋体" w:cs="Times New Roman"/>
                <w:bCs/>
                <w:color w:val="auto"/>
                <w:kern w:val="0"/>
                <w:sz w:val="24"/>
                <w:szCs w:val="22"/>
                <w:highlight w:val="none"/>
              </w:rPr>
              <w:t>本项目扩建后营运过程中大气污染主要为</w:t>
            </w:r>
            <w:r>
              <w:rPr>
                <w:rFonts w:hint="eastAsia"/>
                <w:bCs/>
                <w:color w:val="auto"/>
                <w:kern w:val="0"/>
                <w:sz w:val="24"/>
                <w:szCs w:val="22"/>
                <w:highlight w:val="none"/>
                <w:lang w:eastAsia="zh-CN"/>
              </w:rPr>
              <w:t>锻压过程中产生的非甲烷总烃；开料、机加工过程中产生的金属粉尘</w:t>
            </w:r>
            <w:r>
              <w:rPr>
                <w:bCs/>
                <w:color w:val="auto"/>
                <w:kern w:val="0"/>
                <w:sz w:val="24"/>
                <w:szCs w:val="22"/>
                <w:highlight w:val="none"/>
              </w:rPr>
              <w:t>。</w:t>
            </w:r>
          </w:p>
          <w:p>
            <w:pPr>
              <w:spacing w:line="360" w:lineRule="auto"/>
              <w:ind w:firstLine="482" w:firstLineChars="200"/>
              <w:rPr>
                <w:rFonts w:hint="eastAsia" w:ascii="Times New Roman" w:hAnsi="Times New Roman"/>
                <w:b/>
                <w:bCs w:val="0"/>
                <w:color w:val="auto"/>
                <w:sz w:val="24"/>
                <w:szCs w:val="22"/>
                <w:highlight w:val="none"/>
              </w:rPr>
            </w:pPr>
            <w:r>
              <w:rPr>
                <w:rFonts w:hint="eastAsia" w:ascii="Times New Roman" w:hAnsi="Times New Roman"/>
                <w:b/>
                <w:bCs w:val="0"/>
                <w:color w:val="auto"/>
                <w:sz w:val="24"/>
                <w:szCs w:val="22"/>
                <w:highlight w:val="none"/>
              </w:rPr>
              <w:t>（1）</w:t>
            </w:r>
            <w:r>
              <w:rPr>
                <w:rFonts w:hint="eastAsia" w:ascii="Times New Roman" w:hAnsi="Times New Roman"/>
                <w:b/>
                <w:bCs w:val="0"/>
                <w:color w:val="auto"/>
                <w:sz w:val="24"/>
                <w:szCs w:val="22"/>
                <w:highlight w:val="none"/>
                <w:lang w:eastAsia="zh-CN"/>
              </w:rPr>
              <w:t>锻压过程中产生的</w:t>
            </w:r>
            <w:r>
              <w:rPr>
                <w:rFonts w:hint="eastAsia"/>
                <w:b/>
                <w:bCs w:val="0"/>
                <w:color w:val="auto"/>
                <w:sz w:val="24"/>
                <w:szCs w:val="22"/>
                <w:highlight w:val="none"/>
                <w:lang w:eastAsia="zh-CN"/>
              </w:rPr>
              <w:t>非甲烷总烃</w:t>
            </w:r>
          </w:p>
          <w:bookmarkEnd w:id="72"/>
          <w:bookmarkEnd w:id="73"/>
          <w:p>
            <w:pPr>
              <w:spacing w:line="360" w:lineRule="auto"/>
              <w:ind w:firstLine="480" w:firstLineChars="200"/>
              <w:rPr>
                <w:rFonts w:hint="eastAsia"/>
                <w:color w:val="auto"/>
                <w:sz w:val="24"/>
                <w:highlight w:val="none"/>
              </w:rPr>
            </w:pPr>
            <w:r>
              <w:rPr>
                <w:rFonts w:hint="eastAsia" w:cs="Times New Roman"/>
                <w:b w:val="0"/>
                <w:bCs w:val="0"/>
                <w:color w:val="auto"/>
                <w:kern w:val="0"/>
                <w:sz w:val="24"/>
                <w:szCs w:val="24"/>
                <w:highlight w:val="none"/>
                <w:lang w:val="en-US" w:eastAsia="zh-CN" w:bidi="ar-SA"/>
              </w:rPr>
              <w:t>根据工程分析，锻压工序产生的</w:t>
            </w:r>
            <w:r>
              <w:rPr>
                <w:color w:val="auto"/>
                <w:sz w:val="24"/>
                <w:highlight w:val="none"/>
              </w:rPr>
              <w:t>非甲烷总烃</w:t>
            </w:r>
            <w:r>
              <w:rPr>
                <w:rFonts w:hint="eastAsia"/>
                <w:color w:val="auto"/>
                <w:sz w:val="24"/>
                <w:highlight w:val="none"/>
                <w:lang w:eastAsia="zh-CN"/>
              </w:rPr>
              <w:t>经过</w:t>
            </w:r>
            <w:r>
              <w:rPr>
                <w:rFonts w:hint="eastAsia" w:ascii="Times New Roman" w:hAnsi="Times New Roman" w:cs="Times New Roman"/>
                <w:color w:val="auto"/>
                <w:sz w:val="24"/>
                <w:highlight w:val="none"/>
                <w:lang w:eastAsia="zh-CN"/>
              </w:rPr>
              <w:t>水喷淋塔</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低温等离子油烟净化器处理</w:t>
            </w:r>
            <w:r>
              <w:rPr>
                <w:rFonts w:hint="eastAsia" w:cs="Times New Roman"/>
                <w:color w:val="auto"/>
                <w:sz w:val="24"/>
                <w:highlight w:val="none"/>
                <w:lang w:eastAsia="zh-CN"/>
              </w:rPr>
              <w:t>后，</w:t>
            </w:r>
            <w:r>
              <w:rPr>
                <w:rFonts w:hint="eastAsia"/>
                <w:color w:val="auto"/>
                <w:sz w:val="24"/>
                <w:highlight w:val="none"/>
              </w:rPr>
              <w:t>有组织</w:t>
            </w:r>
            <w:r>
              <w:rPr>
                <w:color w:val="auto"/>
                <w:sz w:val="24"/>
                <w:highlight w:val="none"/>
              </w:rPr>
              <w:t>排放浓度</w:t>
            </w:r>
            <w:r>
              <w:rPr>
                <w:rFonts w:hint="eastAsia"/>
                <w:color w:val="auto"/>
                <w:sz w:val="24"/>
                <w:highlight w:val="none"/>
                <w:lang w:eastAsia="zh-CN"/>
              </w:rPr>
              <w:t>为</w:t>
            </w:r>
            <w:r>
              <w:rPr>
                <w:rFonts w:hint="eastAsia"/>
                <w:color w:val="auto"/>
                <w:sz w:val="24"/>
                <w:highlight w:val="none"/>
                <w:lang w:val="en-US" w:eastAsia="zh-CN"/>
              </w:rPr>
              <w:t>0.148</w:t>
            </w:r>
            <w:r>
              <w:rPr>
                <w:b w:val="0"/>
                <w:bCs/>
                <w:color w:val="auto"/>
                <w:sz w:val="24"/>
                <w:szCs w:val="24"/>
                <w:highlight w:val="none"/>
              </w:rPr>
              <w:t>mg/m³</w:t>
            </w:r>
            <w:r>
              <w:rPr>
                <w:rFonts w:hint="eastAsia"/>
                <w:color w:val="auto"/>
                <w:sz w:val="24"/>
                <w:highlight w:val="none"/>
              </w:rPr>
              <w:t>，</w:t>
            </w:r>
            <w:r>
              <w:rPr>
                <w:color w:val="auto"/>
                <w:sz w:val="24"/>
                <w:highlight w:val="none"/>
              </w:rPr>
              <w:t>排放速率</w:t>
            </w:r>
            <w:r>
              <w:rPr>
                <w:rFonts w:hint="eastAsia"/>
                <w:color w:val="auto"/>
                <w:sz w:val="24"/>
                <w:highlight w:val="none"/>
                <w:lang w:eastAsia="zh-CN"/>
              </w:rPr>
              <w:t>为</w:t>
            </w:r>
            <w:r>
              <w:rPr>
                <w:rFonts w:hint="eastAsia"/>
                <w:color w:val="auto"/>
                <w:sz w:val="24"/>
                <w:highlight w:val="none"/>
                <w:lang w:val="en-US" w:eastAsia="zh-CN"/>
              </w:rPr>
              <w:t>0.001kg/h，排放量为0.003t/a；无组织</w:t>
            </w:r>
            <w:r>
              <w:rPr>
                <w:color w:val="auto"/>
                <w:sz w:val="24"/>
                <w:highlight w:val="none"/>
              </w:rPr>
              <w:t>排放速率</w:t>
            </w:r>
            <w:r>
              <w:rPr>
                <w:rFonts w:hint="eastAsia"/>
                <w:color w:val="auto"/>
                <w:sz w:val="24"/>
                <w:highlight w:val="none"/>
                <w:lang w:eastAsia="zh-CN"/>
              </w:rPr>
              <w:t>为</w:t>
            </w:r>
            <w:r>
              <w:rPr>
                <w:rFonts w:hint="eastAsia"/>
                <w:color w:val="auto"/>
                <w:sz w:val="24"/>
                <w:highlight w:val="none"/>
                <w:lang w:val="en-US" w:eastAsia="zh-CN"/>
              </w:rPr>
              <w:t>0.002kg/h，排放量为0.004t/a</w:t>
            </w:r>
            <w:r>
              <w:rPr>
                <w:rFonts w:hint="eastAsia" w:hAnsi="宋体"/>
                <w:color w:val="auto"/>
                <w:sz w:val="24"/>
                <w:highlight w:val="none"/>
                <w:lang w:val="en-US" w:eastAsia="zh-CN"/>
              </w:rPr>
              <w:t>，</w:t>
            </w:r>
            <w:r>
              <w:rPr>
                <w:rFonts w:hint="eastAsia"/>
                <w:color w:val="auto"/>
                <w:kern w:val="0"/>
                <w:sz w:val="24"/>
                <w:highlight w:val="none"/>
                <w:lang w:eastAsia="zh-CN"/>
              </w:rPr>
              <w:t>可以达到</w:t>
            </w:r>
            <w:r>
              <w:rPr>
                <w:color w:val="auto"/>
                <w:sz w:val="24"/>
                <w:highlight w:val="none"/>
              </w:rPr>
              <w:t>广东省地方标准《大气污染物排放限值》（DB44/27-2001）中第二时段二级标准</w:t>
            </w:r>
            <w:r>
              <w:rPr>
                <w:rFonts w:hint="eastAsia" w:ascii="Times New Roman" w:hAnsi="Times New Roman" w:cs="Times New Roman"/>
                <w:color w:val="auto"/>
                <w:sz w:val="24"/>
                <w:highlight w:val="none"/>
                <w:u w:val="none"/>
                <w:lang w:val="en-US" w:eastAsia="zh-CN"/>
              </w:rPr>
              <w:t>和</w:t>
            </w:r>
            <w:r>
              <w:rPr>
                <w:color w:val="auto"/>
                <w:sz w:val="24"/>
                <w:highlight w:val="none"/>
              </w:rPr>
              <w:t>第二时段无组织排放监控浓度限值</w:t>
            </w:r>
            <w:r>
              <w:rPr>
                <w:rFonts w:hint="eastAsia" w:ascii="Times New Roman" w:hAnsi="Times New Roman" w:cs="Times New Roman"/>
                <w:color w:val="auto"/>
                <w:sz w:val="24"/>
                <w:highlight w:val="none"/>
                <w:u w:val="none"/>
                <w:lang w:val="en-US" w:eastAsia="zh-CN"/>
              </w:rPr>
              <w:t>，</w:t>
            </w:r>
            <w:r>
              <w:rPr>
                <w:rFonts w:hint="eastAsia"/>
                <w:color w:val="auto"/>
                <w:sz w:val="24"/>
                <w:highlight w:val="none"/>
              </w:rPr>
              <w:t>对周围环境影响较小。</w:t>
            </w:r>
          </w:p>
          <w:p>
            <w:pPr>
              <w:autoSpaceDE w:val="0"/>
              <w:autoSpaceDN w:val="0"/>
              <w:adjustRightInd w:val="0"/>
              <w:spacing w:line="360" w:lineRule="auto"/>
              <w:ind w:firstLine="482" w:firstLineChars="200"/>
              <w:jc w:val="left"/>
              <w:rPr>
                <w:rFonts w:hint="eastAsia"/>
                <w:b/>
                <w:bCs w:val="0"/>
                <w:color w:val="auto"/>
                <w:kern w:val="0"/>
                <w:sz w:val="24"/>
                <w:szCs w:val="24"/>
                <w:highlight w:val="none"/>
              </w:rPr>
            </w:pPr>
            <w:r>
              <w:rPr>
                <w:rFonts w:hint="eastAsia"/>
                <w:b/>
                <w:bCs w:val="0"/>
                <w:color w:val="auto"/>
                <w:kern w:val="0"/>
                <w:sz w:val="24"/>
                <w:szCs w:val="22"/>
                <w:highlight w:val="none"/>
                <w:lang w:eastAsia="zh-CN"/>
              </w:rPr>
              <w:t>（</w:t>
            </w:r>
            <w:r>
              <w:rPr>
                <w:rFonts w:hint="eastAsia"/>
                <w:b/>
                <w:bCs w:val="0"/>
                <w:color w:val="auto"/>
                <w:kern w:val="0"/>
                <w:sz w:val="24"/>
                <w:szCs w:val="22"/>
                <w:highlight w:val="none"/>
                <w:lang w:val="en-US" w:eastAsia="zh-CN"/>
              </w:rPr>
              <w:t>2</w:t>
            </w:r>
            <w:r>
              <w:rPr>
                <w:rFonts w:hint="eastAsia"/>
                <w:b/>
                <w:bCs w:val="0"/>
                <w:color w:val="auto"/>
                <w:kern w:val="0"/>
                <w:sz w:val="24"/>
                <w:szCs w:val="22"/>
                <w:highlight w:val="none"/>
                <w:lang w:eastAsia="zh-CN"/>
              </w:rPr>
              <w:t>）</w:t>
            </w:r>
            <w:r>
              <w:rPr>
                <w:rFonts w:hint="eastAsia"/>
                <w:b/>
                <w:bCs w:val="0"/>
                <w:color w:val="auto"/>
                <w:kern w:val="0"/>
                <w:sz w:val="24"/>
                <w:szCs w:val="24"/>
                <w:highlight w:val="none"/>
              </w:rPr>
              <w:t>燃料废气</w:t>
            </w:r>
          </w:p>
          <w:p>
            <w:pPr>
              <w:pStyle w:val="19"/>
              <w:spacing w:line="360" w:lineRule="auto"/>
              <w:ind w:firstLine="480" w:firstLineChars="200"/>
              <w:rPr>
                <w:rFonts w:hint="eastAsia"/>
                <w:b w:val="0"/>
                <w:bCs w:val="0"/>
                <w:color w:val="auto"/>
                <w:kern w:val="0"/>
                <w:sz w:val="24"/>
                <w:szCs w:val="24"/>
                <w:highlight w:val="none"/>
                <w:lang w:eastAsia="zh-CN"/>
              </w:rPr>
            </w:pPr>
            <w:r>
              <w:rPr>
                <w:rFonts w:hint="eastAsia"/>
                <w:b w:val="0"/>
                <w:bCs w:val="0"/>
                <w:color w:val="auto"/>
                <w:kern w:val="0"/>
                <w:sz w:val="24"/>
                <w:szCs w:val="24"/>
                <w:highlight w:val="none"/>
                <w:lang w:eastAsia="zh-CN"/>
              </w:rPr>
              <w:t>根据工程分析，</w:t>
            </w:r>
            <w:r>
              <w:rPr>
                <w:rFonts w:hint="eastAsia" w:ascii="宋体" w:hAnsi="Times New Roman" w:eastAsia="宋体" w:cs="Times New Roman"/>
                <w:color w:val="auto"/>
                <w:kern w:val="2"/>
                <w:sz w:val="24"/>
                <w:szCs w:val="24"/>
                <w:highlight w:val="none"/>
                <w:lang w:val="en-US" w:eastAsia="zh-CN" w:bidi="ar-SA"/>
              </w:rPr>
              <w:t>天然气</w:t>
            </w:r>
            <w:r>
              <w:rPr>
                <w:rFonts w:hint="eastAsia" w:ascii="宋体" w:hAnsi="宋体" w:eastAsia="宋体" w:cs="Times New Roman"/>
                <w:color w:val="auto"/>
                <w:kern w:val="2"/>
                <w:sz w:val="24"/>
                <w:szCs w:val="24"/>
                <w:highlight w:val="none"/>
                <w:lang w:val="en-US" w:eastAsia="zh-CN" w:bidi="ar-SA"/>
              </w:rPr>
              <w:t>属于清洁能源，</w:t>
            </w:r>
            <w:r>
              <w:rPr>
                <w:rFonts w:ascii="宋体" w:hAnsi="宋体" w:eastAsia="宋体" w:cs="Times New Roman"/>
                <w:color w:val="auto"/>
                <w:kern w:val="2"/>
                <w:sz w:val="24"/>
                <w:szCs w:val="24"/>
                <w:highlight w:val="none"/>
                <w:lang w:val="en-US" w:eastAsia="zh-CN" w:bidi="ar-SA"/>
              </w:rPr>
              <w:t>其燃烧产生的大气污染物排放量较低，</w:t>
            </w:r>
            <w:r>
              <w:rPr>
                <w:rFonts w:hint="eastAsia" w:ascii="宋体" w:hAnsi="宋体" w:eastAsia="宋体" w:cs="Times New Roman"/>
                <w:color w:val="auto"/>
                <w:kern w:val="2"/>
                <w:sz w:val="24"/>
                <w:szCs w:val="24"/>
                <w:highlight w:val="none"/>
                <w:lang w:val="en-US" w:eastAsia="zh-CN" w:bidi="ar-SA"/>
              </w:rPr>
              <w:t>拟设</w:t>
            </w:r>
            <w:r>
              <w:rPr>
                <w:rFonts w:ascii="宋体" w:hAnsi="宋体" w:eastAsia="宋体" w:cs="Times New Roman"/>
                <w:color w:val="auto"/>
                <w:kern w:val="2"/>
                <w:sz w:val="24"/>
                <w:szCs w:val="24"/>
                <w:highlight w:val="none"/>
                <w:lang w:val="en-US" w:eastAsia="zh-CN" w:bidi="ar-SA"/>
              </w:rPr>
              <w:t>集气装置收集后引至楼顶高空排放</w:t>
            </w:r>
            <w:r>
              <w:rPr>
                <w:rFonts w:hint="eastAsia" w:ascii="宋体" w:hAnsi="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rPr>
              <w:t>根据上表可知项目SO</w:t>
            </w:r>
            <w:r>
              <w:rPr>
                <w:rFonts w:ascii="Times New Roman" w:hAnsi="Times New Roman" w:eastAsia="宋体" w:cs="Times New Roman"/>
                <w:color w:val="auto"/>
                <w:kern w:val="2"/>
                <w:sz w:val="24"/>
                <w:szCs w:val="24"/>
                <w:highlight w:val="none"/>
                <w:vertAlign w:val="subscript"/>
              </w:rPr>
              <w:t>2</w:t>
            </w:r>
            <w:r>
              <w:rPr>
                <w:rFonts w:ascii="Times New Roman" w:hAnsi="宋体"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NOx</w:t>
            </w:r>
            <w:r>
              <w:rPr>
                <w:rFonts w:hint="eastAsia" w:ascii="Times New Roman" w:hAnsi="Times New Roman" w:eastAsia="宋体" w:cs="Times New Roman"/>
                <w:color w:val="auto"/>
                <w:kern w:val="2"/>
                <w:sz w:val="24"/>
                <w:szCs w:val="24"/>
                <w:highlight w:val="none"/>
              </w:rPr>
              <w:t>有组织</w:t>
            </w:r>
            <w:r>
              <w:rPr>
                <w:rFonts w:ascii="Times New Roman" w:hAnsi="宋体" w:eastAsia="宋体" w:cs="Times New Roman"/>
                <w:color w:val="auto"/>
                <w:kern w:val="2"/>
                <w:sz w:val="24"/>
                <w:szCs w:val="24"/>
                <w:highlight w:val="none"/>
              </w:rPr>
              <w:t>排放浓度</w:t>
            </w:r>
            <w:r>
              <w:rPr>
                <w:rFonts w:hint="eastAsia" w:ascii="Times New Roman" w:hAnsi="宋体" w:eastAsia="宋体" w:cs="Times New Roman"/>
                <w:color w:val="auto"/>
                <w:kern w:val="2"/>
                <w:sz w:val="24"/>
                <w:szCs w:val="24"/>
                <w:highlight w:val="none"/>
              </w:rPr>
              <w:t>和排放速率可以达到广东省</w:t>
            </w:r>
            <w:r>
              <w:rPr>
                <w:rFonts w:hint="eastAsia" w:hAnsi="宋体" w:cs="Times New Roman"/>
                <w:color w:val="auto"/>
                <w:kern w:val="2"/>
                <w:sz w:val="24"/>
                <w:szCs w:val="24"/>
                <w:highlight w:val="none"/>
                <w:lang w:eastAsia="zh-CN"/>
              </w:rPr>
              <w:t>地方标准</w:t>
            </w:r>
            <w:r>
              <w:rPr>
                <w:rFonts w:hint="eastAsia" w:ascii="Times New Roman" w:hAnsi="宋体" w:eastAsia="宋体" w:cs="Times New Roman"/>
                <w:color w:val="auto"/>
                <w:kern w:val="2"/>
                <w:sz w:val="24"/>
                <w:szCs w:val="24"/>
                <w:highlight w:val="none"/>
              </w:rPr>
              <w:t>《大气污染物排放限值》（DB44/27－2001）第二时段二级标准</w:t>
            </w:r>
            <w:r>
              <w:rPr>
                <w:rFonts w:hint="eastAsia" w:hAnsi="宋体" w:cs="Times New Roman"/>
                <w:color w:val="auto"/>
                <w:kern w:val="2"/>
                <w:sz w:val="24"/>
                <w:szCs w:val="24"/>
                <w:highlight w:val="none"/>
                <w:lang w:eastAsia="zh-CN"/>
              </w:rPr>
              <w:t>；</w:t>
            </w:r>
            <w:r>
              <w:rPr>
                <w:rFonts w:hint="eastAsia" w:cs="Times New Roman"/>
                <w:color w:val="auto"/>
                <w:kern w:val="2"/>
                <w:sz w:val="24"/>
                <w:szCs w:val="24"/>
                <w:highlight w:val="none"/>
                <w:lang w:eastAsia="zh-CN"/>
              </w:rPr>
              <w:t>烟尘有组织排放浓度可以达到《工业炉窑大气污染物排放标准》表2“金属压延、锻造加热炉”二级标准</w:t>
            </w:r>
            <w:r>
              <w:rPr>
                <w:rFonts w:hint="eastAsia" w:hAnsi="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对周围环境影响较小。</w:t>
            </w:r>
          </w:p>
          <w:p>
            <w:pPr>
              <w:autoSpaceDE w:val="0"/>
              <w:autoSpaceDN w:val="0"/>
              <w:adjustRightInd w:val="0"/>
              <w:spacing w:line="360" w:lineRule="auto"/>
              <w:ind w:firstLine="482" w:firstLineChars="200"/>
              <w:jc w:val="left"/>
              <w:rPr>
                <w:rFonts w:ascii="Times New Roman" w:hAnsi="Times New Roman"/>
                <w:b/>
                <w:bCs w:val="0"/>
                <w:color w:val="auto"/>
                <w:kern w:val="0"/>
                <w:sz w:val="24"/>
                <w:highlight w:val="none"/>
              </w:rPr>
            </w:pPr>
            <w:r>
              <w:rPr>
                <w:rFonts w:hint="eastAsia" w:ascii="Times New Roman" w:hAnsi="Times New Roman"/>
                <w:b/>
                <w:bCs w:val="0"/>
                <w:color w:val="auto"/>
                <w:kern w:val="0"/>
                <w:sz w:val="24"/>
                <w:highlight w:val="none"/>
              </w:rPr>
              <w:t>（</w:t>
            </w:r>
            <w:r>
              <w:rPr>
                <w:rFonts w:hint="eastAsia"/>
                <w:b/>
                <w:bCs w:val="0"/>
                <w:color w:val="auto"/>
                <w:kern w:val="0"/>
                <w:sz w:val="24"/>
                <w:szCs w:val="22"/>
                <w:highlight w:val="none"/>
                <w:lang w:val="en-US" w:eastAsia="zh-CN"/>
              </w:rPr>
              <w:t>3</w:t>
            </w:r>
            <w:r>
              <w:rPr>
                <w:rFonts w:hint="eastAsia" w:ascii="Times New Roman" w:hAnsi="Times New Roman"/>
                <w:b/>
                <w:bCs w:val="0"/>
                <w:color w:val="auto"/>
                <w:kern w:val="0"/>
                <w:sz w:val="24"/>
                <w:szCs w:val="22"/>
                <w:highlight w:val="none"/>
              </w:rPr>
              <w:t>）</w:t>
            </w:r>
            <w:r>
              <w:rPr>
                <w:rFonts w:hint="eastAsia" w:ascii="Times New Roman" w:hAnsi="Times New Roman"/>
                <w:b/>
                <w:bCs w:val="0"/>
                <w:color w:val="auto"/>
                <w:kern w:val="0"/>
                <w:sz w:val="24"/>
                <w:szCs w:val="22"/>
                <w:highlight w:val="none"/>
                <w:lang w:eastAsia="zh-CN"/>
              </w:rPr>
              <w:t>开料、机加工过程中产生的金属粉尘</w:t>
            </w:r>
          </w:p>
          <w:p>
            <w:pPr>
              <w:pStyle w:val="19"/>
              <w:spacing w:line="360" w:lineRule="auto"/>
              <w:ind w:firstLine="480" w:firstLineChars="200"/>
              <w:rPr>
                <w:rFonts w:hint="default"/>
                <w:bCs/>
                <w:color w:val="auto"/>
                <w:kern w:val="0"/>
                <w:sz w:val="24"/>
                <w:szCs w:val="24"/>
                <w:highlight w:val="none"/>
                <w:lang w:val="en-US"/>
              </w:rPr>
            </w:pPr>
            <w:r>
              <w:rPr>
                <w:rFonts w:hint="eastAsia"/>
                <w:color w:val="auto"/>
                <w:sz w:val="24"/>
                <w:highlight w:val="none"/>
                <w:lang w:eastAsia="zh-CN"/>
              </w:rPr>
              <w:t>根据工程分析</w:t>
            </w:r>
            <w:r>
              <w:rPr>
                <w:rFonts w:hint="eastAsia" w:cs="Times New Roman"/>
                <w:b w:val="0"/>
                <w:bCs w:val="0"/>
                <w:color w:val="auto"/>
                <w:kern w:val="0"/>
                <w:sz w:val="24"/>
                <w:szCs w:val="24"/>
                <w:highlight w:val="none"/>
                <w:lang w:val="en-US" w:eastAsia="zh-CN" w:bidi="ar-SA"/>
              </w:rPr>
              <w:t>，项目</w:t>
            </w:r>
            <w:r>
              <w:rPr>
                <w:rFonts w:hint="eastAsia" w:ascii="Times New Roman" w:hAnsi="Times New Roman"/>
                <w:b w:val="0"/>
                <w:bCs w:val="0"/>
                <w:color w:val="auto"/>
                <w:kern w:val="0"/>
                <w:sz w:val="24"/>
                <w:szCs w:val="22"/>
                <w:highlight w:val="none"/>
                <w:lang w:eastAsia="zh-CN"/>
              </w:rPr>
              <w:t>开料、机加工过程中产生的金属粉尘</w:t>
            </w:r>
            <w:r>
              <w:rPr>
                <w:rFonts w:hint="eastAsia"/>
                <w:b w:val="0"/>
                <w:bCs w:val="0"/>
                <w:color w:val="auto"/>
                <w:sz w:val="24"/>
                <w:szCs w:val="22"/>
                <w:highlight w:val="none"/>
                <w:lang w:val="en-US" w:eastAsia="zh-CN"/>
              </w:rPr>
              <w:t>无组织排放量为0.0053t/a，无组织排放速率为0.002kg/h，可达到</w:t>
            </w:r>
            <w:r>
              <w:rPr>
                <w:rFonts w:hint="eastAsia"/>
                <w:b w:val="0"/>
                <w:bCs w:val="0"/>
                <w:color w:val="auto"/>
                <w:kern w:val="0"/>
                <w:sz w:val="24"/>
                <w:szCs w:val="24"/>
                <w:highlight w:val="none"/>
                <w:lang w:val="en-US" w:eastAsia="zh-CN"/>
              </w:rPr>
              <w:t>广东省地方标准《大气污染物排放限值》（DB44/27-2001）第二时段无组织排放监控浓度限值的要求。</w:t>
            </w:r>
          </w:p>
          <w:p>
            <w:pPr>
              <w:pStyle w:val="19"/>
              <w:numPr>
                <w:ilvl w:val="0"/>
                <w:numId w:val="5"/>
              </w:num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大气评价等级及评价范围确定</w:t>
            </w:r>
          </w:p>
          <w:p>
            <w:pPr>
              <w:spacing w:line="360" w:lineRule="auto"/>
              <w:ind w:firstLine="480" w:firstLineChars="200"/>
              <w:rPr>
                <w:rFonts w:hint="eastAsia" w:ascii="Times New Roman" w:hAnsi="Times New Roman" w:eastAsia="宋体"/>
                <w:bCs/>
                <w:color w:val="auto"/>
                <w:sz w:val="24"/>
                <w:highlight w:val="none"/>
                <w:lang w:eastAsia="zh-CN"/>
              </w:rPr>
            </w:pPr>
            <w:r>
              <w:rPr>
                <w:rFonts w:hint="eastAsia" w:ascii="Times New Roman" w:hAnsi="Times New Roman"/>
                <w:bCs/>
                <w:color w:val="auto"/>
                <w:sz w:val="24"/>
                <w:highlight w:val="none"/>
              </w:rPr>
              <w:fldChar w:fldCharType="begin"/>
            </w:r>
            <w:r>
              <w:rPr>
                <w:rFonts w:hint="eastAsia" w:ascii="Times New Roman" w:hAnsi="Times New Roman"/>
                <w:bCs/>
                <w:color w:val="auto"/>
                <w:sz w:val="24"/>
                <w:highlight w:val="none"/>
              </w:rPr>
              <w:instrText xml:space="preserve"> = 1 \* GB3 \* MERGEFORMAT </w:instrText>
            </w:r>
            <w:r>
              <w:rPr>
                <w:rFonts w:hint="eastAsia" w:ascii="Times New Roman" w:hAnsi="Times New Roman"/>
                <w:bCs/>
                <w:color w:val="auto"/>
                <w:sz w:val="24"/>
                <w:highlight w:val="none"/>
              </w:rPr>
              <w:fldChar w:fldCharType="separate"/>
            </w:r>
            <w:r>
              <w:rPr>
                <w:rFonts w:hint="eastAsia" w:ascii="Times New Roman" w:hAnsi="Times New Roman"/>
                <w:bCs/>
                <w:color w:val="auto"/>
                <w:sz w:val="24"/>
                <w:highlight w:val="none"/>
              </w:rPr>
              <w:t>①</w:t>
            </w:r>
            <w:r>
              <w:rPr>
                <w:rFonts w:hint="eastAsia" w:ascii="Times New Roman" w:hAnsi="Times New Roman"/>
                <w:bCs/>
                <w:color w:val="auto"/>
                <w:sz w:val="24"/>
                <w:highlight w:val="none"/>
              </w:rPr>
              <w:fldChar w:fldCharType="end"/>
            </w:r>
            <w:r>
              <w:rPr>
                <w:rFonts w:hint="eastAsia" w:ascii="Times New Roman" w:hAnsi="Times New Roman"/>
                <w:bCs/>
                <w:color w:val="auto"/>
                <w:sz w:val="24"/>
                <w:highlight w:val="none"/>
              </w:rPr>
              <w:t>评价因子和评价标准表详见表</w:t>
            </w:r>
            <w:r>
              <w:rPr>
                <w:rFonts w:ascii="Times New Roman" w:hAnsi="Times New Roman"/>
                <w:bCs/>
                <w:color w:val="auto"/>
                <w:sz w:val="24"/>
                <w:highlight w:val="none"/>
              </w:rPr>
              <w:t>7-</w:t>
            </w:r>
            <w:r>
              <w:rPr>
                <w:rFonts w:hint="eastAsia" w:ascii="Times New Roman" w:hAnsi="Times New Roman"/>
                <w:bCs/>
                <w:color w:val="auto"/>
                <w:sz w:val="24"/>
                <w:highlight w:val="none"/>
                <w:lang w:val="en-US" w:eastAsia="zh-CN"/>
              </w:rPr>
              <w:t>6</w:t>
            </w:r>
            <w:r>
              <w:rPr>
                <w:rFonts w:hint="eastAsia" w:ascii="Times New Roman" w:hAnsi="Times New Roman"/>
                <w:bCs/>
                <w:color w:val="auto"/>
                <w:sz w:val="24"/>
                <w:highlight w:val="none"/>
                <w:lang w:eastAsia="zh-CN"/>
              </w:rPr>
              <w:t>。</w:t>
            </w:r>
          </w:p>
          <w:p>
            <w:pPr>
              <w:spacing w:line="276" w:lineRule="auto"/>
              <w:ind w:firstLine="422" w:firstLineChars="200"/>
              <w:jc w:val="center"/>
              <w:rPr>
                <w:rFonts w:ascii="Times New Roman" w:hAnsi="Times New Roman"/>
                <w:b/>
                <w:bCs/>
                <w:color w:val="auto"/>
                <w:szCs w:val="21"/>
                <w:highlight w:val="none"/>
              </w:rPr>
            </w:pPr>
            <w:r>
              <w:rPr>
                <w:rFonts w:hint="eastAsia" w:ascii="Times New Roman" w:hAnsi="Times New Roman"/>
                <w:b/>
                <w:bCs/>
                <w:color w:val="auto"/>
                <w:szCs w:val="21"/>
                <w:highlight w:val="none"/>
              </w:rPr>
              <w:t>表</w:t>
            </w:r>
            <w:r>
              <w:rPr>
                <w:rFonts w:ascii="Times New Roman" w:hAnsi="Times New Roman"/>
                <w:b/>
                <w:bCs/>
                <w:color w:val="auto"/>
                <w:szCs w:val="21"/>
                <w:highlight w:val="none"/>
              </w:rPr>
              <w:t>7-</w:t>
            </w:r>
            <w:r>
              <w:rPr>
                <w:rFonts w:hint="eastAsia" w:ascii="Times New Roman" w:hAnsi="Times New Roman"/>
                <w:b/>
                <w:bCs/>
                <w:color w:val="auto"/>
                <w:szCs w:val="21"/>
                <w:highlight w:val="none"/>
                <w:lang w:val="en-US" w:eastAsia="zh-CN"/>
              </w:rPr>
              <w:t>6</w:t>
            </w:r>
            <w:r>
              <w:rPr>
                <w:rFonts w:ascii="Times New Roman" w:hAnsi="Times New Roman"/>
                <w:b/>
                <w:bCs/>
                <w:color w:val="auto"/>
                <w:szCs w:val="21"/>
                <w:highlight w:val="none"/>
              </w:rPr>
              <w:t xml:space="preserve"> </w:t>
            </w:r>
            <w:r>
              <w:rPr>
                <w:rFonts w:hint="eastAsia" w:ascii="Times New Roman" w:hAnsi="Times New Roman"/>
                <w:b/>
                <w:bCs/>
                <w:color w:val="auto"/>
                <w:szCs w:val="21"/>
                <w:highlight w:val="none"/>
              </w:rPr>
              <w:t>评价因子和评价标准表</w:t>
            </w:r>
          </w:p>
          <w:tbl>
            <w:tblPr>
              <w:tblStyle w:val="35"/>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064"/>
              <w:gridCol w:w="1111"/>
              <w:gridCol w:w="1103"/>
              <w:gridCol w:w="1107"/>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358"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评价因子</w:t>
                  </w:r>
                </w:p>
              </w:tc>
              <w:tc>
                <w:tcPr>
                  <w:tcW w:w="1064"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平均时段</w:t>
                  </w:r>
                </w:p>
              </w:tc>
              <w:tc>
                <w:tcPr>
                  <w:tcW w:w="1111"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质量标准</w:t>
                  </w:r>
                </w:p>
              </w:tc>
              <w:tc>
                <w:tcPr>
                  <w:tcW w:w="1103"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折算倍数</w:t>
                  </w:r>
                </w:p>
              </w:tc>
              <w:tc>
                <w:tcPr>
                  <w:tcW w:w="1107"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评价标准</w:t>
                  </w:r>
                </w:p>
              </w:tc>
              <w:tc>
                <w:tcPr>
                  <w:tcW w:w="3295" w:type="dxa"/>
                  <w:vAlign w:val="center"/>
                </w:tcPr>
                <w:p>
                  <w:pPr>
                    <w:widowControl w:val="0"/>
                    <w:autoSpaceDE w:val="0"/>
                    <w:autoSpaceDN w:val="0"/>
                    <w:adjustRightInd w:val="0"/>
                    <w:spacing w:line="240" w:lineRule="auto"/>
                    <w:jc w:val="center"/>
                    <w:rPr>
                      <w:rFonts w:ascii="Times New Roman" w:hAnsi="Times New Roman" w:eastAsia="宋体" w:cs="Times New Roman"/>
                      <w:b/>
                      <w:bCs/>
                      <w:color w:val="auto"/>
                      <w:sz w:val="21"/>
                      <w:szCs w:val="16"/>
                      <w:highlight w:val="none"/>
                      <w:lang w:val="en-US" w:eastAsia="zh-CN" w:bidi="ar-SA"/>
                    </w:rPr>
                  </w:pPr>
                  <w:r>
                    <w:rPr>
                      <w:rFonts w:ascii="Times New Roman" w:hAnsi="Times New Roman" w:eastAsia="宋体" w:cs="Times New Roman"/>
                      <w:b/>
                      <w:bCs/>
                      <w:color w:val="auto"/>
                      <w:sz w:val="21"/>
                      <w:szCs w:val="16"/>
                      <w:highlight w:val="none"/>
                      <w:lang w:val="en-US" w:eastAsia="zh-CN" w:bidi="ar-S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58"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非甲烷总烃</w:t>
                  </w:r>
                </w:p>
              </w:tc>
              <w:tc>
                <w:tcPr>
                  <w:tcW w:w="1064"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w:t>
                  </w:r>
                </w:p>
              </w:tc>
              <w:tc>
                <w:tcPr>
                  <w:tcW w:w="1111"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2</w:t>
                  </w:r>
                </w:p>
              </w:tc>
              <w:tc>
                <w:tcPr>
                  <w:tcW w:w="1103"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w:t>
                  </w:r>
                </w:p>
              </w:tc>
              <w:tc>
                <w:tcPr>
                  <w:tcW w:w="1107"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2</w:t>
                  </w:r>
                </w:p>
              </w:tc>
              <w:tc>
                <w:tcPr>
                  <w:tcW w:w="3295" w:type="dxa"/>
                  <w:vAlign w:val="center"/>
                </w:tcPr>
                <w:p>
                  <w:pPr>
                    <w:widowControl w:val="0"/>
                    <w:autoSpaceDE w:val="0"/>
                    <w:autoSpaceDN w:val="0"/>
                    <w:adjustRightInd w:val="0"/>
                    <w:spacing w:line="240" w:lineRule="auto"/>
                    <w:jc w:val="center"/>
                    <w:rPr>
                      <w:rFonts w:ascii="Times New Roman" w:hAnsi="Times New Roman" w:eastAsia="宋体" w:cs="Times New Roman"/>
                      <w:color w:val="auto"/>
                      <w:sz w:val="21"/>
                      <w:szCs w:val="16"/>
                      <w:highlight w:val="none"/>
                      <w:lang w:val="en-US" w:eastAsia="zh-CN" w:bidi="ar-SA"/>
                    </w:rPr>
                  </w:pPr>
                  <w:r>
                    <w:rPr>
                      <w:rFonts w:ascii="Times New Roman" w:hAnsi="Times New Roman" w:eastAsia="宋体" w:cs="Times New Roman"/>
                      <w:color w:val="auto"/>
                      <w:sz w:val="21"/>
                      <w:szCs w:val="16"/>
                      <w:highlight w:val="none"/>
                      <w:lang w:val="en-US" w:eastAsia="zh-CN" w:bidi="ar-SA"/>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58"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SO</w:t>
                  </w:r>
                  <w:r>
                    <w:rPr>
                      <w:rFonts w:ascii="Times New Roman" w:hAnsi="Times New Roman" w:eastAsia="宋体" w:cs="Times New Roman"/>
                      <w:color w:val="auto"/>
                      <w:kern w:val="2"/>
                      <w:sz w:val="21"/>
                      <w:szCs w:val="21"/>
                      <w:highlight w:val="none"/>
                      <w:vertAlign w:val="subscript"/>
                      <w:lang w:val="en-US" w:eastAsia="zh-CN"/>
                    </w:rPr>
                    <w:t>2</w:t>
                  </w:r>
                </w:p>
              </w:tc>
              <w:tc>
                <w:tcPr>
                  <w:tcW w:w="1064"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1小时</w:t>
                  </w:r>
                </w:p>
              </w:tc>
              <w:tc>
                <w:tcPr>
                  <w:tcW w:w="1111"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0.5</w:t>
                  </w:r>
                </w:p>
              </w:tc>
              <w:tc>
                <w:tcPr>
                  <w:tcW w:w="1103"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w:t>
                  </w:r>
                </w:p>
              </w:tc>
              <w:tc>
                <w:tcPr>
                  <w:tcW w:w="1107"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0.5</w:t>
                  </w:r>
                </w:p>
              </w:tc>
              <w:tc>
                <w:tcPr>
                  <w:tcW w:w="3295" w:type="dxa"/>
                  <w:vMerge w:val="restart"/>
                  <w:vAlign w:val="center"/>
                </w:tcPr>
                <w:p>
                  <w:pPr>
                    <w:widowControl w:val="0"/>
                    <w:autoSpaceDE w:val="0"/>
                    <w:autoSpaceDN w:val="0"/>
                    <w:adjustRightInd w:val="0"/>
                    <w:spacing w:line="240" w:lineRule="auto"/>
                    <w:jc w:val="center"/>
                    <w:rPr>
                      <w:rFonts w:ascii="Times New Roman" w:hAnsi="Times New Roman" w:eastAsia="宋体" w:cs="Times New Roman"/>
                      <w:color w:val="auto"/>
                      <w:sz w:val="21"/>
                      <w:szCs w:val="16"/>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《环境空气质量标准》（GB3095-2012）及其2018年修改单</w:t>
                  </w:r>
                  <w:r>
                    <w:rPr>
                      <w:rFonts w:ascii="Times New Roman" w:hAnsi="Times New Roman" w:eastAsia="宋体" w:cs="Times New Roman"/>
                      <w:color w:val="auto"/>
                      <w:sz w:val="21"/>
                      <w:szCs w:val="21"/>
                      <w:highlight w:val="none"/>
                      <w:lang w:val="en-US" w:eastAsia="zh-CN" w:bidi="ar-SA"/>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58"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NO</w:t>
                  </w:r>
                  <w:r>
                    <w:rPr>
                      <w:rFonts w:ascii="Times New Roman" w:hAnsi="Times New Roman" w:eastAsia="宋体" w:cs="Times New Roman"/>
                      <w:color w:val="auto"/>
                      <w:kern w:val="2"/>
                      <w:sz w:val="21"/>
                      <w:szCs w:val="21"/>
                      <w:highlight w:val="none"/>
                      <w:vertAlign w:val="subscript"/>
                      <w:lang w:val="en-US" w:eastAsia="zh-CN"/>
                    </w:rPr>
                    <w:t>X</w:t>
                  </w:r>
                </w:p>
              </w:tc>
              <w:tc>
                <w:tcPr>
                  <w:tcW w:w="1064"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1小时</w:t>
                  </w:r>
                </w:p>
              </w:tc>
              <w:tc>
                <w:tcPr>
                  <w:tcW w:w="1111" w:type="dxa"/>
                  <w:vAlign w:val="center"/>
                </w:tcPr>
                <w:p>
                  <w:pPr>
                    <w:widowControl w:val="0"/>
                    <w:spacing w:after="0" w:line="36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0.25</w:t>
                  </w:r>
                </w:p>
              </w:tc>
              <w:tc>
                <w:tcPr>
                  <w:tcW w:w="1103"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w:t>
                  </w:r>
                </w:p>
              </w:tc>
              <w:tc>
                <w:tcPr>
                  <w:tcW w:w="1107" w:type="dxa"/>
                  <w:vAlign w:val="center"/>
                </w:tcPr>
                <w:p>
                  <w:pPr>
                    <w:widowControl w:val="0"/>
                    <w:spacing w:after="0" w:line="36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0.25</w:t>
                  </w:r>
                </w:p>
              </w:tc>
              <w:tc>
                <w:tcPr>
                  <w:tcW w:w="3295" w:type="dxa"/>
                  <w:vMerge w:val="continue"/>
                  <w:vAlign w:val="center"/>
                </w:tcPr>
                <w:p>
                  <w:pPr>
                    <w:widowControl w:val="0"/>
                    <w:autoSpaceDE w:val="0"/>
                    <w:autoSpaceDN w:val="0"/>
                    <w:adjustRightInd w:val="0"/>
                    <w:jc w:val="center"/>
                    <w:rPr>
                      <w:rFonts w:ascii="Times New Roman" w:hAnsi="Times New Roman" w:eastAsia="宋体" w:cs="Times New Roman"/>
                      <w:color w:val="auto"/>
                      <w:sz w:val="21"/>
                      <w:szCs w:val="16"/>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58"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PM</w:t>
                  </w:r>
                  <w:r>
                    <w:rPr>
                      <w:rFonts w:hint="eastAsia" w:ascii="Times New Roman" w:hAnsi="Times New Roman" w:eastAsia="宋体" w:cs="Times New Roman"/>
                      <w:color w:val="auto"/>
                      <w:kern w:val="2"/>
                      <w:sz w:val="21"/>
                      <w:szCs w:val="21"/>
                      <w:highlight w:val="none"/>
                      <w:vertAlign w:val="subscript"/>
                      <w:lang w:val="en-US" w:eastAsia="zh-CN"/>
                    </w:rPr>
                    <w:t>10</w:t>
                  </w:r>
                </w:p>
              </w:tc>
              <w:tc>
                <w:tcPr>
                  <w:tcW w:w="1064"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24</w:t>
                  </w:r>
                  <w:r>
                    <w:rPr>
                      <w:rFonts w:ascii="Times New Roman" w:hAnsi="Times New Roman" w:eastAsia="宋体" w:cs="Times New Roman"/>
                      <w:color w:val="auto"/>
                      <w:kern w:val="2"/>
                      <w:sz w:val="21"/>
                      <w:szCs w:val="21"/>
                      <w:highlight w:val="none"/>
                      <w:lang w:val="en-US" w:eastAsia="zh-CN"/>
                    </w:rPr>
                    <w:t>小时</w:t>
                  </w:r>
                </w:p>
              </w:tc>
              <w:tc>
                <w:tcPr>
                  <w:tcW w:w="1111"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0.15</w:t>
                  </w:r>
                </w:p>
              </w:tc>
              <w:tc>
                <w:tcPr>
                  <w:tcW w:w="1103"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3</w:t>
                  </w:r>
                </w:p>
              </w:tc>
              <w:tc>
                <w:tcPr>
                  <w:tcW w:w="1107"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0.45</w:t>
                  </w:r>
                </w:p>
              </w:tc>
              <w:tc>
                <w:tcPr>
                  <w:tcW w:w="3295" w:type="dxa"/>
                  <w:vMerge w:val="continue"/>
                  <w:vAlign w:val="center"/>
                </w:tcPr>
                <w:p>
                  <w:pPr>
                    <w:widowControl w:val="0"/>
                    <w:autoSpaceDE w:val="0"/>
                    <w:autoSpaceDN w:val="0"/>
                    <w:adjustRightInd w:val="0"/>
                    <w:jc w:val="center"/>
                    <w:rPr>
                      <w:rFonts w:ascii="Times New Roman" w:hAnsi="Times New Roman" w:eastAsia="宋体" w:cs="Times New Roman"/>
                      <w:color w:val="auto"/>
                      <w:sz w:val="21"/>
                      <w:szCs w:val="16"/>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58"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TSP</w:t>
                  </w:r>
                </w:p>
              </w:tc>
              <w:tc>
                <w:tcPr>
                  <w:tcW w:w="1064"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24小时</w:t>
                  </w:r>
                </w:p>
              </w:tc>
              <w:tc>
                <w:tcPr>
                  <w:tcW w:w="1111"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0.3</w:t>
                  </w:r>
                </w:p>
              </w:tc>
              <w:tc>
                <w:tcPr>
                  <w:tcW w:w="1103"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3</w:t>
                  </w:r>
                </w:p>
              </w:tc>
              <w:tc>
                <w:tcPr>
                  <w:tcW w:w="1107" w:type="dxa"/>
                  <w:vAlign w:val="center"/>
                </w:tcPr>
                <w:p>
                  <w:pPr>
                    <w:widowControl w:val="0"/>
                    <w:spacing w:after="0" w:line="360" w:lineRule="auto"/>
                    <w:jc w:val="center"/>
                    <w:rPr>
                      <w:rFonts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
                      <w:sz w:val="21"/>
                      <w:szCs w:val="21"/>
                      <w:highlight w:val="none"/>
                      <w:lang w:val="en-US" w:eastAsia="zh-CN"/>
                    </w:rPr>
                    <w:t>0.9</w:t>
                  </w:r>
                </w:p>
              </w:tc>
              <w:tc>
                <w:tcPr>
                  <w:tcW w:w="3295" w:type="dxa"/>
                  <w:vMerge w:val="continue"/>
                  <w:vAlign w:val="center"/>
                </w:tcPr>
                <w:p>
                  <w:pPr>
                    <w:widowControl w:val="0"/>
                    <w:autoSpaceDE w:val="0"/>
                    <w:autoSpaceDN w:val="0"/>
                    <w:adjustRightInd w:val="0"/>
                    <w:jc w:val="center"/>
                    <w:rPr>
                      <w:rFonts w:ascii="Times New Roman" w:hAnsi="Times New Roman" w:eastAsia="宋体" w:cs="Times New Roman"/>
                      <w:color w:val="auto"/>
                      <w:sz w:val="21"/>
                      <w:szCs w:val="16"/>
                      <w:highlight w:val="none"/>
                      <w:lang w:val="en-US" w:eastAsia="zh-CN" w:bidi="ar-SA"/>
                    </w:rPr>
                  </w:pPr>
                </w:p>
              </w:tc>
            </w:tr>
          </w:tbl>
          <w:p>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fldChar w:fldCharType="begin"/>
            </w:r>
            <w:r>
              <w:rPr>
                <w:rFonts w:hint="eastAsia" w:ascii="Times New Roman" w:hAnsi="Times New Roman"/>
                <w:color w:val="auto"/>
                <w:sz w:val="24"/>
                <w:highlight w:val="none"/>
              </w:rPr>
              <w:instrText xml:space="preserve"> = 2 \* GB3 \* MERGEFORMAT </w:instrText>
            </w:r>
            <w:r>
              <w:rPr>
                <w:rFonts w:hint="eastAsia" w:ascii="Times New Roman" w:hAnsi="Times New Roman"/>
                <w:color w:val="auto"/>
                <w:sz w:val="24"/>
                <w:highlight w:val="none"/>
              </w:rPr>
              <w:fldChar w:fldCharType="separate"/>
            </w:r>
            <w:r>
              <w:rPr>
                <w:rFonts w:hint="eastAsia" w:ascii="Times New Roman" w:hAnsi="Times New Roman"/>
                <w:color w:val="auto"/>
                <w:sz w:val="24"/>
                <w:highlight w:val="none"/>
              </w:rPr>
              <w:t>②</w:t>
            </w:r>
            <w:r>
              <w:rPr>
                <w:rFonts w:hint="eastAsia" w:ascii="Times New Roman" w:hAnsi="Times New Roman"/>
                <w:color w:val="auto"/>
                <w:sz w:val="24"/>
                <w:highlight w:val="none"/>
              </w:rPr>
              <w:fldChar w:fldCharType="end"/>
            </w:r>
            <w:r>
              <w:rPr>
                <w:rFonts w:hint="eastAsia" w:ascii="Times New Roman" w:hAnsi="Times New Roman"/>
                <w:color w:val="auto"/>
                <w:sz w:val="24"/>
                <w:highlight w:val="none"/>
              </w:rPr>
              <w:t>估算模式参数表</w:t>
            </w:r>
          </w:p>
          <w:p>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根据《环境影响评价技术导则</w:t>
            </w:r>
            <w:r>
              <w:rPr>
                <w:rFonts w:ascii="Times New Roman" w:hAnsi="Times New Roman"/>
                <w:color w:val="auto"/>
                <w:sz w:val="24"/>
                <w:highlight w:val="none"/>
              </w:rPr>
              <w:t xml:space="preserve"> </w:t>
            </w:r>
            <w:r>
              <w:rPr>
                <w:rFonts w:hint="eastAsia" w:ascii="Times New Roman" w:hAnsi="Times New Roman"/>
                <w:color w:val="auto"/>
                <w:sz w:val="24"/>
                <w:highlight w:val="none"/>
              </w:rPr>
              <w:t>大气环境》（</w:t>
            </w:r>
            <w:r>
              <w:rPr>
                <w:rFonts w:ascii="Times New Roman" w:hAnsi="Times New Roman"/>
                <w:color w:val="auto"/>
                <w:sz w:val="24"/>
                <w:highlight w:val="none"/>
              </w:rPr>
              <w:t>HJ2.2-2018</w:t>
            </w:r>
            <w:r>
              <w:rPr>
                <w:rFonts w:hint="eastAsia" w:ascii="Times New Roman" w:hAnsi="Times New Roman"/>
                <w:color w:val="auto"/>
                <w:sz w:val="24"/>
                <w:highlight w:val="none"/>
              </w:rPr>
              <w:t>），采用</w:t>
            </w:r>
            <w:r>
              <w:rPr>
                <w:rFonts w:ascii="Times New Roman" w:hAnsi="Times New Roman"/>
                <w:color w:val="auto"/>
                <w:sz w:val="24"/>
                <w:highlight w:val="none"/>
              </w:rPr>
              <w:t>AERCREEN</w:t>
            </w:r>
            <w:r>
              <w:rPr>
                <w:rFonts w:hint="eastAsia" w:ascii="Times New Roman" w:hAnsi="Times New Roman"/>
                <w:color w:val="auto"/>
                <w:sz w:val="24"/>
                <w:highlight w:val="none"/>
              </w:rPr>
              <w:t>估算模型进行等级评价，估算模型参数表如下：</w:t>
            </w:r>
          </w:p>
          <w:p>
            <w:pPr>
              <w:spacing w:line="240" w:lineRule="auto"/>
              <w:ind w:firstLine="422" w:firstLineChars="200"/>
              <w:jc w:val="center"/>
              <w:rPr>
                <w:rFonts w:ascii="Times New Roman" w:hAnsi="Times New Roman"/>
                <w:b/>
                <w:color w:val="auto"/>
                <w:szCs w:val="21"/>
                <w:highlight w:val="none"/>
              </w:rPr>
            </w:pPr>
            <w:r>
              <w:rPr>
                <w:rFonts w:hint="eastAsia" w:ascii="Times New Roman" w:hAnsi="Times New Roman"/>
                <w:b/>
                <w:color w:val="auto"/>
                <w:szCs w:val="21"/>
                <w:highlight w:val="none"/>
              </w:rPr>
              <w:t>表</w:t>
            </w:r>
            <w:r>
              <w:rPr>
                <w:rFonts w:ascii="Times New Roman" w:hAnsi="Times New Roman"/>
                <w:b/>
                <w:color w:val="auto"/>
                <w:szCs w:val="21"/>
                <w:highlight w:val="none"/>
              </w:rPr>
              <w:t>7-</w:t>
            </w:r>
            <w:r>
              <w:rPr>
                <w:rFonts w:hint="eastAsia" w:ascii="Times New Roman" w:hAnsi="Times New Roman"/>
                <w:b/>
                <w:color w:val="auto"/>
                <w:szCs w:val="21"/>
                <w:highlight w:val="none"/>
                <w:lang w:val="en-US" w:eastAsia="zh-CN"/>
              </w:rPr>
              <w:t>7</w:t>
            </w:r>
            <w:r>
              <w:rPr>
                <w:rFonts w:ascii="Times New Roman" w:hAnsi="Times New Roman"/>
                <w:b/>
                <w:color w:val="auto"/>
                <w:szCs w:val="21"/>
                <w:highlight w:val="none"/>
              </w:rPr>
              <w:t xml:space="preserve"> </w:t>
            </w:r>
            <w:r>
              <w:rPr>
                <w:rFonts w:hint="eastAsia" w:ascii="Times New Roman" w:hAnsi="Times New Roman"/>
                <w:b/>
                <w:color w:val="auto"/>
                <w:szCs w:val="21"/>
                <w:highlight w:val="none"/>
              </w:rPr>
              <w:t>估算模式参数表</w:t>
            </w:r>
          </w:p>
          <w:tbl>
            <w:tblPr>
              <w:tblStyle w:val="34"/>
              <w:tblW w:w="9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331"/>
              <w:gridCol w:w="4250"/>
              <w:gridCol w:w="24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87" w:hRule="atLeast"/>
                <w:jc w:val="center"/>
              </w:trPr>
              <w:tc>
                <w:tcPr>
                  <w:tcW w:w="6581" w:type="dxa"/>
                  <w:gridSpan w:val="2"/>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参数</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2331" w:type="dxa"/>
                  <w:vMerge w:val="restart"/>
                  <w:tcBorders>
                    <w:tl2br w:val="nil"/>
                    <w:tr2bl w:val="nil"/>
                  </w:tcBorders>
                  <w:shd w:val="clear" w:color="auto" w:fill="auto"/>
                  <w:vAlign w:val="center"/>
                </w:tcPr>
                <w:p>
                  <w:pPr>
                    <w:pStyle w:val="67"/>
                    <w:spacing w:before="24" w:after="24"/>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城市/农村选项</w:t>
                  </w: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城市/农村</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331"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sz w:val="21"/>
                      <w:szCs w:val="21"/>
                      <w:highlight w:val="none"/>
                    </w:rPr>
                  </w:pP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人口数（城市选项时）</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6581" w:type="dxa"/>
                  <w:gridSpan w:val="2"/>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最高环境温度/ ℃</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581" w:type="dxa"/>
                  <w:gridSpan w:val="2"/>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最低环境温度/ ℃</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6581" w:type="dxa"/>
                  <w:gridSpan w:val="2"/>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土地利用类型</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6581" w:type="dxa"/>
                  <w:gridSpan w:val="2"/>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区域湿度条件</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潮湿天气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2331" w:type="dxa"/>
                  <w:vMerge w:val="restart"/>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是否考虑地形</w:t>
                  </w: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考虑地形</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  </w:t>
                  </w:r>
                  <w:r>
                    <w:rPr>
                      <w:rFonts w:hint="default" w:ascii="Times New Roman" w:hAnsi="Times New Roman" w:cs="Times New Roman"/>
                      <w:color w:val="auto"/>
                      <w:sz w:val="21"/>
                      <w:szCs w:val="21"/>
                      <w:highlight w:val="none"/>
                    </w:rPr>
                    <w:sym w:font="Wingdings" w:char="F0FE"/>
                  </w:r>
                  <w:r>
                    <w:rPr>
                      <w:rFonts w:hint="default" w:ascii="Times New Roman" w:hAnsi="Times New Roman" w:cs="Times New Roman"/>
                      <w:color w:val="auto"/>
                      <w:sz w:val="21"/>
                      <w:szCs w:val="21"/>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2331"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sz w:val="21"/>
                      <w:szCs w:val="21"/>
                      <w:highlight w:val="none"/>
                    </w:rPr>
                  </w:pP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地形数据分辨率 / m</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2331" w:type="dxa"/>
                  <w:vMerge w:val="restart"/>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是否考虑岸线熏烟</w:t>
                  </w: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考虑岸线熏烟</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   </w:t>
                  </w:r>
                  <w:r>
                    <w:rPr>
                      <w:rFonts w:hint="default" w:ascii="Times New Roman" w:hAnsi="Times New Roman" w:cs="Times New Roman"/>
                      <w:color w:val="auto"/>
                      <w:sz w:val="21"/>
                      <w:szCs w:val="21"/>
                      <w:highlight w:val="none"/>
                    </w:rPr>
                    <w:sym w:font="Wingdings" w:char="F0FE"/>
                  </w:r>
                  <w:r>
                    <w:rPr>
                      <w:rFonts w:hint="default" w:ascii="Times New Roman" w:hAnsi="Times New Roman" w:cs="Times New Roman"/>
                      <w:color w:val="auto"/>
                      <w:sz w:val="21"/>
                      <w:szCs w:val="21"/>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331"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sz w:val="21"/>
                      <w:szCs w:val="21"/>
                      <w:highlight w:val="none"/>
                    </w:rPr>
                  </w:pP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岸线距离/ km</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2331"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sz w:val="21"/>
                      <w:szCs w:val="21"/>
                      <w:highlight w:val="none"/>
                    </w:rPr>
                  </w:pPr>
                </w:p>
              </w:tc>
              <w:tc>
                <w:tcPr>
                  <w:tcW w:w="4250" w:type="dxa"/>
                  <w:tcBorders>
                    <w:tl2br w:val="nil"/>
                    <w:tr2bl w:val="nil"/>
                  </w:tcBorders>
                  <w:shd w:val="clear" w:color="auto" w:fill="auto"/>
                  <w:vAlign w:val="center"/>
                </w:tcPr>
                <w:p>
                  <w:pPr>
                    <w:pStyle w:val="67"/>
                    <w:spacing w:before="24" w:after="2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岸线方向/ °</w:t>
                  </w:r>
                </w:p>
              </w:tc>
              <w:tc>
                <w:tcPr>
                  <w:tcW w:w="2433" w:type="dxa"/>
                  <w:tcBorders>
                    <w:tl2br w:val="nil"/>
                    <w:tr2bl w:val="nil"/>
                  </w:tcBorders>
                  <w:shd w:val="clear" w:color="auto" w:fill="auto"/>
                  <w:vAlign w:val="center"/>
                </w:tcPr>
                <w:p>
                  <w:pPr>
                    <w:pStyle w:val="67"/>
                    <w:spacing w:before="24" w:after="24"/>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spacing w:line="360" w:lineRule="auto"/>
              <w:ind w:firstLine="480" w:firstLineChars="200"/>
              <w:jc w:val="left"/>
              <w:rPr>
                <w:rFonts w:hint="eastAsia" w:ascii="Times New Roman" w:hAnsi="Times New Roman"/>
                <w:color w:val="auto"/>
                <w:sz w:val="24"/>
                <w:highlight w:val="none"/>
              </w:rPr>
            </w:pPr>
            <w:r>
              <w:rPr>
                <w:rFonts w:hint="eastAsia" w:ascii="Times New Roman" w:hAnsi="Times New Roman"/>
                <w:color w:val="auto"/>
                <w:sz w:val="24"/>
                <w:highlight w:val="none"/>
              </w:rPr>
              <w:fldChar w:fldCharType="begin"/>
            </w:r>
            <w:r>
              <w:rPr>
                <w:rFonts w:hint="eastAsia" w:ascii="Times New Roman" w:hAnsi="Times New Roman"/>
                <w:color w:val="auto"/>
                <w:sz w:val="24"/>
                <w:highlight w:val="none"/>
              </w:rPr>
              <w:instrText xml:space="preserve"> = 3 \* GB3 \* MERGEFORMAT </w:instrText>
            </w:r>
            <w:r>
              <w:rPr>
                <w:rFonts w:hint="eastAsia" w:ascii="Times New Roman" w:hAnsi="Times New Roman"/>
                <w:color w:val="auto"/>
                <w:sz w:val="24"/>
                <w:highlight w:val="none"/>
              </w:rPr>
              <w:fldChar w:fldCharType="separate"/>
            </w:r>
            <w:r>
              <w:rPr>
                <w:rFonts w:hint="eastAsia" w:ascii="Times New Roman" w:hAnsi="Times New Roman"/>
                <w:color w:val="auto"/>
                <w:sz w:val="24"/>
                <w:highlight w:val="none"/>
              </w:rPr>
              <w:t>③</w:t>
            </w:r>
            <w:r>
              <w:rPr>
                <w:rFonts w:hint="eastAsia" w:ascii="Times New Roman" w:hAnsi="Times New Roman"/>
                <w:color w:val="auto"/>
                <w:sz w:val="24"/>
                <w:highlight w:val="none"/>
              </w:rPr>
              <w:fldChar w:fldCharType="end"/>
            </w:r>
            <w:r>
              <w:rPr>
                <w:rFonts w:hint="eastAsia" w:ascii="Times New Roman" w:hAnsi="Times New Roman"/>
                <w:color w:val="auto"/>
                <w:sz w:val="24"/>
                <w:highlight w:val="none"/>
              </w:rPr>
              <w:t>污染源调查</w:t>
            </w:r>
          </w:p>
          <w:p>
            <w:pPr>
              <w:spacing w:line="240" w:lineRule="auto"/>
              <w:ind w:firstLine="422" w:firstLineChars="200"/>
              <w:jc w:val="center"/>
              <w:rPr>
                <w:rFonts w:hint="eastAsia" w:ascii="Times New Roman" w:hAnsi="Times New Roman"/>
                <w:b/>
                <w:color w:val="auto"/>
                <w:szCs w:val="21"/>
                <w:highlight w:val="none"/>
              </w:rPr>
            </w:pPr>
            <w:r>
              <w:rPr>
                <w:rFonts w:hint="eastAsia" w:ascii="Times New Roman" w:hAnsi="Times New Roman"/>
                <w:b/>
                <w:color w:val="auto"/>
                <w:szCs w:val="21"/>
                <w:highlight w:val="none"/>
              </w:rPr>
              <w:t>表</w:t>
            </w:r>
            <w:r>
              <w:rPr>
                <w:rFonts w:ascii="Times New Roman" w:hAnsi="Times New Roman"/>
                <w:b/>
                <w:color w:val="auto"/>
                <w:szCs w:val="21"/>
                <w:highlight w:val="none"/>
              </w:rPr>
              <w:t>7-</w:t>
            </w:r>
            <w:r>
              <w:rPr>
                <w:rFonts w:hint="eastAsia" w:ascii="Times New Roman" w:hAnsi="Times New Roman"/>
                <w:b/>
                <w:color w:val="auto"/>
                <w:szCs w:val="21"/>
                <w:highlight w:val="none"/>
                <w:lang w:val="en-US" w:eastAsia="zh-CN"/>
              </w:rPr>
              <w:t>8</w:t>
            </w:r>
            <w:r>
              <w:rPr>
                <w:rFonts w:ascii="Times New Roman" w:hAnsi="Times New Roman"/>
                <w:b/>
                <w:color w:val="auto"/>
                <w:szCs w:val="21"/>
                <w:highlight w:val="none"/>
              </w:rPr>
              <w:t xml:space="preserve"> </w:t>
            </w:r>
            <w:r>
              <w:rPr>
                <w:rFonts w:hint="eastAsia" w:ascii="Times New Roman" w:hAnsi="Times New Roman"/>
                <w:b/>
                <w:color w:val="auto"/>
                <w:szCs w:val="21"/>
                <w:highlight w:val="none"/>
              </w:rPr>
              <w:t>点源参数表</w:t>
            </w:r>
          </w:p>
          <w:tbl>
            <w:tblPr>
              <w:tblStyle w:val="34"/>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743"/>
              <w:gridCol w:w="499"/>
              <w:gridCol w:w="551"/>
              <w:gridCol w:w="859"/>
              <w:gridCol w:w="831"/>
              <w:gridCol w:w="932"/>
              <w:gridCol w:w="874"/>
              <w:gridCol w:w="685"/>
              <w:gridCol w:w="816"/>
              <w:gridCol w:w="699"/>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blHeader/>
                <w:jc w:val="center"/>
              </w:trPr>
              <w:tc>
                <w:tcPr>
                  <w:tcW w:w="627"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排气筒编号</w:t>
                  </w:r>
                </w:p>
              </w:tc>
              <w:tc>
                <w:tcPr>
                  <w:tcW w:w="743"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b/>
                      <w:color w:val="auto"/>
                      <w:kern w:val="2"/>
                      <w:sz w:val="21"/>
                      <w:szCs w:val="21"/>
                      <w:highlight w:val="none"/>
                    </w:rPr>
                    <w:t>污染物</w:t>
                  </w:r>
                </w:p>
              </w:tc>
              <w:tc>
                <w:tcPr>
                  <w:tcW w:w="1050" w:type="dxa"/>
                  <w:gridSpan w:val="2"/>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排气筒底部中心坐标/m</w:t>
                  </w:r>
                </w:p>
              </w:tc>
              <w:tc>
                <w:tcPr>
                  <w:tcW w:w="859"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b/>
                      <w:bCs/>
                      <w:color w:val="auto"/>
                      <w:kern w:val="2"/>
                      <w:sz w:val="21"/>
                      <w:szCs w:val="21"/>
                      <w:highlight w:val="none"/>
                    </w:rPr>
                    <w:t>排气筒</w:t>
                  </w:r>
                  <w:r>
                    <w:rPr>
                      <w:rFonts w:hint="eastAsia" w:ascii="Times New Roman" w:hAnsi="Times New Roman" w:eastAsia="宋体" w:cs="Times New Roman"/>
                      <w:b/>
                      <w:bCs/>
                      <w:color w:val="auto"/>
                      <w:kern w:val="2"/>
                      <w:sz w:val="21"/>
                      <w:szCs w:val="21"/>
                      <w:highlight w:val="none"/>
                    </w:rPr>
                    <w:t>底部海拔高度/m</w:t>
                  </w:r>
                </w:p>
              </w:tc>
              <w:tc>
                <w:tcPr>
                  <w:tcW w:w="831"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b/>
                      <w:bCs/>
                      <w:color w:val="auto"/>
                      <w:kern w:val="2"/>
                      <w:sz w:val="21"/>
                      <w:szCs w:val="21"/>
                      <w:highlight w:val="none"/>
                    </w:rPr>
                    <w:t>排气筒高度</w:t>
                  </w:r>
                  <w:r>
                    <w:rPr>
                      <w:rFonts w:hint="eastAsia" w:ascii="Times New Roman" w:hAnsi="Times New Roman" w:eastAsia="宋体" w:cs="Times New Roman"/>
                      <w:b/>
                      <w:bCs/>
                      <w:color w:val="auto"/>
                      <w:kern w:val="2"/>
                      <w:sz w:val="21"/>
                      <w:szCs w:val="21"/>
                      <w:highlight w:val="none"/>
                    </w:rPr>
                    <w:t>/</w:t>
                  </w:r>
                  <w:r>
                    <w:rPr>
                      <w:rFonts w:ascii="Times New Roman" w:hAnsi="Times New Roman" w:eastAsia="宋体" w:cs="Times New Roman"/>
                      <w:b/>
                      <w:bCs/>
                      <w:color w:val="auto"/>
                      <w:kern w:val="2"/>
                      <w:sz w:val="21"/>
                      <w:szCs w:val="21"/>
                      <w:highlight w:val="none"/>
                    </w:rPr>
                    <w:t>m</w:t>
                  </w:r>
                </w:p>
              </w:tc>
              <w:tc>
                <w:tcPr>
                  <w:tcW w:w="932"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b/>
                      <w:bCs/>
                      <w:color w:val="auto"/>
                      <w:kern w:val="2"/>
                      <w:sz w:val="21"/>
                      <w:szCs w:val="21"/>
                      <w:highlight w:val="none"/>
                    </w:rPr>
                    <w:t>排气筒</w:t>
                  </w:r>
                  <w:r>
                    <w:rPr>
                      <w:rFonts w:hint="eastAsia" w:ascii="Times New Roman" w:hAnsi="Times New Roman" w:eastAsia="宋体" w:cs="Times New Roman"/>
                      <w:b/>
                      <w:bCs/>
                      <w:color w:val="auto"/>
                      <w:kern w:val="2"/>
                      <w:sz w:val="21"/>
                      <w:szCs w:val="21"/>
                      <w:highlight w:val="none"/>
                    </w:rPr>
                    <w:t>出口</w:t>
                  </w:r>
                  <w:r>
                    <w:rPr>
                      <w:rFonts w:ascii="Times New Roman" w:hAnsi="Times New Roman" w:eastAsia="宋体" w:cs="Times New Roman"/>
                      <w:b/>
                      <w:bCs/>
                      <w:color w:val="auto"/>
                      <w:kern w:val="2"/>
                      <w:sz w:val="21"/>
                      <w:szCs w:val="21"/>
                      <w:highlight w:val="none"/>
                    </w:rPr>
                    <w:t>内径</w:t>
                  </w:r>
                  <w:r>
                    <w:rPr>
                      <w:rFonts w:hint="eastAsia" w:ascii="Times New Roman" w:hAnsi="Times New Roman" w:eastAsia="宋体" w:cs="Times New Roman"/>
                      <w:b/>
                      <w:bCs/>
                      <w:color w:val="auto"/>
                      <w:kern w:val="2"/>
                      <w:sz w:val="21"/>
                      <w:szCs w:val="21"/>
                      <w:highlight w:val="none"/>
                    </w:rPr>
                    <w:t>/</w:t>
                  </w:r>
                  <w:r>
                    <w:rPr>
                      <w:rFonts w:ascii="Times New Roman" w:hAnsi="Times New Roman" w:eastAsia="宋体" w:cs="Times New Roman"/>
                      <w:b/>
                      <w:bCs/>
                      <w:color w:val="auto"/>
                      <w:kern w:val="2"/>
                      <w:sz w:val="21"/>
                      <w:szCs w:val="21"/>
                      <w:highlight w:val="none"/>
                    </w:rPr>
                    <w:t>m</w:t>
                  </w:r>
                </w:p>
              </w:tc>
              <w:tc>
                <w:tcPr>
                  <w:tcW w:w="874"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烟气流速</w:t>
                  </w:r>
                </w:p>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/m/s</w:t>
                  </w:r>
                </w:p>
              </w:tc>
              <w:tc>
                <w:tcPr>
                  <w:tcW w:w="685"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烟气温度/</w:t>
                  </w:r>
                  <w:r>
                    <w:rPr>
                      <w:rFonts w:hint="eastAsia" w:ascii="宋体" w:hAnsi="宋体" w:eastAsia="宋体" w:cs="宋体"/>
                      <w:b/>
                      <w:color w:val="auto"/>
                      <w:kern w:val="2"/>
                      <w:sz w:val="21"/>
                      <w:szCs w:val="21"/>
                      <w:highlight w:val="none"/>
                    </w:rPr>
                    <w:t>℃</w:t>
                  </w:r>
                </w:p>
              </w:tc>
              <w:tc>
                <w:tcPr>
                  <w:tcW w:w="816"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年排放小时数/h</w:t>
                  </w:r>
                </w:p>
              </w:tc>
              <w:tc>
                <w:tcPr>
                  <w:tcW w:w="699"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排放工况</w:t>
                  </w:r>
                </w:p>
              </w:tc>
              <w:tc>
                <w:tcPr>
                  <w:tcW w:w="918"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排放速率</w:t>
                  </w:r>
                </w:p>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w:t>
                  </w:r>
                  <w:r>
                    <w:rPr>
                      <w:rFonts w:ascii="Times New Roman" w:hAnsi="Times New Roman" w:eastAsia="宋体" w:cs="Times New Roman"/>
                      <w:b/>
                      <w:color w:val="auto"/>
                      <w:kern w:val="2"/>
                      <w:sz w:val="21"/>
                      <w:szCs w:val="21"/>
                      <w:highlight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627"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743"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499"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X</w:t>
                  </w:r>
                </w:p>
              </w:tc>
              <w:tc>
                <w:tcPr>
                  <w:tcW w:w="55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Y</w:t>
                  </w:r>
                </w:p>
              </w:tc>
              <w:tc>
                <w:tcPr>
                  <w:tcW w:w="85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31"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32"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74"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85"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16"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9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18"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627" w:type="dxa"/>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G1</w:t>
                  </w:r>
                </w:p>
              </w:tc>
              <w:tc>
                <w:tcPr>
                  <w:tcW w:w="743"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499" w:type="dxa"/>
                  <w:tcBorders>
                    <w:tl2br w:val="nil"/>
                    <w:tr2bl w:val="nil"/>
                  </w:tcBorders>
                  <w:vAlign w:val="center"/>
                </w:tcPr>
                <w:p>
                  <w:pPr>
                    <w:widowControl/>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c>
                <w:tcPr>
                  <w:tcW w:w="551" w:type="dxa"/>
                  <w:tcBorders>
                    <w:tl2br w:val="nil"/>
                    <w:tr2bl w:val="nil"/>
                  </w:tcBorders>
                  <w:vAlign w:val="center"/>
                </w:tcPr>
                <w:p>
                  <w:pPr>
                    <w:widowControl/>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w:t>
                  </w:r>
                  <w:r>
                    <w:rPr>
                      <w:rFonts w:hint="eastAsia" w:cs="Times New Roman"/>
                      <w:color w:val="auto"/>
                      <w:kern w:val="2"/>
                      <w:sz w:val="21"/>
                      <w:szCs w:val="21"/>
                      <w:highlight w:val="none"/>
                      <w:lang w:val="en-US" w:eastAsia="zh-CN"/>
                    </w:rPr>
                    <w:t>7</w:t>
                  </w:r>
                </w:p>
              </w:tc>
              <w:tc>
                <w:tcPr>
                  <w:tcW w:w="859"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仿宋_GB2312"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w:t>
                  </w:r>
                </w:p>
              </w:tc>
              <w:tc>
                <w:tcPr>
                  <w:tcW w:w="831" w:type="dxa"/>
                  <w:tcBorders>
                    <w:tl2br w:val="nil"/>
                    <w:tr2bl w:val="nil"/>
                  </w:tcBorders>
                  <w:vAlign w:val="center"/>
                </w:tcPr>
                <w:p>
                  <w:pPr>
                    <w:widowControl w:val="0"/>
                    <w:autoSpaceDE w:val="0"/>
                    <w:autoSpaceDN w:val="0"/>
                    <w:spacing w:after="0" w:line="240" w:lineRule="auto"/>
                    <w:jc w:val="center"/>
                    <w:rPr>
                      <w:rFonts w:ascii="Times New Roman" w:hAnsi="Times New Roman" w:eastAsia="仿宋_GB2312"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15</w:t>
                  </w:r>
                </w:p>
              </w:tc>
              <w:tc>
                <w:tcPr>
                  <w:tcW w:w="932"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仿宋_GB2312"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0.5</w:t>
                  </w:r>
                </w:p>
              </w:tc>
              <w:tc>
                <w:tcPr>
                  <w:tcW w:w="874"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olor w:val="auto"/>
                      <w:highlight w:val="none"/>
                      <w:lang w:val="en-US" w:eastAsia="zh-CN"/>
                    </w:rPr>
                    <w:t>12.7</w:t>
                  </w:r>
                </w:p>
              </w:tc>
              <w:tc>
                <w:tcPr>
                  <w:tcW w:w="685"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25</w:t>
                  </w:r>
                </w:p>
              </w:tc>
              <w:tc>
                <w:tcPr>
                  <w:tcW w:w="816"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2400</w:t>
                  </w:r>
                </w:p>
              </w:tc>
              <w:tc>
                <w:tcPr>
                  <w:tcW w:w="699"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正常</w:t>
                  </w:r>
                </w:p>
              </w:tc>
              <w:tc>
                <w:tcPr>
                  <w:tcW w:w="918"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color w:val="auto"/>
                      <w:kern w:val="2"/>
                      <w:sz w:val="21"/>
                      <w:szCs w:val="21"/>
                      <w:highlight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27" w:type="dxa"/>
                  <w:vMerge w:val="restart"/>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G</w:t>
                  </w:r>
                  <w:r>
                    <w:rPr>
                      <w:rFonts w:hint="eastAsia" w:ascii="Times New Roman" w:hAnsi="Times New Roman" w:eastAsia="宋体" w:cs="Times New Roman"/>
                      <w:color w:val="auto"/>
                      <w:kern w:val="2"/>
                      <w:sz w:val="21"/>
                      <w:szCs w:val="21"/>
                      <w:highlight w:val="none"/>
                    </w:rPr>
                    <w:t>2</w:t>
                  </w:r>
                </w:p>
              </w:tc>
              <w:tc>
                <w:tcPr>
                  <w:tcW w:w="743"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SO</w:t>
                  </w:r>
                  <w:r>
                    <w:rPr>
                      <w:rFonts w:hint="eastAsia" w:ascii="Times New Roman" w:hAnsi="Impact" w:eastAsia="宋体" w:cs="Times New Roman"/>
                      <w:color w:val="auto"/>
                      <w:kern w:val="24"/>
                      <w:sz w:val="21"/>
                      <w:szCs w:val="21"/>
                      <w:highlight w:val="none"/>
                      <w:vertAlign w:val="subscript"/>
                    </w:rPr>
                    <w:t>2</w:t>
                  </w:r>
                </w:p>
              </w:tc>
              <w:tc>
                <w:tcPr>
                  <w:tcW w:w="499" w:type="dxa"/>
                  <w:vMerge w:val="restart"/>
                  <w:tcBorders>
                    <w:tl2br w:val="nil"/>
                    <w:tr2bl w:val="nil"/>
                  </w:tcBorders>
                  <w:vAlign w:val="center"/>
                </w:tcPr>
                <w:p>
                  <w:pPr>
                    <w:widowControl/>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c>
                <w:tcPr>
                  <w:tcW w:w="551" w:type="dxa"/>
                  <w:vMerge w:val="restart"/>
                  <w:tcBorders>
                    <w:tl2br w:val="nil"/>
                    <w:tr2bl w:val="nil"/>
                  </w:tcBorders>
                  <w:vAlign w:val="center"/>
                </w:tcPr>
                <w:p>
                  <w:pPr>
                    <w:widowControl/>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-13</w:t>
                  </w:r>
                </w:p>
              </w:tc>
              <w:tc>
                <w:tcPr>
                  <w:tcW w:w="859" w:type="dxa"/>
                  <w:vMerge w:val="restart"/>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w:t>
                  </w:r>
                </w:p>
              </w:tc>
              <w:tc>
                <w:tcPr>
                  <w:tcW w:w="831"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15</w:t>
                  </w:r>
                </w:p>
              </w:tc>
              <w:tc>
                <w:tcPr>
                  <w:tcW w:w="932" w:type="dxa"/>
                  <w:vMerge w:val="restart"/>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w:t>
                  </w:r>
                </w:p>
              </w:tc>
              <w:tc>
                <w:tcPr>
                  <w:tcW w:w="874" w:type="dxa"/>
                  <w:vMerge w:val="restart"/>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c>
                <w:tcPr>
                  <w:tcW w:w="685" w:type="dxa"/>
                  <w:vMerge w:val="restart"/>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28</w:t>
                  </w:r>
                </w:p>
              </w:tc>
              <w:tc>
                <w:tcPr>
                  <w:tcW w:w="816"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2400</w:t>
                  </w:r>
                </w:p>
              </w:tc>
              <w:tc>
                <w:tcPr>
                  <w:tcW w:w="699"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正常</w:t>
                  </w:r>
                </w:p>
              </w:tc>
              <w:tc>
                <w:tcPr>
                  <w:tcW w:w="91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27"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743"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NO</w:t>
                  </w:r>
                  <w:r>
                    <w:rPr>
                      <w:rFonts w:hint="eastAsia" w:ascii="Times New Roman" w:hAnsi="Impact" w:eastAsia="宋体" w:cs="Times New Roman"/>
                      <w:color w:val="auto"/>
                      <w:kern w:val="24"/>
                      <w:sz w:val="21"/>
                      <w:szCs w:val="21"/>
                      <w:highlight w:val="none"/>
                      <w:vertAlign w:val="subscript"/>
                    </w:rPr>
                    <w:t>X</w:t>
                  </w:r>
                </w:p>
              </w:tc>
              <w:tc>
                <w:tcPr>
                  <w:tcW w:w="499"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551"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85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31"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32"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74"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85"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16"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9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1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27"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743"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PM</w:t>
                  </w:r>
                  <w:r>
                    <w:rPr>
                      <w:rFonts w:hint="eastAsia" w:cs="Times New Roman"/>
                      <w:color w:val="auto"/>
                      <w:kern w:val="2"/>
                      <w:sz w:val="21"/>
                      <w:szCs w:val="21"/>
                      <w:highlight w:val="none"/>
                      <w:vertAlign w:val="subscript"/>
                      <w:lang w:val="en-US" w:eastAsia="zh-CN"/>
                    </w:rPr>
                    <w:t>10</w:t>
                  </w:r>
                </w:p>
              </w:tc>
              <w:tc>
                <w:tcPr>
                  <w:tcW w:w="499"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551"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85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31"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32"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74"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85"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16"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699"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918"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0.001 </w:t>
                  </w:r>
                </w:p>
              </w:tc>
            </w:tr>
          </w:tbl>
          <w:p>
            <w:pPr>
              <w:spacing w:line="240" w:lineRule="auto"/>
              <w:ind w:firstLine="422" w:firstLineChars="200"/>
              <w:jc w:val="center"/>
              <w:rPr>
                <w:rFonts w:hint="eastAsia" w:ascii="Times New Roman" w:hAnsi="Times New Roman"/>
                <w:b/>
                <w:color w:val="auto"/>
                <w:szCs w:val="21"/>
                <w:highlight w:val="none"/>
              </w:rPr>
            </w:pPr>
            <w:r>
              <w:rPr>
                <w:rFonts w:hint="eastAsia" w:ascii="Times New Roman" w:hAnsi="Times New Roman"/>
                <w:b/>
                <w:color w:val="auto"/>
                <w:szCs w:val="21"/>
                <w:highlight w:val="none"/>
              </w:rPr>
              <w:t>表</w:t>
            </w:r>
            <w:r>
              <w:rPr>
                <w:rFonts w:ascii="Times New Roman" w:hAnsi="Times New Roman"/>
                <w:b/>
                <w:color w:val="auto"/>
                <w:szCs w:val="21"/>
                <w:highlight w:val="none"/>
              </w:rPr>
              <w:t>7-</w:t>
            </w:r>
            <w:r>
              <w:rPr>
                <w:rFonts w:hint="eastAsia"/>
                <w:b/>
                <w:color w:val="auto"/>
                <w:szCs w:val="21"/>
                <w:highlight w:val="none"/>
                <w:lang w:val="en-US" w:eastAsia="zh-CN"/>
              </w:rPr>
              <w:t>9</w:t>
            </w:r>
            <w:r>
              <w:rPr>
                <w:rFonts w:ascii="Times New Roman" w:hAnsi="Times New Roman"/>
                <w:b/>
                <w:color w:val="auto"/>
                <w:szCs w:val="21"/>
                <w:highlight w:val="none"/>
              </w:rPr>
              <w:t xml:space="preserve"> </w:t>
            </w:r>
            <w:r>
              <w:rPr>
                <w:rFonts w:hint="eastAsia" w:ascii="Times New Roman" w:hAnsi="Times New Roman"/>
                <w:b/>
                <w:color w:val="auto"/>
                <w:szCs w:val="21"/>
                <w:highlight w:val="none"/>
              </w:rPr>
              <w:t>面源参数表</w:t>
            </w:r>
          </w:p>
          <w:tbl>
            <w:tblPr>
              <w:tblStyle w:val="34"/>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906"/>
              <w:gridCol w:w="520"/>
              <w:gridCol w:w="618"/>
              <w:gridCol w:w="895"/>
              <w:gridCol w:w="896"/>
              <w:gridCol w:w="852"/>
              <w:gridCol w:w="669"/>
              <w:gridCol w:w="857"/>
              <w:gridCol w:w="892"/>
              <w:gridCol w:w="758"/>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jc w:val="center"/>
              </w:trPr>
              <w:tc>
                <w:tcPr>
                  <w:tcW w:w="436"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污染源</w:t>
                  </w:r>
                </w:p>
              </w:tc>
              <w:tc>
                <w:tcPr>
                  <w:tcW w:w="906"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污染物</w:t>
                  </w:r>
                </w:p>
              </w:tc>
              <w:tc>
                <w:tcPr>
                  <w:tcW w:w="1138" w:type="dxa"/>
                  <w:gridSpan w:val="2"/>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面源起点坐标/m</w:t>
                  </w:r>
                </w:p>
              </w:tc>
              <w:tc>
                <w:tcPr>
                  <w:tcW w:w="895"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面源海拔高度/m</w:t>
                  </w:r>
                </w:p>
              </w:tc>
              <w:tc>
                <w:tcPr>
                  <w:tcW w:w="896"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面源长度/m</w:t>
                  </w:r>
                </w:p>
              </w:tc>
              <w:tc>
                <w:tcPr>
                  <w:tcW w:w="852"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面源宽度/m</w:t>
                  </w:r>
                </w:p>
              </w:tc>
              <w:tc>
                <w:tcPr>
                  <w:tcW w:w="669"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与正北向夹角/</w:t>
                  </w:r>
                  <w:r>
                    <w:rPr>
                      <w:rFonts w:ascii="Times New Roman" w:hAnsi="Times New Roman" w:eastAsia="宋体" w:cs="Times New Roman"/>
                      <w:b/>
                      <w:color w:val="auto"/>
                      <w:kern w:val="2"/>
                      <w:sz w:val="21"/>
                      <w:szCs w:val="21"/>
                      <w:highlight w:val="none"/>
                    </w:rPr>
                    <w:t>°</w:t>
                  </w:r>
                </w:p>
              </w:tc>
              <w:tc>
                <w:tcPr>
                  <w:tcW w:w="857"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b/>
                      <w:color w:val="auto"/>
                      <w:kern w:val="2"/>
                      <w:sz w:val="21"/>
                      <w:szCs w:val="21"/>
                      <w:highlight w:val="none"/>
                    </w:rPr>
                    <w:t>面源</w:t>
                  </w:r>
                  <w:r>
                    <w:rPr>
                      <w:rFonts w:hint="eastAsia" w:ascii="Times New Roman" w:hAnsi="Times New Roman" w:eastAsia="宋体" w:cs="Times New Roman"/>
                      <w:b/>
                      <w:color w:val="auto"/>
                      <w:kern w:val="2"/>
                      <w:sz w:val="21"/>
                      <w:szCs w:val="21"/>
                      <w:highlight w:val="none"/>
                    </w:rPr>
                    <w:t>有效排放</w:t>
                  </w:r>
                  <w:r>
                    <w:rPr>
                      <w:rFonts w:ascii="Times New Roman" w:hAnsi="Times New Roman" w:eastAsia="宋体" w:cs="Times New Roman"/>
                      <w:b/>
                      <w:color w:val="auto"/>
                      <w:kern w:val="2"/>
                      <w:sz w:val="21"/>
                      <w:szCs w:val="21"/>
                      <w:highlight w:val="none"/>
                    </w:rPr>
                    <w:t>高度/m</w:t>
                  </w:r>
                </w:p>
              </w:tc>
              <w:tc>
                <w:tcPr>
                  <w:tcW w:w="892"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年排放小时数/h</w:t>
                  </w:r>
                </w:p>
              </w:tc>
              <w:tc>
                <w:tcPr>
                  <w:tcW w:w="758"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hint="eastAsia" w:ascii="Times New Roman" w:hAnsi="Times New Roman" w:eastAsia="宋体" w:cs="Times New Roman"/>
                      <w:b/>
                      <w:color w:val="auto"/>
                      <w:kern w:val="2"/>
                      <w:sz w:val="21"/>
                      <w:szCs w:val="21"/>
                      <w:highlight w:val="none"/>
                    </w:rPr>
                    <w:t>排放工况</w:t>
                  </w:r>
                </w:p>
              </w:tc>
              <w:tc>
                <w:tcPr>
                  <w:tcW w:w="817"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排放源强kg/h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36"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906"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52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X</w:t>
                  </w:r>
                </w:p>
              </w:tc>
              <w:tc>
                <w:tcPr>
                  <w:tcW w:w="618"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Y</w:t>
                  </w:r>
                </w:p>
              </w:tc>
              <w:tc>
                <w:tcPr>
                  <w:tcW w:w="895"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96"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52"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669"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57"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92"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758"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17"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36" w:type="dxa"/>
                  <w:vMerge w:val="restart"/>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2"/>
                      <w:sz w:val="21"/>
                      <w:szCs w:val="21"/>
                      <w:highlight w:val="none"/>
                    </w:rPr>
                  </w:pPr>
                  <w:r>
                    <w:rPr>
                      <w:rFonts w:hint="eastAsia" w:ascii="Times New Roman" w:hAnsi="Times New Roman" w:eastAsia="宋体" w:cs="Times New Roman"/>
                      <w:color w:val="auto"/>
                      <w:kern w:val="2"/>
                      <w:sz w:val="21"/>
                      <w:szCs w:val="21"/>
                      <w:highlight w:val="none"/>
                    </w:rPr>
                    <w:t>生产车间</w:t>
                  </w:r>
                </w:p>
              </w:tc>
              <w:tc>
                <w:tcPr>
                  <w:tcW w:w="906" w:type="dxa"/>
                  <w:tcBorders>
                    <w:tl2br w:val="nil"/>
                    <w:tr2bl w:val="nil"/>
                  </w:tcBorders>
                  <w:vAlign w:val="center"/>
                </w:tcPr>
                <w:p>
                  <w:pPr>
                    <w:widowControl w:val="0"/>
                    <w:autoSpaceDE w:val="0"/>
                    <w:autoSpaceDN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非甲烷总烃</w:t>
                  </w:r>
                </w:p>
              </w:tc>
              <w:tc>
                <w:tcPr>
                  <w:tcW w:w="520"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w:t>
                  </w:r>
                </w:p>
              </w:tc>
              <w:tc>
                <w:tcPr>
                  <w:tcW w:w="618"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-19</w:t>
                  </w:r>
                </w:p>
              </w:tc>
              <w:tc>
                <w:tcPr>
                  <w:tcW w:w="895" w:type="dxa"/>
                  <w:vMerge w:val="restart"/>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w:t>
                  </w:r>
                </w:p>
              </w:tc>
              <w:tc>
                <w:tcPr>
                  <w:tcW w:w="896"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31.25</w:t>
                  </w:r>
                </w:p>
              </w:tc>
              <w:tc>
                <w:tcPr>
                  <w:tcW w:w="852"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olor w:val="auto"/>
                      <w:sz w:val="21"/>
                      <w:szCs w:val="21"/>
                      <w:highlight w:val="none"/>
                      <w:lang w:val="en-US" w:eastAsia="zh-CN"/>
                    </w:rPr>
                    <w:t>32</w:t>
                  </w:r>
                </w:p>
              </w:tc>
              <w:tc>
                <w:tcPr>
                  <w:tcW w:w="669" w:type="dxa"/>
                  <w:vMerge w:val="restart"/>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83</w:t>
                  </w:r>
                </w:p>
              </w:tc>
              <w:tc>
                <w:tcPr>
                  <w:tcW w:w="857" w:type="dxa"/>
                  <w:vMerge w:val="restart"/>
                  <w:tcBorders>
                    <w:tl2br w:val="nil"/>
                    <w:tr2bl w:val="nil"/>
                  </w:tcBorders>
                  <w:vAlign w:val="center"/>
                </w:tcPr>
                <w:p>
                  <w:pPr>
                    <w:widowControl w:val="0"/>
                    <w:spacing w:after="0" w:line="240" w:lineRule="auto"/>
                    <w:jc w:val="center"/>
                    <w:rPr>
                      <w:rFonts w:hint="eastAsia" w:ascii="Times New Roman" w:hAnsi="Times New Roman" w:eastAsia="仿宋_GB2312" w:cs="Times New Roman"/>
                      <w:color w:val="auto"/>
                      <w:kern w:val="2"/>
                      <w:sz w:val="21"/>
                      <w:szCs w:val="21"/>
                      <w:highlight w:val="none"/>
                      <w:lang w:eastAsia="zh-CN"/>
                    </w:rPr>
                  </w:pPr>
                  <w:r>
                    <w:rPr>
                      <w:rFonts w:hint="eastAsia" w:eastAsia="仿宋_GB2312" w:cs="Times New Roman"/>
                      <w:color w:val="auto"/>
                      <w:kern w:val="2"/>
                      <w:sz w:val="21"/>
                      <w:szCs w:val="21"/>
                      <w:highlight w:val="none"/>
                      <w:lang w:val="en-US" w:eastAsia="zh-CN"/>
                    </w:rPr>
                    <w:t>3</w:t>
                  </w:r>
                </w:p>
              </w:tc>
              <w:tc>
                <w:tcPr>
                  <w:tcW w:w="892"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2400</w:t>
                  </w:r>
                </w:p>
              </w:tc>
              <w:tc>
                <w:tcPr>
                  <w:tcW w:w="758"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正常</w:t>
                  </w:r>
                </w:p>
              </w:tc>
              <w:tc>
                <w:tcPr>
                  <w:tcW w:w="817"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906" w:type="dxa"/>
                  <w:tcBorders>
                    <w:tl2br w:val="nil"/>
                    <w:tr2bl w:val="nil"/>
                  </w:tcBorders>
                  <w:vAlign w:val="center"/>
                </w:tcPr>
                <w:p>
                  <w:pPr>
                    <w:widowControl w:val="0"/>
                    <w:autoSpaceDE w:val="0"/>
                    <w:autoSpaceDN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TSP</w:t>
                  </w:r>
                </w:p>
              </w:tc>
              <w:tc>
                <w:tcPr>
                  <w:tcW w:w="520"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val="en-US" w:eastAsia="zh-CN"/>
                    </w:rPr>
                    <w:t>-18</w:t>
                  </w:r>
                </w:p>
              </w:tc>
              <w:tc>
                <w:tcPr>
                  <w:tcW w:w="618"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val="en-US" w:eastAsia="zh-CN"/>
                    </w:rPr>
                    <w:t>-19</w:t>
                  </w:r>
                </w:p>
              </w:tc>
              <w:tc>
                <w:tcPr>
                  <w:tcW w:w="895"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96"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52" w:type="dxa"/>
                  <w:vMerge w:val="continue"/>
                  <w:tcBorders>
                    <w:tl2br w:val="nil"/>
                    <w:tr2bl w:val="nil"/>
                  </w:tcBorders>
                  <w:vAlign w:val="center"/>
                </w:tcPr>
                <w:p>
                  <w:pPr>
                    <w:widowControl w:val="0"/>
                    <w:tabs>
                      <w:tab w:val="left" w:pos="-2848"/>
                    </w:tabs>
                    <w:jc w:val="center"/>
                    <w:rPr>
                      <w:rFonts w:ascii="Times New Roman" w:hAnsi="Times New Roman" w:eastAsia="宋体" w:cs="Times New Roman"/>
                      <w:color w:val="auto"/>
                      <w:kern w:val="44"/>
                      <w:sz w:val="21"/>
                      <w:szCs w:val="21"/>
                      <w:highlight w:val="none"/>
                      <w:lang w:val="en-US" w:eastAsia="zh-CN" w:bidi="ar-SA"/>
                    </w:rPr>
                  </w:pPr>
                </w:p>
              </w:tc>
              <w:tc>
                <w:tcPr>
                  <w:tcW w:w="669"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57"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92"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758"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p>
              </w:tc>
              <w:tc>
                <w:tcPr>
                  <w:tcW w:w="817"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0.002</w:t>
                  </w:r>
                </w:p>
              </w:tc>
            </w:tr>
          </w:tbl>
          <w:p>
            <w:pPr>
              <w:pStyle w:val="2"/>
              <w:ind w:firstLine="422" w:firstLineChars="200"/>
              <w:rPr>
                <w:rFonts w:hint="eastAsia" w:ascii="Times New Roman" w:hAnsi="Times New Roman"/>
                <w:b/>
                <w:color w:val="auto"/>
                <w:szCs w:val="21"/>
                <w:highlight w:val="none"/>
              </w:rPr>
            </w:pPr>
            <w:r>
              <w:rPr>
                <w:rFonts w:hint="eastAsia" w:ascii="Times New Roman" w:hAnsi="Times New Roman" w:eastAsia="宋体" w:cs="Times New Roman"/>
                <w:b/>
                <w:bCs/>
                <w:color w:val="auto"/>
                <w:kern w:val="0"/>
                <w:sz w:val="21"/>
                <w:szCs w:val="21"/>
                <w:highlight w:val="none"/>
                <w:lang w:val="en-US" w:eastAsia="zh-CN" w:bidi="ar-SA"/>
              </w:rPr>
              <w:t>说明：面源有效排放高度以车间窗户离地面的高度来取值。</w:t>
            </w:r>
          </w:p>
          <w:p>
            <w:pPr>
              <w:spacing w:line="360" w:lineRule="auto"/>
              <w:ind w:firstLine="480" w:firstLineChars="200"/>
              <w:jc w:val="left"/>
              <w:rPr>
                <w:rFonts w:ascii="Times New Roman" w:hAnsi="Times New Roman"/>
                <w:color w:val="auto"/>
                <w:sz w:val="24"/>
                <w:highlight w:val="none"/>
              </w:rPr>
            </w:pPr>
            <w:r>
              <w:rPr>
                <w:rFonts w:hint="eastAsia" w:ascii="Times New Roman" w:hAnsi="Times New Roman"/>
                <w:color w:val="auto"/>
                <w:sz w:val="24"/>
                <w:highlight w:val="none"/>
              </w:rPr>
              <w:fldChar w:fldCharType="begin"/>
            </w:r>
            <w:r>
              <w:rPr>
                <w:rFonts w:hint="eastAsia" w:ascii="Times New Roman" w:hAnsi="Times New Roman"/>
                <w:color w:val="auto"/>
                <w:sz w:val="24"/>
                <w:highlight w:val="none"/>
              </w:rPr>
              <w:instrText xml:space="preserve"> = 4 \* GB3 \* MERGEFORMAT </w:instrText>
            </w:r>
            <w:r>
              <w:rPr>
                <w:rFonts w:hint="eastAsia" w:ascii="Times New Roman" w:hAnsi="Times New Roman"/>
                <w:color w:val="auto"/>
                <w:sz w:val="24"/>
                <w:highlight w:val="none"/>
              </w:rPr>
              <w:fldChar w:fldCharType="separate"/>
            </w:r>
            <w:r>
              <w:rPr>
                <w:rFonts w:hint="eastAsia" w:ascii="Times New Roman" w:hAnsi="Times New Roman"/>
                <w:color w:val="auto"/>
                <w:sz w:val="24"/>
                <w:highlight w:val="none"/>
              </w:rPr>
              <w:t>④</w:t>
            </w:r>
            <w:r>
              <w:rPr>
                <w:rFonts w:hint="eastAsia" w:ascii="Times New Roman" w:hAnsi="Times New Roman"/>
                <w:color w:val="auto"/>
                <w:sz w:val="24"/>
                <w:highlight w:val="none"/>
              </w:rPr>
              <w:fldChar w:fldCharType="end"/>
            </w:r>
            <w:r>
              <w:rPr>
                <w:rFonts w:hint="eastAsia" w:ascii="Times New Roman" w:hAnsi="Times New Roman"/>
                <w:color w:val="auto"/>
                <w:sz w:val="24"/>
                <w:highlight w:val="none"/>
              </w:rPr>
              <w:t>估算方案</w:t>
            </w:r>
          </w:p>
          <w:p>
            <w:pPr>
              <w:spacing w:line="360" w:lineRule="auto"/>
              <w:ind w:firstLine="480" w:firstLineChars="200"/>
              <w:jc w:val="left"/>
              <w:rPr>
                <w:rFonts w:ascii="Times New Roman" w:hAnsi="Times New Roman"/>
                <w:color w:val="auto"/>
                <w:sz w:val="24"/>
                <w:highlight w:val="none"/>
              </w:rPr>
            </w:pPr>
            <w:r>
              <w:rPr>
                <w:rFonts w:hint="eastAsia" w:ascii="Times New Roman" w:hAnsi="Times New Roman"/>
                <w:color w:val="auto"/>
                <w:sz w:val="24"/>
                <w:highlight w:val="none"/>
              </w:rPr>
              <w:t>估算正常工况下项目大气污染物排放的最大环境影响。</w:t>
            </w:r>
          </w:p>
          <w:p>
            <w:pPr>
              <w:numPr>
                <w:ilvl w:val="0"/>
                <w:numId w:val="0"/>
              </w:numPr>
              <w:spacing w:line="360" w:lineRule="auto"/>
              <w:ind w:firstLine="480" w:firstLineChars="200"/>
              <w:jc w:val="left"/>
              <w:rPr>
                <w:rFonts w:ascii="Times New Roman" w:hAnsi="Times New Roman"/>
                <w:color w:val="auto"/>
                <w:highlight w:val="none"/>
              </w:rPr>
            </w:pPr>
            <w:r>
              <w:rPr>
                <w:rFonts w:hint="eastAsia" w:ascii="Times New Roman" w:hAnsi="Times New Roman"/>
                <w:color w:val="auto"/>
                <w:sz w:val="24"/>
                <w:highlight w:val="none"/>
              </w:rPr>
              <w:fldChar w:fldCharType="begin"/>
            </w:r>
            <w:r>
              <w:rPr>
                <w:rFonts w:hint="eastAsia" w:ascii="Times New Roman" w:hAnsi="Times New Roman"/>
                <w:color w:val="auto"/>
                <w:sz w:val="24"/>
                <w:highlight w:val="none"/>
              </w:rPr>
              <w:instrText xml:space="preserve"> = 5 \* GB3 \* MERGEFORMAT </w:instrText>
            </w:r>
            <w:r>
              <w:rPr>
                <w:rFonts w:hint="eastAsia" w:ascii="Times New Roman" w:hAnsi="Times New Roman"/>
                <w:color w:val="auto"/>
                <w:sz w:val="24"/>
                <w:highlight w:val="none"/>
              </w:rPr>
              <w:fldChar w:fldCharType="separate"/>
            </w:r>
            <w:r>
              <w:rPr>
                <w:rFonts w:hint="eastAsia" w:ascii="Times New Roman" w:hAnsi="Times New Roman"/>
                <w:color w:val="auto"/>
                <w:sz w:val="24"/>
                <w:highlight w:val="none"/>
              </w:rPr>
              <w:t>⑤</w:t>
            </w:r>
            <w:r>
              <w:rPr>
                <w:rFonts w:hint="eastAsia" w:ascii="Times New Roman" w:hAnsi="Times New Roman"/>
                <w:color w:val="auto"/>
                <w:sz w:val="24"/>
                <w:highlight w:val="none"/>
              </w:rPr>
              <w:fldChar w:fldCharType="end"/>
            </w:r>
            <w:r>
              <w:rPr>
                <w:rFonts w:hint="eastAsia" w:ascii="Times New Roman" w:hAnsi="Times New Roman"/>
                <w:color w:val="auto"/>
                <w:sz w:val="24"/>
                <w:highlight w:val="none"/>
              </w:rPr>
              <w:t>估算模式计算结果</w:t>
            </w:r>
          </w:p>
          <w:p>
            <w:pPr>
              <w:pStyle w:val="2"/>
              <w:spacing w:line="360" w:lineRule="auto"/>
              <w:ind w:firstLine="480" w:firstLineChars="200"/>
              <w:rPr>
                <w:rFonts w:hint="eastAsia" w:ascii="Times New Roman" w:hAnsi="Times New Roman"/>
                <w:color w:val="auto"/>
                <w:highlight w:val="none"/>
              </w:rPr>
            </w:pPr>
            <w:r>
              <w:rPr>
                <w:rFonts w:hint="eastAsia" w:ascii="Times New Roman" w:hAnsi="Times New Roman"/>
                <w:color w:val="auto"/>
                <w:highlight w:val="none"/>
              </w:rPr>
              <w:t>本项目采用</w:t>
            </w:r>
            <w:r>
              <w:rPr>
                <w:rFonts w:ascii="Times New Roman" w:hAnsi="Times New Roman"/>
                <w:color w:val="auto"/>
                <w:highlight w:val="none"/>
              </w:rPr>
              <w:t xml:space="preserve">AERSCREEN </w:t>
            </w:r>
            <w:r>
              <w:rPr>
                <w:rFonts w:hint="eastAsia" w:ascii="Times New Roman" w:hAnsi="Times New Roman"/>
                <w:color w:val="auto"/>
                <w:highlight w:val="none"/>
              </w:rPr>
              <w:t>估算模型对本项目评价等级进行判断。</w:t>
            </w:r>
          </w:p>
          <w:p>
            <w:pPr>
              <w:pStyle w:val="2"/>
              <w:spacing w:line="360" w:lineRule="auto"/>
              <w:ind w:firstLine="480" w:firstLineChars="200"/>
              <w:rPr>
                <w:rFonts w:hint="eastAsia" w:ascii="Times New Roman" w:hAnsi="Times New Roman"/>
                <w:color w:val="auto"/>
                <w:highlight w:val="none"/>
              </w:rPr>
            </w:pPr>
          </w:p>
          <w:p>
            <w:pPr>
              <w:pStyle w:val="2"/>
              <w:spacing w:line="360" w:lineRule="auto"/>
              <w:ind w:firstLine="480" w:firstLineChars="200"/>
              <w:rPr>
                <w:rFonts w:hint="eastAsia" w:ascii="Times New Roman" w:hAnsi="Times New Roman"/>
                <w:color w:val="auto"/>
                <w:highlight w:val="none"/>
              </w:rPr>
            </w:pPr>
          </w:p>
          <w:p>
            <w:pPr>
              <w:widowControl/>
              <w:tabs>
                <w:tab w:val="left" w:pos="420"/>
              </w:tabs>
              <w:adjustRightInd w:val="0"/>
              <w:snapToGrid w:val="0"/>
              <w:spacing w:after="200" w:line="240" w:lineRule="auto"/>
              <w:ind w:left="471" w:firstLine="0"/>
              <w:jc w:val="center"/>
              <w:rPr>
                <w:rFonts w:ascii="Times New Roman" w:hAnsi="Times New Roman" w:eastAsia="宋体" w:cs="Times New Roman"/>
                <w:color w:val="auto"/>
                <w:kern w:val="0"/>
                <w:sz w:val="24"/>
                <w:szCs w:val="20"/>
                <w:highlight w:val="none"/>
                <w:lang w:val="en-US" w:eastAsia="zh-CN" w:bidi="ar-SA"/>
              </w:rPr>
            </w:pPr>
            <w:r>
              <w:rPr>
                <w:rFonts w:ascii="Calibri" w:hAnsi="Calibri"/>
                <w:color w:val="auto"/>
                <w:kern w:val="0"/>
                <w:sz w:val="22"/>
                <w:szCs w:val="22"/>
                <w:highlight w:val="none"/>
              </w:rPr>
              <w:drawing>
                <wp:inline distT="0" distB="0" distL="114300" distR="114300">
                  <wp:extent cx="4454525" cy="3705860"/>
                  <wp:effectExtent l="9525" t="9525" r="12700" b="1841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1"/>
                          <a:stretch>
                            <a:fillRect/>
                          </a:stretch>
                        </pic:blipFill>
                        <pic:spPr>
                          <a:xfrm>
                            <a:off x="0" y="0"/>
                            <a:ext cx="4454525" cy="3705860"/>
                          </a:xfrm>
                          <a:prstGeom prst="rect">
                            <a:avLst/>
                          </a:prstGeom>
                          <a:noFill/>
                          <a:ln>
                            <a:solidFill>
                              <a:srgbClr val="000000"/>
                            </a:solidFill>
                          </a:ln>
                        </pic:spPr>
                      </pic:pic>
                    </a:graphicData>
                  </a:graphic>
                </wp:inline>
              </w:drawing>
            </w:r>
          </w:p>
          <w:p>
            <w:pPr>
              <w:widowControl/>
              <w:tabs>
                <w:tab w:val="left" w:pos="420"/>
              </w:tabs>
              <w:adjustRightInd w:val="0"/>
              <w:snapToGrid w:val="0"/>
              <w:spacing w:after="200" w:line="240" w:lineRule="auto"/>
              <w:ind w:left="471" w:firstLine="0"/>
              <w:jc w:val="center"/>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7-2</w:t>
            </w:r>
            <w:r>
              <w:rPr>
                <w:rFonts w:hint="eastAsia" w:ascii="Times New Roman" w:hAnsi="Times New Roman" w:eastAsia="宋体" w:cs="Times New Roman"/>
                <w:b/>
                <w:bCs/>
                <w:color w:val="auto"/>
                <w:kern w:val="0"/>
                <w:sz w:val="21"/>
                <w:szCs w:val="21"/>
                <w:highlight w:val="none"/>
                <w:lang w:val="en-US" w:eastAsia="zh-CN" w:bidi="ar-SA"/>
              </w:rPr>
              <w:t xml:space="preserve"> 项目</w:t>
            </w:r>
            <w:r>
              <w:rPr>
                <w:rFonts w:ascii="Times New Roman" w:hAnsi="Times New Roman" w:eastAsia="宋体" w:cs="Times New Roman"/>
                <w:b/>
                <w:bCs/>
                <w:color w:val="auto"/>
                <w:kern w:val="0"/>
                <w:sz w:val="21"/>
                <w:szCs w:val="21"/>
                <w:highlight w:val="none"/>
                <w:lang w:val="en-US" w:eastAsia="zh-CN" w:bidi="ar-SA"/>
              </w:rPr>
              <w:t>筛选气象</w:t>
            </w:r>
            <w:r>
              <w:rPr>
                <w:rFonts w:hint="eastAsia" w:ascii="Times New Roman" w:hAnsi="Times New Roman" w:eastAsia="宋体" w:cs="Times New Roman"/>
                <w:b/>
                <w:bCs/>
                <w:color w:val="auto"/>
                <w:kern w:val="0"/>
                <w:sz w:val="21"/>
                <w:szCs w:val="21"/>
                <w:highlight w:val="none"/>
                <w:lang w:val="en-US" w:eastAsia="zh-CN" w:bidi="ar-SA"/>
              </w:rPr>
              <w:t>截图</w:t>
            </w:r>
          </w:p>
          <w:p>
            <w:pPr>
              <w:widowControl/>
              <w:tabs>
                <w:tab w:val="left" w:pos="420"/>
              </w:tabs>
              <w:adjustRightInd w:val="0"/>
              <w:snapToGrid w:val="0"/>
              <w:spacing w:after="200" w:line="240" w:lineRule="auto"/>
              <w:ind w:left="471" w:firstLine="0"/>
              <w:jc w:val="center"/>
              <w:rPr>
                <w:rFonts w:ascii="Calibri" w:hAnsi="Calibri"/>
                <w:color w:val="auto"/>
                <w:kern w:val="0"/>
                <w:sz w:val="22"/>
                <w:szCs w:val="22"/>
                <w:highlight w:val="none"/>
              </w:rPr>
            </w:pPr>
            <w:r>
              <w:rPr>
                <w:color w:val="auto"/>
                <w:highlight w:val="none"/>
              </w:rPr>
              <w:drawing>
                <wp:inline distT="0" distB="0" distL="114300" distR="114300">
                  <wp:extent cx="4518025" cy="3839210"/>
                  <wp:effectExtent l="9525" t="9525" r="25400" b="1841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22"/>
                          <a:stretch>
                            <a:fillRect/>
                          </a:stretch>
                        </pic:blipFill>
                        <pic:spPr>
                          <a:xfrm>
                            <a:off x="0" y="0"/>
                            <a:ext cx="4518025" cy="3839210"/>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7-3</w:t>
            </w:r>
            <w:r>
              <w:rPr>
                <w:rFonts w:hint="eastAsia" w:ascii="Times New Roman" w:hAnsi="Times New Roman" w:eastAsia="宋体" w:cs="Times New Roman"/>
                <w:b/>
                <w:bCs/>
                <w:color w:val="auto"/>
                <w:kern w:val="0"/>
                <w:sz w:val="21"/>
                <w:szCs w:val="21"/>
                <w:highlight w:val="none"/>
                <w:lang w:val="en-US" w:eastAsia="zh-CN" w:bidi="ar-SA"/>
              </w:rPr>
              <w:t xml:space="preserve"> 项目</w:t>
            </w:r>
            <w:r>
              <w:rPr>
                <w:rFonts w:hint="eastAsia" w:cs="Times New Roman"/>
                <w:b/>
                <w:bCs/>
                <w:color w:val="auto"/>
                <w:kern w:val="0"/>
                <w:sz w:val="21"/>
                <w:szCs w:val="21"/>
                <w:highlight w:val="none"/>
                <w:lang w:val="en-US" w:eastAsia="zh-CN" w:bidi="ar-SA"/>
              </w:rPr>
              <w:t>锻压</w:t>
            </w:r>
            <w:r>
              <w:rPr>
                <w:rFonts w:hint="eastAsia" w:ascii="Times New Roman" w:hAnsi="Times New Roman" w:eastAsia="宋体" w:cs="Times New Roman"/>
                <w:b/>
                <w:bCs/>
                <w:color w:val="auto"/>
                <w:kern w:val="0"/>
                <w:sz w:val="21"/>
                <w:szCs w:val="21"/>
                <w:highlight w:val="none"/>
                <w:lang w:val="en-US" w:eastAsia="zh-CN" w:bidi="ar-SA"/>
              </w:rPr>
              <w:t>废气点源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方案截图</w:t>
            </w:r>
          </w:p>
          <w:p>
            <w:pPr>
              <w:widowControl/>
              <w:tabs>
                <w:tab w:val="left" w:pos="420"/>
              </w:tabs>
              <w:adjustRightInd w:val="0"/>
              <w:snapToGrid w:val="0"/>
              <w:spacing w:after="200" w:line="240" w:lineRule="auto"/>
              <w:ind w:left="471" w:firstLine="0"/>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4722495" cy="4017645"/>
                  <wp:effectExtent l="9525" t="9525" r="11430" b="1143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23"/>
                          <a:stretch>
                            <a:fillRect/>
                          </a:stretch>
                        </pic:blipFill>
                        <pic:spPr>
                          <a:xfrm>
                            <a:off x="0" y="0"/>
                            <a:ext cx="4722495" cy="4017645"/>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7-4</w:t>
            </w:r>
            <w:r>
              <w:rPr>
                <w:rFonts w:hint="eastAsia" w:ascii="Times New Roman" w:hAnsi="Times New Roman" w:eastAsia="宋体" w:cs="Times New Roman"/>
                <w:b/>
                <w:bCs/>
                <w:color w:val="auto"/>
                <w:kern w:val="0"/>
                <w:sz w:val="21"/>
                <w:szCs w:val="21"/>
                <w:highlight w:val="none"/>
                <w:lang w:val="en-US" w:eastAsia="zh-CN" w:bidi="ar-SA"/>
              </w:rPr>
              <w:t xml:space="preserve"> 项目燃料废气点源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方案截图</w:t>
            </w:r>
          </w:p>
          <w:p>
            <w:pPr>
              <w:widowControl/>
              <w:tabs>
                <w:tab w:val="left" w:pos="420"/>
              </w:tabs>
              <w:adjustRightInd w:val="0"/>
              <w:snapToGrid w:val="0"/>
              <w:spacing w:after="200" w:line="240" w:lineRule="auto"/>
              <w:ind w:left="471" w:firstLine="0"/>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4526915" cy="3830320"/>
                  <wp:effectExtent l="9525" t="9525" r="16510" b="2730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24"/>
                          <a:stretch>
                            <a:fillRect/>
                          </a:stretch>
                        </pic:blipFill>
                        <pic:spPr>
                          <a:xfrm>
                            <a:off x="0" y="0"/>
                            <a:ext cx="4526915" cy="3830320"/>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7-5</w:t>
            </w:r>
            <w:r>
              <w:rPr>
                <w:rFonts w:hint="eastAsia" w:ascii="Times New Roman" w:hAnsi="Times New Roman" w:eastAsia="宋体" w:cs="Times New Roman"/>
                <w:b/>
                <w:bCs/>
                <w:color w:val="auto"/>
                <w:kern w:val="0"/>
                <w:sz w:val="21"/>
                <w:szCs w:val="21"/>
                <w:highlight w:val="none"/>
                <w:lang w:val="en-US" w:eastAsia="zh-CN" w:bidi="ar-SA"/>
              </w:rPr>
              <w:t xml:space="preserve"> 项目面源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方案截图</w:t>
            </w:r>
          </w:p>
          <w:p>
            <w:pPr>
              <w:widowControl/>
              <w:tabs>
                <w:tab w:val="left" w:pos="420"/>
              </w:tabs>
              <w:adjustRightInd w:val="0"/>
              <w:snapToGrid w:val="0"/>
              <w:spacing w:after="200" w:line="240" w:lineRule="auto"/>
              <w:ind w:left="471" w:firstLine="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本项目主要污染物估算模式计算结果</w:t>
            </w:r>
            <w:r>
              <w:rPr>
                <w:rFonts w:hint="eastAsia" w:ascii="Times New Roman" w:hAnsi="Times New Roman" w:eastAsia="宋体" w:cs="Times New Roman"/>
                <w:color w:val="auto"/>
                <w:kern w:val="0"/>
                <w:sz w:val="24"/>
                <w:szCs w:val="20"/>
                <w:highlight w:val="none"/>
                <w:lang w:val="en-US" w:eastAsia="zh-CN" w:bidi="ar-SA"/>
              </w:rPr>
              <w:t>如下：</w:t>
            </w:r>
          </w:p>
          <w:p>
            <w:pPr>
              <w:widowControl/>
              <w:tabs>
                <w:tab w:val="left" w:pos="420"/>
              </w:tabs>
              <w:adjustRightInd w:val="0"/>
              <w:snapToGrid w:val="0"/>
              <w:spacing w:after="200" w:line="240" w:lineRule="auto"/>
              <w:ind w:left="471" w:firstLine="0"/>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4438015" cy="3764280"/>
                  <wp:effectExtent l="0" t="0" r="635" b="762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25"/>
                          <a:stretch>
                            <a:fillRect/>
                          </a:stretch>
                        </pic:blipFill>
                        <pic:spPr>
                          <a:xfrm>
                            <a:off x="0" y="0"/>
                            <a:ext cx="4438015" cy="3764280"/>
                          </a:xfrm>
                          <a:prstGeom prst="rect">
                            <a:avLst/>
                          </a:prstGeom>
                          <a:noFill/>
                          <a:ln>
                            <a:no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7-6</w:t>
            </w:r>
            <w:r>
              <w:rPr>
                <w:rFonts w:hint="eastAsia" w:ascii="Times New Roman" w:hAnsi="Times New Roman" w:eastAsia="宋体" w:cs="Times New Roman"/>
                <w:b/>
                <w:bCs/>
                <w:color w:val="auto"/>
                <w:kern w:val="0"/>
                <w:sz w:val="21"/>
                <w:szCs w:val="21"/>
                <w:highlight w:val="none"/>
                <w:lang w:val="en-US" w:eastAsia="zh-CN" w:bidi="ar-SA"/>
              </w:rPr>
              <w:t xml:space="preserve"> 项目</w:t>
            </w:r>
            <w:r>
              <w:rPr>
                <w:rFonts w:hint="eastAsia" w:cs="Times New Roman"/>
                <w:b/>
                <w:bCs/>
                <w:color w:val="auto"/>
                <w:kern w:val="0"/>
                <w:sz w:val="21"/>
                <w:szCs w:val="21"/>
                <w:highlight w:val="none"/>
                <w:lang w:val="en-US" w:eastAsia="zh-CN" w:bidi="ar-SA"/>
              </w:rPr>
              <w:t>锻压</w:t>
            </w:r>
            <w:r>
              <w:rPr>
                <w:rFonts w:hint="eastAsia" w:ascii="Times New Roman" w:hAnsi="Times New Roman" w:eastAsia="宋体" w:cs="Times New Roman"/>
                <w:b/>
                <w:bCs/>
                <w:color w:val="auto"/>
                <w:kern w:val="0"/>
                <w:sz w:val="21"/>
                <w:szCs w:val="21"/>
                <w:highlight w:val="none"/>
                <w:lang w:val="en-US" w:eastAsia="zh-CN" w:bidi="ar-SA"/>
              </w:rPr>
              <w:t>废气点源筛选结果截图（1小时浓度占标率）</w:t>
            </w:r>
          </w:p>
          <w:p>
            <w:pPr>
              <w:widowControl/>
              <w:tabs>
                <w:tab w:val="left" w:pos="420"/>
              </w:tabs>
              <w:adjustRightInd w:val="0"/>
              <w:snapToGrid w:val="0"/>
              <w:spacing w:after="200" w:line="240" w:lineRule="auto"/>
              <w:ind w:left="471" w:firstLine="0"/>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4431665" cy="3750310"/>
                  <wp:effectExtent l="9525" t="9525" r="16510" b="12065"/>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26"/>
                          <a:stretch>
                            <a:fillRect/>
                          </a:stretch>
                        </pic:blipFill>
                        <pic:spPr>
                          <a:xfrm>
                            <a:off x="0" y="0"/>
                            <a:ext cx="4431665" cy="3750310"/>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7-7</w:t>
            </w:r>
            <w:r>
              <w:rPr>
                <w:rFonts w:hint="eastAsia" w:ascii="Times New Roman" w:hAnsi="Times New Roman" w:eastAsia="宋体" w:cs="Times New Roman"/>
                <w:b/>
                <w:bCs/>
                <w:color w:val="auto"/>
                <w:kern w:val="0"/>
                <w:sz w:val="21"/>
                <w:szCs w:val="21"/>
                <w:highlight w:val="none"/>
                <w:lang w:val="en-US" w:eastAsia="zh-CN" w:bidi="ar-SA"/>
              </w:rPr>
              <w:t xml:space="preserve"> 项目</w:t>
            </w:r>
            <w:r>
              <w:rPr>
                <w:rFonts w:hint="eastAsia" w:cs="Times New Roman"/>
                <w:b/>
                <w:bCs/>
                <w:color w:val="auto"/>
                <w:kern w:val="0"/>
                <w:sz w:val="21"/>
                <w:szCs w:val="21"/>
                <w:highlight w:val="none"/>
                <w:lang w:val="en-US" w:eastAsia="zh-CN" w:bidi="ar-SA"/>
              </w:rPr>
              <w:t>锻压</w:t>
            </w:r>
            <w:r>
              <w:rPr>
                <w:rFonts w:hint="eastAsia" w:ascii="Times New Roman" w:hAnsi="Times New Roman" w:eastAsia="宋体" w:cs="Times New Roman"/>
                <w:b/>
                <w:bCs/>
                <w:color w:val="auto"/>
                <w:kern w:val="0"/>
                <w:sz w:val="21"/>
                <w:szCs w:val="21"/>
                <w:highlight w:val="none"/>
                <w:lang w:val="en-US" w:eastAsia="zh-CN" w:bidi="ar-SA"/>
              </w:rPr>
              <w:t>废气点源筛选结果截图（1小时浓度）</w:t>
            </w:r>
          </w:p>
          <w:p>
            <w:pPr>
              <w:widowControl/>
              <w:tabs>
                <w:tab w:val="left" w:pos="420"/>
              </w:tabs>
              <w:adjustRightInd w:val="0"/>
              <w:snapToGrid w:val="0"/>
              <w:spacing w:after="200" w:line="240" w:lineRule="auto"/>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5651500" cy="3772535"/>
                  <wp:effectExtent l="9525" t="9525" r="15875" b="2794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27"/>
                          <a:stretch>
                            <a:fillRect/>
                          </a:stretch>
                        </pic:blipFill>
                        <pic:spPr>
                          <a:xfrm>
                            <a:off x="0" y="0"/>
                            <a:ext cx="5651500" cy="3772535"/>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图7</w:t>
            </w:r>
            <w:r>
              <w:rPr>
                <w:rFonts w:hint="eastAsia" w:cs="Times New Roman"/>
                <w:b/>
                <w:bCs/>
                <w:color w:val="auto"/>
                <w:kern w:val="0"/>
                <w:sz w:val="21"/>
                <w:szCs w:val="21"/>
                <w:highlight w:val="none"/>
                <w:lang w:val="en-US" w:eastAsia="zh-CN" w:bidi="ar-SA"/>
              </w:rPr>
              <w:t>-8</w:t>
            </w:r>
            <w:r>
              <w:rPr>
                <w:rFonts w:hint="eastAsia" w:ascii="Times New Roman" w:hAnsi="Times New Roman" w:eastAsia="宋体" w:cs="Times New Roman"/>
                <w:b/>
                <w:bCs/>
                <w:color w:val="auto"/>
                <w:kern w:val="0"/>
                <w:sz w:val="21"/>
                <w:szCs w:val="21"/>
                <w:highlight w:val="none"/>
                <w:lang w:val="en-US" w:eastAsia="zh-CN" w:bidi="ar-SA"/>
              </w:rPr>
              <w:t xml:space="preserve"> 项目燃料废气点源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结果截图（1小时浓度占标率）</w:t>
            </w:r>
          </w:p>
          <w:p>
            <w:pPr>
              <w:widowControl/>
              <w:tabs>
                <w:tab w:val="left" w:pos="420"/>
              </w:tabs>
              <w:adjustRightInd w:val="0"/>
              <w:snapToGrid w:val="0"/>
              <w:spacing w:after="200" w:line="240" w:lineRule="auto"/>
              <w:ind w:left="471" w:firstLine="0"/>
              <w:jc w:val="center"/>
              <w:rPr>
                <w:rFonts w:hint="eastAsia" w:ascii="Times New Roman" w:hAnsi="Times New Roman" w:eastAsia="宋体" w:cs="Times New Roman"/>
                <w:b/>
                <w:bCs/>
                <w:color w:val="auto"/>
                <w:kern w:val="0"/>
                <w:sz w:val="21"/>
                <w:szCs w:val="21"/>
                <w:highlight w:val="none"/>
                <w:lang w:val="en-US" w:eastAsia="zh-CN" w:bidi="ar-SA"/>
              </w:rPr>
            </w:pPr>
          </w:p>
          <w:p>
            <w:pPr>
              <w:widowControl/>
              <w:tabs>
                <w:tab w:val="left" w:pos="420"/>
              </w:tabs>
              <w:adjustRightInd w:val="0"/>
              <w:snapToGrid w:val="0"/>
              <w:spacing w:after="200" w:line="240" w:lineRule="auto"/>
              <w:jc w:val="center"/>
              <w:rPr>
                <w:rFonts w:ascii="Times New Roman" w:hAnsi="Times New Roman" w:eastAsia="黑体" w:cs="宋体"/>
                <w:color w:val="auto"/>
                <w:kern w:val="0"/>
                <w:sz w:val="24"/>
                <w:szCs w:val="20"/>
                <w:highlight w:val="none"/>
                <w:lang w:val="en-US" w:eastAsia="zh-CN" w:bidi="ar-SA"/>
              </w:rPr>
            </w:pPr>
            <w:r>
              <w:rPr>
                <w:color w:val="auto"/>
                <w:highlight w:val="none"/>
              </w:rPr>
              <w:drawing>
                <wp:inline distT="0" distB="0" distL="114300" distR="114300">
                  <wp:extent cx="5491480" cy="3671570"/>
                  <wp:effectExtent l="9525" t="9525" r="23495" b="1460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8"/>
                          <a:stretch>
                            <a:fillRect/>
                          </a:stretch>
                        </pic:blipFill>
                        <pic:spPr>
                          <a:xfrm>
                            <a:off x="0" y="0"/>
                            <a:ext cx="5491480" cy="3671570"/>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7-9</w:t>
            </w:r>
            <w:r>
              <w:rPr>
                <w:rFonts w:hint="eastAsia" w:ascii="Times New Roman" w:hAnsi="Times New Roman" w:eastAsia="宋体" w:cs="Times New Roman"/>
                <w:b/>
                <w:bCs/>
                <w:color w:val="auto"/>
                <w:kern w:val="0"/>
                <w:sz w:val="21"/>
                <w:szCs w:val="21"/>
                <w:highlight w:val="none"/>
                <w:lang w:val="en-US" w:eastAsia="zh-CN" w:bidi="ar-SA"/>
              </w:rPr>
              <w:t xml:space="preserve"> 项目燃料废气点源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结果截图（1小时浓度）</w:t>
            </w:r>
          </w:p>
          <w:p>
            <w:pPr>
              <w:widowControl/>
              <w:tabs>
                <w:tab w:val="left" w:pos="420"/>
              </w:tabs>
              <w:adjustRightInd w:val="0"/>
              <w:snapToGrid w:val="0"/>
              <w:spacing w:after="200" w:line="240" w:lineRule="auto"/>
              <w:jc w:val="center"/>
              <w:rPr>
                <w:rFonts w:ascii="Calibri" w:hAnsi="Calibri"/>
                <w:color w:val="auto"/>
                <w:kern w:val="0"/>
                <w:sz w:val="22"/>
                <w:szCs w:val="22"/>
                <w:highlight w:val="none"/>
              </w:rPr>
            </w:pPr>
            <w:r>
              <w:rPr>
                <w:color w:val="auto"/>
                <w:highlight w:val="none"/>
              </w:rPr>
              <w:drawing>
                <wp:inline distT="0" distB="0" distL="114300" distR="114300">
                  <wp:extent cx="5335905" cy="3934460"/>
                  <wp:effectExtent l="9525" t="9525" r="26670" b="18415"/>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29"/>
                          <a:stretch>
                            <a:fillRect/>
                          </a:stretch>
                        </pic:blipFill>
                        <pic:spPr>
                          <a:xfrm>
                            <a:off x="0" y="0"/>
                            <a:ext cx="5335905" cy="3934460"/>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7-10</w:t>
            </w:r>
            <w:r>
              <w:rPr>
                <w:rFonts w:hint="eastAsia" w:ascii="Times New Roman" w:hAnsi="Times New Roman" w:eastAsia="宋体" w:cs="Times New Roman"/>
                <w:b/>
                <w:bCs/>
                <w:color w:val="auto"/>
                <w:kern w:val="0"/>
                <w:sz w:val="21"/>
                <w:szCs w:val="21"/>
                <w:highlight w:val="none"/>
                <w:lang w:val="en-US" w:eastAsia="zh-CN" w:bidi="ar-SA"/>
              </w:rPr>
              <w:t xml:space="preserve"> 项目面源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结果截图（1小时浓度占标率）</w:t>
            </w:r>
          </w:p>
          <w:p>
            <w:pPr>
              <w:widowControl/>
              <w:tabs>
                <w:tab w:val="left" w:pos="420"/>
              </w:tabs>
              <w:adjustRightInd w:val="0"/>
              <w:snapToGrid w:val="0"/>
              <w:spacing w:after="200" w:line="276" w:lineRule="auto"/>
              <w:jc w:val="center"/>
              <w:rPr>
                <w:rFonts w:ascii="Times New Roman" w:hAnsi="Times New Roman" w:eastAsia="宋体" w:cs="Times New Roman"/>
                <w:color w:val="auto"/>
                <w:kern w:val="0"/>
                <w:sz w:val="21"/>
                <w:szCs w:val="21"/>
                <w:highlight w:val="none"/>
                <w:lang w:val="en-US" w:eastAsia="zh-CN" w:bidi="ar-SA"/>
              </w:rPr>
            </w:pPr>
            <w:r>
              <w:rPr>
                <w:color w:val="auto"/>
                <w:highlight w:val="none"/>
              </w:rPr>
              <w:drawing>
                <wp:inline distT="0" distB="0" distL="114300" distR="114300">
                  <wp:extent cx="5346065" cy="3979545"/>
                  <wp:effectExtent l="9525" t="9525" r="16510" b="11430"/>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pic:cNvPicPr>
                            <a:picLocks noChangeAspect="1"/>
                          </pic:cNvPicPr>
                        </pic:nvPicPr>
                        <pic:blipFill>
                          <a:blip r:embed="rId30"/>
                          <a:stretch>
                            <a:fillRect/>
                          </a:stretch>
                        </pic:blipFill>
                        <pic:spPr>
                          <a:xfrm>
                            <a:off x="0" y="0"/>
                            <a:ext cx="5346065" cy="3979545"/>
                          </a:xfrm>
                          <a:prstGeom prst="rect">
                            <a:avLst/>
                          </a:prstGeom>
                          <a:noFill/>
                          <a:ln>
                            <a:solidFill>
                              <a:schemeClr val="tx1"/>
                            </a:solidFill>
                          </a:ln>
                        </pic:spPr>
                      </pic:pic>
                    </a:graphicData>
                  </a:graphic>
                </wp:inline>
              </w:drawing>
            </w:r>
          </w:p>
          <w:p>
            <w:pPr>
              <w:widowControl/>
              <w:tabs>
                <w:tab w:val="left" w:pos="420"/>
              </w:tabs>
              <w:adjustRightInd w:val="0"/>
              <w:snapToGrid w:val="0"/>
              <w:spacing w:after="200" w:line="240" w:lineRule="auto"/>
              <w:ind w:left="471" w:firstLine="0"/>
              <w:jc w:val="center"/>
              <w:rPr>
                <w:rFonts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图</w:t>
            </w:r>
            <w:r>
              <w:rPr>
                <w:rFonts w:hint="eastAsia" w:cs="Times New Roman"/>
                <w:b/>
                <w:bCs/>
                <w:color w:val="auto"/>
                <w:kern w:val="0"/>
                <w:sz w:val="21"/>
                <w:szCs w:val="21"/>
                <w:highlight w:val="none"/>
                <w:lang w:val="en-US" w:eastAsia="zh-CN" w:bidi="ar-SA"/>
              </w:rPr>
              <w:t>7-11</w:t>
            </w:r>
            <w:r>
              <w:rPr>
                <w:rFonts w:hint="eastAsia" w:ascii="Times New Roman" w:hAnsi="Times New Roman" w:eastAsia="宋体" w:cs="Times New Roman"/>
                <w:b/>
                <w:bCs/>
                <w:color w:val="auto"/>
                <w:kern w:val="0"/>
                <w:sz w:val="21"/>
                <w:szCs w:val="21"/>
                <w:highlight w:val="none"/>
                <w:lang w:val="en-US" w:eastAsia="zh-CN" w:bidi="ar-SA"/>
              </w:rPr>
              <w:t xml:space="preserve"> 项目面源</w:t>
            </w:r>
            <w:r>
              <w:rPr>
                <w:rFonts w:ascii="Times New Roman" w:hAnsi="Times New Roman" w:eastAsia="宋体" w:cs="Times New Roman"/>
                <w:b/>
                <w:bCs/>
                <w:color w:val="auto"/>
                <w:kern w:val="0"/>
                <w:sz w:val="21"/>
                <w:szCs w:val="21"/>
                <w:highlight w:val="none"/>
                <w:lang w:val="en-US" w:eastAsia="zh-CN" w:bidi="ar-SA"/>
              </w:rPr>
              <w:t>筛选</w:t>
            </w:r>
            <w:r>
              <w:rPr>
                <w:rFonts w:hint="eastAsia" w:ascii="Times New Roman" w:hAnsi="Times New Roman" w:eastAsia="宋体" w:cs="Times New Roman"/>
                <w:b/>
                <w:bCs/>
                <w:color w:val="auto"/>
                <w:kern w:val="0"/>
                <w:sz w:val="21"/>
                <w:szCs w:val="21"/>
                <w:highlight w:val="none"/>
                <w:lang w:val="en-US" w:eastAsia="zh-CN" w:bidi="ar-SA"/>
              </w:rPr>
              <w:t>结果截图（1小时浓度）</w:t>
            </w:r>
          </w:p>
          <w:p>
            <w:pPr>
              <w:widowControl/>
              <w:numPr>
                <w:ilvl w:val="0"/>
                <w:numId w:val="0"/>
              </w:numPr>
              <w:tabs>
                <w:tab w:val="left" w:pos="420"/>
              </w:tabs>
              <w:adjustRightInd w:val="0"/>
              <w:snapToGrid w:val="0"/>
              <w:spacing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表7-10  </w:t>
            </w:r>
            <w:r>
              <w:rPr>
                <w:rFonts w:ascii="Times New Roman" w:hAnsi="Times New Roman" w:eastAsia="宋体" w:cs="Times New Roman"/>
                <w:b/>
                <w:color w:val="auto"/>
                <w:kern w:val="0"/>
                <w:sz w:val="21"/>
                <w:szCs w:val="21"/>
                <w:highlight w:val="none"/>
                <w:lang w:val="en-US" w:eastAsia="zh-CN" w:bidi="ar-SA"/>
              </w:rPr>
              <w:t>估算模式最大地面浓度占标率计算结果</w:t>
            </w:r>
          </w:p>
          <w:tbl>
            <w:tblPr>
              <w:tblStyle w:val="34"/>
              <w:tblW w:w="903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31"/>
              <w:gridCol w:w="1025"/>
              <w:gridCol w:w="1396"/>
              <w:gridCol w:w="923"/>
              <w:gridCol w:w="1269"/>
              <w:gridCol w:w="981"/>
              <w:gridCol w:w="981"/>
              <w:gridCol w:w="173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19" w:hRule="atLeast"/>
                <w:tblHeader/>
                <w:jc w:val="center"/>
              </w:trPr>
              <w:tc>
                <w:tcPr>
                  <w:tcW w:w="731"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类型</w:t>
                  </w:r>
                </w:p>
              </w:tc>
              <w:tc>
                <w:tcPr>
                  <w:tcW w:w="1025"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项目</w:t>
                  </w:r>
                </w:p>
              </w:tc>
              <w:tc>
                <w:tcPr>
                  <w:tcW w:w="1396"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污染物</w:t>
                  </w:r>
                </w:p>
              </w:tc>
              <w:tc>
                <w:tcPr>
                  <w:tcW w:w="4154" w:type="dxa"/>
                  <w:gridSpan w:val="4"/>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计算结果</w:t>
                  </w:r>
                </w:p>
              </w:tc>
              <w:tc>
                <w:tcPr>
                  <w:tcW w:w="1731" w:type="dxa"/>
                  <w:vMerge w:val="restart"/>
                  <w:tcBorders>
                    <w:tl2br w:val="nil"/>
                    <w:tr2bl w:val="nil"/>
                  </w:tcBorders>
                  <w:vAlign w:val="center"/>
                </w:tcPr>
                <w:p>
                  <w:pPr>
                    <w:widowControl w:val="0"/>
                    <w:autoSpaceDE w:val="0"/>
                    <w:autoSpaceDN w:val="0"/>
                    <w:spacing w:after="0" w:line="240" w:lineRule="auto"/>
                    <w:jc w:val="center"/>
                    <w:rPr>
                      <w:rFonts w:hint="eastAsia" w:ascii="Times New Roman" w:hAnsi="Times New Roman" w:eastAsia="宋体" w:cs="Times New Roman"/>
                      <w:b/>
                      <w:bCs/>
                      <w:color w:val="auto"/>
                      <w:kern w:val="2"/>
                      <w:sz w:val="21"/>
                      <w:szCs w:val="21"/>
                      <w:highlight w:val="none"/>
                      <w:lang w:eastAsia="zh-CN"/>
                    </w:rPr>
                  </w:pPr>
                  <w:r>
                    <w:rPr>
                      <w:rFonts w:hint="eastAsia" w:cs="Times New Roman"/>
                      <w:b/>
                      <w:bCs/>
                      <w:color w:val="auto"/>
                      <w:kern w:val="2"/>
                      <w:sz w:val="21"/>
                      <w:szCs w:val="21"/>
                      <w:highlight w:val="none"/>
                      <w:lang w:eastAsia="zh-CN"/>
                    </w:rPr>
                    <w:t>评价等级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26" w:hRule="atLeast"/>
                <w:tblHeader/>
                <w:jc w:val="center"/>
              </w:trPr>
              <w:tc>
                <w:tcPr>
                  <w:tcW w:w="731"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p>
              </w:tc>
              <w:tc>
                <w:tcPr>
                  <w:tcW w:w="1025"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p>
              </w:tc>
              <w:tc>
                <w:tcPr>
                  <w:tcW w:w="1396"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p>
              </w:tc>
              <w:tc>
                <w:tcPr>
                  <w:tcW w:w="923"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shd w:val="clear" w:color="auto" w:fill="FFFFFF"/>
                    </w:rPr>
                  </w:pPr>
                  <w:r>
                    <w:rPr>
                      <w:rFonts w:ascii="Times New Roman" w:hAnsi="Times New Roman" w:eastAsia="宋体" w:cs="Times New Roman"/>
                      <w:b/>
                      <w:bCs/>
                      <w:color w:val="auto"/>
                      <w:kern w:val="2"/>
                      <w:position w:val="-6"/>
                      <w:sz w:val="21"/>
                      <w:szCs w:val="21"/>
                      <w:highlight w:val="none"/>
                      <w:shd w:val="clear" w:color="auto" w:fill="FFFFFF"/>
                    </w:rPr>
                    <w:object>
                      <v:shape id="_x0000_i1025" o:spt="75" type="#_x0000_t75" style="height:13.95pt;width:13.95pt;" o:ole="t" filled="f" o:preferrelative="t" stroked="f" coordsize="21600,21600">
                        <v:path/>
                        <v:fill on="f" focussize="0,0"/>
                        <v:stroke on="f"/>
                        <v:imagedata r:id="rId32" o:title=""/>
                        <o:lock v:ext="edit" aspectratio="t"/>
                        <w10:wrap type="none"/>
                        <w10:anchorlock/>
                      </v:shape>
                      <o:OLEObject Type="Embed" ProgID="Equation.3" ShapeID="_x0000_i1025" DrawAspect="Content" ObjectID="_1468075725" r:id="rId31">
                        <o:LockedField>false</o:LockedField>
                      </o:OLEObject>
                    </w:object>
                  </w:r>
                  <w:r>
                    <w:rPr>
                      <w:rFonts w:ascii="Times New Roman" w:hAnsi="Times New Roman" w:eastAsia="宋体" w:cs="Times New Roman"/>
                      <w:b/>
                      <w:bCs/>
                      <w:color w:val="auto"/>
                      <w:kern w:val="2"/>
                      <w:sz w:val="21"/>
                      <w:szCs w:val="21"/>
                      <w:highlight w:val="none"/>
                    </w:rPr>
                    <w:t>（%）</w:t>
                  </w:r>
                </w:p>
              </w:tc>
              <w:tc>
                <w:tcPr>
                  <w:tcW w:w="1269" w:type="dxa"/>
                  <w:tcBorders>
                    <w:right w:val="single" w:color="auto" w:sz="4" w:space="0"/>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预测浓度（mg/m</w:t>
                  </w:r>
                  <w:r>
                    <w:rPr>
                      <w:rFonts w:ascii="Times New Roman" w:hAnsi="Times New Roman" w:eastAsia="宋体" w:cs="Times New Roman"/>
                      <w:b/>
                      <w:bCs/>
                      <w:color w:val="auto"/>
                      <w:kern w:val="0"/>
                      <w:sz w:val="21"/>
                      <w:szCs w:val="21"/>
                      <w:highlight w:val="none"/>
                      <w:vertAlign w:val="superscript"/>
                    </w:rPr>
                    <w:t>3</w:t>
                  </w:r>
                  <w:r>
                    <w:rPr>
                      <w:rFonts w:ascii="Times New Roman" w:hAnsi="Times New Roman" w:eastAsia="宋体" w:cs="Times New Roman"/>
                      <w:b/>
                      <w:bCs/>
                      <w:color w:val="auto"/>
                      <w:kern w:val="0"/>
                      <w:sz w:val="21"/>
                      <w:szCs w:val="21"/>
                      <w:highlight w:val="none"/>
                    </w:rPr>
                    <w:t>）</w:t>
                  </w:r>
                </w:p>
              </w:tc>
              <w:tc>
                <w:tcPr>
                  <w:tcW w:w="981" w:type="dxa"/>
                  <w:tcBorders>
                    <w:left w:val="single" w:color="auto" w:sz="4" w:space="0"/>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0"/>
                      <w:sz w:val="21"/>
                      <w:szCs w:val="21"/>
                      <w:highlight w:val="none"/>
                    </w:rPr>
                  </w:pPr>
                  <w:r>
                    <w:rPr>
                      <w:rFonts w:hint="eastAsia" w:cs="Times New Roman"/>
                      <w:b/>
                      <w:bCs/>
                      <w:color w:val="auto"/>
                      <w:sz w:val="21"/>
                      <w:szCs w:val="21"/>
                      <w:highlight w:val="none"/>
                      <w:lang w:eastAsia="zh-CN"/>
                    </w:rPr>
                    <w:t>离源距离</w:t>
                  </w:r>
                  <w:r>
                    <w:rPr>
                      <w:rFonts w:ascii="Times New Roman" w:hAnsi="Times New Roman" w:eastAsia="宋体" w:cs="Times New Roman"/>
                      <w:b/>
                      <w:bCs/>
                      <w:color w:val="auto"/>
                      <w:kern w:val="2"/>
                      <w:sz w:val="21"/>
                      <w:szCs w:val="21"/>
                      <w:highlight w:val="none"/>
                    </w:rPr>
                    <w:t>（m）</w:t>
                  </w:r>
                </w:p>
              </w:tc>
              <w:tc>
                <w:tcPr>
                  <w:tcW w:w="98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D10%（m）</w:t>
                  </w:r>
                </w:p>
              </w:tc>
              <w:tc>
                <w:tcPr>
                  <w:tcW w:w="1731"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3" w:hRule="atLeast"/>
                <w:tblHeader/>
                <w:jc w:val="center"/>
              </w:trPr>
              <w:tc>
                <w:tcPr>
                  <w:tcW w:w="731"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hint="eastAsia" w:ascii="Times New Roman" w:hAnsi="Times New Roman" w:eastAsia="宋体" w:cs="Times New Roman"/>
                      <w:bCs/>
                      <w:color w:val="auto"/>
                      <w:kern w:val="2"/>
                      <w:sz w:val="21"/>
                      <w:szCs w:val="21"/>
                      <w:highlight w:val="none"/>
                      <w:shd w:val="clear" w:color="auto" w:fill="auto"/>
                    </w:rPr>
                    <w:t>有组织</w:t>
                  </w:r>
                </w:p>
              </w:tc>
              <w:tc>
                <w:tcPr>
                  <w:tcW w:w="1025" w:type="dxa"/>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G1</w:t>
                  </w:r>
                </w:p>
              </w:tc>
              <w:tc>
                <w:tcPr>
                  <w:tcW w:w="1396"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非甲烷总烃</w:t>
                  </w:r>
                </w:p>
              </w:tc>
              <w:tc>
                <w:tcPr>
                  <w:tcW w:w="923" w:type="dxa"/>
                  <w:tcBorders>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2"/>
                      <w:position w:val="-6"/>
                      <w:sz w:val="21"/>
                      <w:szCs w:val="21"/>
                      <w:highlight w:val="none"/>
                      <w:shd w:val="clear" w:color="auto" w:fill="auto"/>
                      <w:lang w:val="en-US" w:eastAsia="zh-CN"/>
                    </w:rPr>
                  </w:pPr>
                  <w:r>
                    <w:rPr>
                      <w:rFonts w:hint="eastAsia" w:cs="Times New Roman"/>
                      <w:bCs/>
                      <w:color w:val="auto"/>
                      <w:kern w:val="2"/>
                      <w:position w:val="-6"/>
                      <w:sz w:val="21"/>
                      <w:szCs w:val="21"/>
                      <w:highlight w:val="none"/>
                      <w:shd w:val="clear" w:color="auto" w:fill="auto"/>
                      <w:lang w:val="en-US" w:eastAsia="zh-CN"/>
                    </w:rPr>
                    <w:t>0.00</w:t>
                  </w:r>
                </w:p>
              </w:tc>
              <w:tc>
                <w:tcPr>
                  <w:tcW w:w="1269" w:type="dxa"/>
                  <w:tcBorders>
                    <w:righ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cs="Times New Roman"/>
                      <w:bCs/>
                      <w:color w:val="auto"/>
                      <w:kern w:val="0"/>
                      <w:sz w:val="21"/>
                      <w:szCs w:val="21"/>
                      <w:highlight w:val="none"/>
                      <w:shd w:val="clear" w:color="auto" w:fill="auto"/>
                      <w:lang w:val="en-US" w:eastAsia="zh-CN"/>
                    </w:rPr>
                    <w:t>2.33E-05</w:t>
                  </w:r>
                </w:p>
              </w:tc>
              <w:tc>
                <w:tcPr>
                  <w:tcW w:w="981" w:type="dxa"/>
                  <w:tcBorders>
                    <w:lef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cs="Times New Roman"/>
                      <w:bCs/>
                      <w:color w:val="auto"/>
                      <w:kern w:val="0"/>
                      <w:sz w:val="21"/>
                      <w:szCs w:val="21"/>
                      <w:highlight w:val="none"/>
                      <w:shd w:val="clear" w:color="auto" w:fill="auto"/>
                      <w:lang w:val="en-US" w:eastAsia="zh-CN"/>
                    </w:rPr>
                    <w:t>69</w:t>
                  </w:r>
                </w:p>
              </w:tc>
              <w:tc>
                <w:tcPr>
                  <w:tcW w:w="981"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tl2br w:val="nil"/>
                    <w:tr2bl w:val="nil"/>
                  </w:tcBorders>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shd w:val="clear" w:color="auto" w:fill="auto"/>
                      <w:lang w:eastAsia="zh-CN"/>
                    </w:rPr>
                  </w:pPr>
                  <w:r>
                    <w:rPr>
                      <w:rFonts w:hint="eastAsia" w:cs="Times New Roman"/>
                      <w:color w:val="auto"/>
                      <w:kern w:val="2"/>
                      <w:sz w:val="21"/>
                      <w:szCs w:val="21"/>
                      <w:highlight w:val="none"/>
                      <w:shd w:val="clear" w:color="auto" w:fill="auto"/>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3" w:hRule="atLeast"/>
                <w:tblHeader/>
                <w:jc w:val="center"/>
              </w:trPr>
              <w:tc>
                <w:tcPr>
                  <w:tcW w:w="731"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shd w:val="clear" w:color="auto" w:fill="auto"/>
                    </w:rPr>
                  </w:pPr>
                </w:p>
              </w:tc>
              <w:tc>
                <w:tcPr>
                  <w:tcW w:w="1025" w:type="dxa"/>
                  <w:vMerge w:val="restart"/>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G</w:t>
                  </w:r>
                  <w:r>
                    <w:rPr>
                      <w:rFonts w:hint="eastAsia" w:ascii="Times New Roman" w:hAnsi="Times New Roman" w:eastAsia="宋体" w:cs="Times New Roman"/>
                      <w:color w:val="auto"/>
                      <w:kern w:val="2"/>
                      <w:sz w:val="21"/>
                      <w:szCs w:val="21"/>
                      <w:highlight w:val="none"/>
                      <w:shd w:val="clear" w:color="auto" w:fill="auto"/>
                    </w:rPr>
                    <w:t>2</w:t>
                  </w:r>
                </w:p>
              </w:tc>
              <w:tc>
                <w:tcPr>
                  <w:tcW w:w="1396" w:type="dxa"/>
                  <w:tcBorders>
                    <w:bottom w:val="single" w:color="auto" w:sz="4" w:space="0"/>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Cs/>
                      <w:color w:val="auto"/>
                      <w:kern w:val="2"/>
                      <w:sz w:val="21"/>
                      <w:szCs w:val="21"/>
                      <w:highlight w:val="none"/>
                      <w:shd w:val="clear" w:color="auto" w:fill="auto"/>
                    </w:rPr>
                  </w:pPr>
                  <w:r>
                    <w:rPr>
                      <w:rFonts w:hint="eastAsia" w:ascii="Times New Roman" w:hAnsi="Impact" w:eastAsia="宋体" w:cs="Times New Roman"/>
                      <w:color w:val="auto"/>
                      <w:kern w:val="24"/>
                      <w:sz w:val="21"/>
                      <w:szCs w:val="21"/>
                      <w:highlight w:val="none"/>
                      <w:shd w:val="clear" w:color="auto" w:fill="auto"/>
                    </w:rPr>
                    <w:t>SO</w:t>
                  </w:r>
                  <w:r>
                    <w:rPr>
                      <w:rFonts w:hint="eastAsia" w:ascii="Times New Roman" w:hAnsi="Impact" w:eastAsia="宋体" w:cs="Times New Roman"/>
                      <w:color w:val="auto"/>
                      <w:kern w:val="24"/>
                      <w:sz w:val="21"/>
                      <w:szCs w:val="21"/>
                      <w:highlight w:val="none"/>
                      <w:shd w:val="clear" w:color="auto" w:fill="auto"/>
                      <w:vertAlign w:val="subscript"/>
                    </w:rPr>
                    <w:t>2</w:t>
                  </w:r>
                </w:p>
              </w:tc>
              <w:tc>
                <w:tcPr>
                  <w:tcW w:w="923" w:type="dxa"/>
                  <w:tcBorders>
                    <w:bottom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2"/>
                      <w:position w:val="-6"/>
                      <w:sz w:val="21"/>
                      <w:szCs w:val="21"/>
                      <w:highlight w:val="none"/>
                      <w:shd w:val="clear" w:color="auto" w:fill="auto"/>
                      <w:lang w:val="en-US" w:eastAsia="zh-CN"/>
                    </w:rPr>
                  </w:pPr>
                  <w:r>
                    <w:rPr>
                      <w:rFonts w:hint="eastAsia" w:cs="Times New Roman"/>
                      <w:bCs/>
                      <w:color w:val="auto"/>
                      <w:kern w:val="2"/>
                      <w:position w:val="-6"/>
                      <w:sz w:val="21"/>
                      <w:szCs w:val="21"/>
                      <w:highlight w:val="none"/>
                      <w:shd w:val="clear" w:color="auto" w:fill="auto"/>
                      <w:lang w:val="en-US" w:eastAsia="zh-CN"/>
                    </w:rPr>
                    <w:t>0.02</w:t>
                  </w:r>
                </w:p>
              </w:tc>
              <w:tc>
                <w:tcPr>
                  <w:tcW w:w="1269" w:type="dxa"/>
                  <w:tcBorders>
                    <w:bottom w:val="single" w:color="auto" w:sz="4" w:space="0"/>
                    <w:righ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eastAsia="宋体" w:cs="Times New Roman"/>
                      <w:bCs/>
                      <w:color w:val="auto"/>
                      <w:kern w:val="0"/>
                      <w:sz w:val="21"/>
                      <w:szCs w:val="21"/>
                      <w:highlight w:val="none"/>
                      <w:shd w:val="clear" w:color="auto" w:fill="auto"/>
                      <w:lang w:val="en-US" w:eastAsia="zh-CN"/>
                    </w:rPr>
                    <w:t>0.000</w:t>
                  </w:r>
                  <w:r>
                    <w:rPr>
                      <w:rFonts w:hint="eastAsia" w:cs="Times New Roman"/>
                      <w:bCs/>
                      <w:color w:val="auto"/>
                      <w:kern w:val="0"/>
                      <w:sz w:val="21"/>
                      <w:szCs w:val="21"/>
                      <w:highlight w:val="none"/>
                      <w:shd w:val="clear" w:color="auto" w:fill="auto"/>
                      <w:lang w:val="en-US" w:eastAsia="zh-CN"/>
                    </w:rPr>
                    <w:t>1</w:t>
                  </w:r>
                </w:p>
              </w:tc>
              <w:tc>
                <w:tcPr>
                  <w:tcW w:w="981" w:type="dxa"/>
                  <w:tcBorders>
                    <w:left w:val="single" w:color="auto" w:sz="4" w:space="0"/>
                    <w:bottom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cs="Times New Roman"/>
                      <w:bCs/>
                      <w:color w:val="auto"/>
                      <w:kern w:val="0"/>
                      <w:sz w:val="21"/>
                      <w:szCs w:val="21"/>
                      <w:highlight w:val="none"/>
                      <w:shd w:val="clear" w:color="auto" w:fill="auto"/>
                      <w:lang w:val="en-US" w:eastAsia="zh-CN"/>
                    </w:rPr>
                    <w:t>53</w:t>
                  </w:r>
                </w:p>
              </w:tc>
              <w:tc>
                <w:tcPr>
                  <w:tcW w:w="981" w:type="dxa"/>
                  <w:tcBorders>
                    <w:bottom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bottom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hint="eastAsia" w:cs="Times New Roman"/>
                      <w:color w:val="auto"/>
                      <w:kern w:val="2"/>
                      <w:sz w:val="21"/>
                      <w:szCs w:val="21"/>
                      <w:highlight w:val="none"/>
                      <w:shd w:val="clear" w:color="auto" w:fill="auto"/>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2" w:hRule="atLeast"/>
                <w:tblHeader/>
                <w:jc w:val="center"/>
              </w:trPr>
              <w:tc>
                <w:tcPr>
                  <w:tcW w:w="731"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shd w:val="clear" w:color="auto" w:fill="auto"/>
                    </w:rPr>
                  </w:pPr>
                </w:p>
              </w:tc>
              <w:tc>
                <w:tcPr>
                  <w:tcW w:w="1025"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p>
              </w:tc>
              <w:tc>
                <w:tcPr>
                  <w:tcW w:w="1396" w:type="dxa"/>
                  <w:tcBorders>
                    <w:top w:val="single" w:color="auto" w:sz="4" w:space="0"/>
                    <w:bottom w:val="single" w:color="auto" w:sz="4" w:space="0"/>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Cs/>
                      <w:color w:val="auto"/>
                      <w:kern w:val="2"/>
                      <w:sz w:val="21"/>
                      <w:szCs w:val="21"/>
                      <w:highlight w:val="none"/>
                      <w:shd w:val="clear" w:color="auto" w:fill="auto"/>
                    </w:rPr>
                  </w:pPr>
                  <w:r>
                    <w:rPr>
                      <w:rFonts w:hint="eastAsia" w:ascii="Times New Roman" w:hAnsi="Impact" w:eastAsia="宋体" w:cs="Times New Roman"/>
                      <w:color w:val="auto"/>
                      <w:kern w:val="24"/>
                      <w:sz w:val="21"/>
                      <w:szCs w:val="21"/>
                      <w:highlight w:val="none"/>
                      <w:shd w:val="clear" w:color="auto" w:fill="auto"/>
                    </w:rPr>
                    <w:t>NO</w:t>
                  </w:r>
                  <w:r>
                    <w:rPr>
                      <w:rFonts w:hint="eastAsia" w:ascii="Times New Roman" w:hAnsi="Impact" w:eastAsia="宋体" w:cs="Times New Roman"/>
                      <w:color w:val="auto"/>
                      <w:kern w:val="24"/>
                      <w:sz w:val="21"/>
                      <w:szCs w:val="21"/>
                      <w:highlight w:val="none"/>
                      <w:shd w:val="clear" w:color="auto" w:fill="auto"/>
                      <w:vertAlign w:val="subscript"/>
                    </w:rPr>
                    <w:t>X</w:t>
                  </w:r>
                </w:p>
              </w:tc>
              <w:tc>
                <w:tcPr>
                  <w:tcW w:w="923" w:type="dxa"/>
                  <w:tcBorders>
                    <w:top w:val="single" w:color="auto" w:sz="4" w:space="0"/>
                    <w:bottom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2"/>
                      <w:position w:val="-6"/>
                      <w:sz w:val="21"/>
                      <w:szCs w:val="21"/>
                      <w:highlight w:val="none"/>
                      <w:shd w:val="clear" w:color="auto" w:fill="auto"/>
                      <w:lang w:val="en-US" w:eastAsia="zh-CN"/>
                    </w:rPr>
                  </w:pPr>
                  <w:r>
                    <w:rPr>
                      <w:rFonts w:hint="eastAsia" w:cs="Times New Roman"/>
                      <w:bCs/>
                      <w:color w:val="auto"/>
                      <w:kern w:val="2"/>
                      <w:position w:val="-6"/>
                      <w:sz w:val="21"/>
                      <w:szCs w:val="21"/>
                      <w:highlight w:val="none"/>
                      <w:shd w:val="clear" w:color="auto" w:fill="auto"/>
                      <w:lang w:val="en-US" w:eastAsia="zh-CN"/>
                    </w:rPr>
                    <w:t>0.05</w:t>
                  </w:r>
                </w:p>
              </w:tc>
              <w:tc>
                <w:tcPr>
                  <w:tcW w:w="1269" w:type="dxa"/>
                  <w:tcBorders>
                    <w:top w:val="single" w:color="auto" w:sz="4" w:space="0"/>
                    <w:bottom w:val="single" w:color="auto" w:sz="4" w:space="0"/>
                    <w:righ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eastAsia="宋体" w:cs="Times New Roman"/>
                      <w:bCs/>
                      <w:color w:val="auto"/>
                      <w:kern w:val="0"/>
                      <w:sz w:val="21"/>
                      <w:szCs w:val="21"/>
                      <w:highlight w:val="none"/>
                      <w:shd w:val="clear" w:color="auto" w:fill="auto"/>
                      <w:lang w:val="en-US" w:eastAsia="zh-CN"/>
                    </w:rPr>
                    <w:t>0.000</w:t>
                  </w:r>
                  <w:r>
                    <w:rPr>
                      <w:rFonts w:hint="eastAsia" w:cs="Times New Roman"/>
                      <w:bCs/>
                      <w:color w:val="auto"/>
                      <w:kern w:val="0"/>
                      <w:sz w:val="21"/>
                      <w:szCs w:val="21"/>
                      <w:highlight w:val="none"/>
                      <w:shd w:val="clear" w:color="auto" w:fill="auto"/>
                      <w:lang w:val="en-US" w:eastAsia="zh-CN"/>
                    </w:rPr>
                    <w:t>1</w:t>
                  </w:r>
                </w:p>
              </w:tc>
              <w:tc>
                <w:tcPr>
                  <w:tcW w:w="981" w:type="dxa"/>
                  <w:tcBorders>
                    <w:top w:val="single" w:color="auto" w:sz="4" w:space="0"/>
                    <w:left w:val="single" w:color="auto" w:sz="4" w:space="0"/>
                    <w:bottom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cs="Times New Roman"/>
                      <w:bCs/>
                      <w:color w:val="auto"/>
                      <w:kern w:val="0"/>
                      <w:sz w:val="21"/>
                      <w:szCs w:val="21"/>
                      <w:highlight w:val="none"/>
                      <w:shd w:val="clear" w:color="auto" w:fill="auto"/>
                      <w:lang w:val="en-US" w:eastAsia="zh-CN"/>
                    </w:rPr>
                    <w:t>53</w:t>
                  </w:r>
                </w:p>
              </w:tc>
              <w:tc>
                <w:tcPr>
                  <w:tcW w:w="981" w:type="dxa"/>
                  <w:tcBorders>
                    <w:top w:val="single" w:color="auto" w:sz="4" w:space="0"/>
                    <w:bottom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top w:val="single" w:color="auto" w:sz="4" w:space="0"/>
                    <w:bottom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hint="eastAsia" w:cs="Times New Roman"/>
                      <w:color w:val="auto"/>
                      <w:kern w:val="2"/>
                      <w:sz w:val="21"/>
                      <w:szCs w:val="21"/>
                      <w:highlight w:val="none"/>
                      <w:shd w:val="clear" w:color="auto" w:fill="auto"/>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731"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shd w:val="clear" w:color="auto" w:fill="auto"/>
                    </w:rPr>
                  </w:pPr>
                </w:p>
              </w:tc>
              <w:tc>
                <w:tcPr>
                  <w:tcW w:w="1025"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p>
              </w:tc>
              <w:tc>
                <w:tcPr>
                  <w:tcW w:w="1396" w:type="dxa"/>
                  <w:tcBorders>
                    <w:top w:val="single" w:color="auto" w:sz="4" w:space="0"/>
                    <w:tl2br w:val="nil"/>
                    <w:tr2bl w:val="nil"/>
                  </w:tcBorders>
                  <w:vAlign w:val="center"/>
                </w:tcPr>
                <w:p>
                  <w:pPr>
                    <w:widowControl/>
                    <w:topLinePunct/>
                    <w:autoSpaceDE w:val="0"/>
                    <w:autoSpaceDN w:val="0"/>
                    <w:adjustRightInd w:val="0"/>
                    <w:spacing w:after="0" w:line="240" w:lineRule="auto"/>
                    <w:jc w:val="center"/>
                    <w:textAlignment w:val="baseline"/>
                    <w:rPr>
                      <w:rFonts w:hint="default" w:ascii="Times New Roman" w:hAnsi="Times New Roman" w:eastAsia="宋体" w:cs="Times New Roman"/>
                      <w:bCs/>
                      <w:color w:val="auto"/>
                      <w:kern w:val="2"/>
                      <w:sz w:val="21"/>
                      <w:szCs w:val="21"/>
                      <w:highlight w:val="none"/>
                      <w:shd w:val="clear" w:color="auto" w:fill="auto"/>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rPr>
                    <w:t>PM</w:t>
                  </w:r>
                  <w:r>
                    <w:rPr>
                      <w:rFonts w:hint="eastAsia" w:ascii="Times New Roman" w:hAnsi="Times New Roman" w:eastAsia="宋体" w:cs="Times New Roman"/>
                      <w:color w:val="auto"/>
                      <w:kern w:val="2"/>
                      <w:sz w:val="21"/>
                      <w:szCs w:val="21"/>
                      <w:highlight w:val="none"/>
                      <w:shd w:val="clear" w:color="auto" w:fill="auto"/>
                      <w:vertAlign w:val="subscript"/>
                      <w:lang w:val="en-US" w:eastAsia="zh-CN"/>
                    </w:rPr>
                    <w:t>10</w:t>
                  </w:r>
                </w:p>
              </w:tc>
              <w:tc>
                <w:tcPr>
                  <w:tcW w:w="923" w:type="dxa"/>
                  <w:tcBorders>
                    <w:top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bCs/>
                      <w:color w:val="auto"/>
                      <w:kern w:val="2"/>
                      <w:position w:val="-6"/>
                      <w:sz w:val="21"/>
                      <w:szCs w:val="21"/>
                      <w:highlight w:val="none"/>
                      <w:shd w:val="clear" w:color="auto" w:fill="auto"/>
                      <w:lang w:val="en-US" w:eastAsia="zh-CN"/>
                    </w:rPr>
                  </w:pPr>
                  <w:r>
                    <w:rPr>
                      <w:rFonts w:hint="eastAsia" w:cs="Times New Roman"/>
                      <w:bCs/>
                      <w:color w:val="auto"/>
                      <w:kern w:val="2"/>
                      <w:position w:val="-6"/>
                      <w:sz w:val="21"/>
                      <w:szCs w:val="21"/>
                      <w:highlight w:val="none"/>
                      <w:shd w:val="clear" w:color="auto" w:fill="auto"/>
                      <w:lang w:val="en-US" w:eastAsia="zh-CN"/>
                    </w:rPr>
                    <w:t>0.01</w:t>
                  </w:r>
                </w:p>
              </w:tc>
              <w:tc>
                <w:tcPr>
                  <w:tcW w:w="1269" w:type="dxa"/>
                  <w:tcBorders>
                    <w:top w:val="single" w:color="auto" w:sz="4" w:space="0"/>
                    <w:righ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4"/>
                      <w:highlight w:val="none"/>
                      <w:shd w:val="clear" w:color="auto" w:fill="auto"/>
                      <w:lang w:val="en-US" w:eastAsia="zh-CN"/>
                    </w:rPr>
                  </w:pPr>
                  <w:r>
                    <w:rPr>
                      <w:rFonts w:hint="eastAsia" w:ascii="Times New Roman" w:hAnsi="Times New Roman" w:eastAsia="宋体" w:cs="Times New Roman"/>
                      <w:color w:val="auto"/>
                      <w:kern w:val="2"/>
                      <w:sz w:val="21"/>
                      <w:szCs w:val="24"/>
                      <w:highlight w:val="none"/>
                      <w:shd w:val="clear" w:color="auto" w:fill="auto"/>
                      <w:lang w:val="en-US" w:eastAsia="zh-CN"/>
                    </w:rPr>
                    <w:t>0.000</w:t>
                  </w:r>
                  <w:r>
                    <w:rPr>
                      <w:rFonts w:hint="eastAsia" w:cs="Times New Roman"/>
                      <w:color w:val="auto"/>
                      <w:kern w:val="2"/>
                      <w:sz w:val="21"/>
                      <w:szCs w:val="24"/>
                      <w:highlight w:val="none"/>
                      <w:shd w:val="clear" w:color="auto" w:fill="auto"/>
                      <w:lang w:val="en-US" w:eastAsia="zh-CN"/>
                    </w:rPr>
                    <w:t>0</w:t>
                  </w:r>
                </w:p>
              </w:tc>
              <w:tc>
                <w:tcPr>
                  <w:tcW w:w="981" w:type="dxa"/>
                  <w:tcBorders>
                    <w:top w:val="single" w:color="auto" w:sz="4" w:space="0"/>
                    <w:left w:val="single" w:color="auto" w:sz="4" w:space="0"/>
                    <w:tl2br w:val="nil"/>
                    <w:tr2bl w:val="nil"/>
                  </w:tcBorders>
                  <w:vAlign w:val="center"/>
                </w:tcPr>
                <w:p>
                  <w:pPr>
                    <w:widowControl w:val="0"/>
                    <w:autoSpaceDE w:val="0"/>
                    <w:autoSpaceDN w:val="0"/>
                    <w:spacing w:after="0" w:line="240" w:lineRule="auto"/>
                    <w:jc w:val="center"/>
                    <w:rPr>
                      <w:rFonts w:hint="default" w:ascii="Times New Roman" w:hAnsi="Times New Roman" w:eastAsia="宋体" w:cs="Times New Roman"/>
                      <w:color w:val="auto"/>
                      <w:kern w:val="2"/>
                      <w:sz w:val="21"/>
                      <w:szCs w:val="24"/>
                      <w:highlight w:val="none"/>
                      <w:shd w:val="clear" w:color="auto" w:fill="auto"/>
                      <w:lang w:val="en-US" w:eastAsia="zh-CN"/>
                    </w:rPr>
                  </w:pPr>
                  <w:r>
                    <w:rPr>
                      <w:rFonts w:hint="eastAsia" w:cs="Times New Roman"/>
                      <w:color w:val="auto"/>
                      <w:kern w:val="2"/>
                      <w:sz w:val="21"/>
                      <w:szCs w:val="24"/>
                      <w:highlight w:val="none"/>
                      <w:shd w:val="clear" w:color="auto" w:fill="auto"/>
                      <w:lang w:val="en-US" w:eastAsia="zh-CN"/>
                    </w:rPr>
                    <w:t>53</w:t>
                  </w:r>
                </w:p>
              </w:tc>
              <w:tc>
                <w:tcPr>
                  <w:tcW w:w="981" w:type="dxa"/>
                  <w:tcBorders>
                    <w:top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Cs/>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top w:val="single" w:color="auto" w:sz="4" w:space="0"/>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hint="eastAsia" w:cs="Times New Roman"/>
                      <w:color w:val="auto"/>
                      <w:kern w:val="2"/>
                      <w:sz w:val="21"/>
                      <w:szCs w:val="21"/>
                      <w:highlight w:val="none"/>
                      <w:shd w:val="clear" w:color="auto" w:fill="auto"/>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731" w:type="dxa"/>
                  <w:vMerge w:val="restart"/>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无组织</w:t>
                  </w:r>
                </w:p>
              </w:tc>
              <w:tc>
                <w:tcPr>
                  <w:tcW w:w="1025" w:type="dxa"/>
                  <w:vMerge w:val="restart"/>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bCs/>
                      <w:color w:val="auto"/>
                      <w:kern w:val="0"/>
                      <w:sz w:val="21"/>
                      <w:szCs w:val="21"/>
                      <w:highlight w:val="none"/>
                      <w:shd w:val="clear" w:color="auto" w:fill="auto"/>
                    </w:rPr>
                  </w:pPr>
                  <w:r>
                    <w:rPr>
                      <w:rFonts w:hint="eastAsia" w:ascii="Times New Roman" w:hAnsi="Times New Roman" w:eastAsia="宋体" w:cs="Times New Roman"/>
                      <w:color w:val="auto"/>
                      <w:kern w:val="2"/>
                      <w:sz w:val="21"/>
                      <w:szCs w:val="21"/>
                      <w:highlight w:val="none"/>
                      <w:shd w:val="clear" w:color="auto" w:fill="auto"/>
                    </w:rPr>
                    <w:t>生产车间</w:t>
                  </w:r>
                </w:p>
              </w:tc>
              <w:tc>
                <w:tcPr>
                  <w:tcW w:w="1396"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Impact" w:eastAsia="宋体" w:cs="Times New Roman"/>
                      <w:color w:val="auto"/>
                      <w:kern w:val="24"/>
                      <w:sz w:val="21"/>
                      <w:szCs w:val="21"/>
                      <w:highlight w:val="none"/>
                      <w:shd w:val="clear" w:color="auto" w:fill="auto"/>
                    </w:rPr>
                  </w:pPr>
                  <w:r>
                    <w:rPr>
                      <w:rFonts w:ascii="Times New Roman" w:hAnsi="Impact" w:eastAsia="宋体" w:cs="Times New Roman"/>
                      <w:color w:val="auto"/>
                      <w:kern w:val="24"/>
                      <w:sz w:val="21"/>
                      <w:szCs w:val="21"/>
                      <w:highlight w:val="none"/>
                      <w:shd w:val="clear" w:color="auto" w:fill="auto"/>
                    </w:rPr>
                    <w:t>非甲烷总烃</w:t>
                  </w:r>
                </w:p>
              </w:tc>
              <w:tc>
                <w:tcPr>
                  <w:tcW w:w="923"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0.13</w:t>
                  </w:r>
                </w:p>
              </w:tc>
              <w:tc>
                <w:tcPr>
                  <w:tcW w:w="1269" w:type="dxa"/>
                  <w:tcBorders>
                    <w:right w:val="single" w:color="auto" w:sz="4" w:space="0"/>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0.0027</w:t>
                  </w:r>
                </w:p>
              </w:tc>
              <w:tc>
                <w:tcPr>
                  <w:tcW w:w="981" w:type="dxa"/>
                  <w:tcBorders>
                    <w:left w:val="single" w:color="auto" w:sz="4" w:space="0"/>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18</w:t>
                  </w:r>
                </w:p>
              </w:tc>
              <w:tc>
                <w:tcPr>
                  <w:tcW w:w="981"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hint="eastAsia" w:cs="Times New Roman"/>
                      <w:color w:val="auto"/>
                      <w:kern w:val="2"/>
                      <w:sz w:val="21"/>
                      <w:szCs w:val="21"/>
                      <w:highlight w:val="none"/>
                      <w:shd w:val="clear" w:color="auto" w:fill="auto"/>
                      <w:lang w:eastAsia="zh-CN"/>
                    </w:rPr>
                    <w:t>三级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731" w:type="dxa"/>
                  <w:vMerge w:val="continue"/>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shd w:val="clear" w:color="auto" w:fill="auto"/>
                    </w:rPr>
                  </w:pPr>
                </w:p>
              </w:tc>
              <w:tc>
                <w:tcPr>
                  <w:tcW w:w="1025" w:type="dxa"/>
                  <w:vMerge w:val="continue"/>
                  <w:tcBorders>
                    <w:tl2br w:val="nil"/>
                    <w:tr2bl w:val="nil"/>
                  </w:tcBorders>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p>
              </w:tc>
              <w:tc>
                <w:tcPr>
                  <w:tcW w:w="1396" w:type="dxa"/>
                  <w:tcBorders>
                    <w:tl2br w:val="nil"/>
                    <w:tr2bl w:val="nil"/>
                  </w:tcBorders>
                  <w:vAlign w:val="center"/>
                </w:tcPr>
                <w:p>
                  <w:pPr>
                    <w:widowControl/>
                    <w:topLinePunct/>
                    <w:autoSpaceDE w:val="0"/>
                    <w:autoSpaceDN w:val="0"/>
                    <w:adjustRightInd w:val="0"/>
                    <w:spacing w:after="0" w:line="240" w:lineRule="auto"/>
                    <w:jc w:val="center"/>
                    <w:textAlignment w:val="baseline"/>
                    <w:rPr>
                      <w:rFonts w:ascii="Times New Roman" w:hAnsi="Impact" w:eastAsia="宋体" w:cs="Times New Roman"/>
                      <w:color w:val="auto"/>
                      <w:kern w:val="24"/>
                      <w:sz w:val="21"/>
                      <w:szCs w:val="21"/>
                      <w:highlight w:val="none"/>
                      <w:shd w:val="clear" w:color="auto" w:fill="auto"/>
                    </w:rPr>
                  </w:pPr>
                  <w:r>
                    <w:rPr>
                      <w:rFonts w:ascii="Times New Roman" w:hAnsi="Impact" w:eastAsia="宋体" w:cs="Times New Roman"/>
                      <w:color w:val="auto"/>
                      <w:kern w:val="24"/>
                      <w:sz w:val="21"/>
                      <w:szCs w:val="21"/>
                      <w:highlight w:val="none"/>
                      <w:shd w:val="clear" w:color="auto" w:fill="auto"/>
                    </w:rPr>
                    <w:t>TSP</w:t>
                  </w:r>
                </w:p>
              </w:tc>
              <w:tc>
                <w:tcPr>
                  <w:tcW w:w="923"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0.30</w:t>
                  </w:r>
                </w:p>
              </w:tc>
              <w:tc>
                <w:tcPr>
                  <w:tcW w:w="1269" w:type="dxa"/>
                  <w:tcBorders>
                    <w:right w:val="single" w:color="auto" w:sz="4" w:space="0"/>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0.0027</w:t>
                  </w:r>
                </w:p>
              </w:tc>
              <w:tc>
                <w:tcPr>
                  <w:tcW w:w="981" w:type="dxa"/>
                  <w:tcBorders>
                    <w:left w:val="single" w:color="auto" w:sz="4" w:space="0"/>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rPr>
                    <w:t>18</w:t>
                  </w:r>
                </w:p>
              </w:tc>
              <w:tc>
                <w:tcPr>
                  <w:tcW w:w="981"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w:t>
                  </w:r>
                </w:p>
              </w:tc>
              <w:tc>
                <w:tcPr>
                  <w:tcW w:w="1731"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hint="eastAsia" w:cs="Times New Roman"/>
                      <w:color w:val="auto"/>
                      <w:kern w:val="2"/>
                      <w:sz w:val="21"/>
                      <w:szCs w:val="21"/>
                      <w:highlight w:val="none"/>
                      <w:shd w:val="clear" w:color="auto" w:fill="auto"/>
                      <w:lang w:eastAsia="zh-CN"/>
                    </w:rPr>
                    <w:t>三级</w:t>
                  </w:r>
                </w:p>
              </w:tc>
            </w:tr>
          </w:tbl>
          <w:p>
            <w:pPr>
              <w:widowControl w:val="0"/>
              <w:spacing w:after="0" w:line="360" w:lineRule="auto"/>
              <w:ind w:firstLine="480" w:firstLineChars="200"/>
              <w:jc w:val="left"/>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根据计算结果可知，本项目主要污染物</w:t>
            </w:r>
            <w:r>
              <w:rPr>
                <w:rFonts w:hint="eastAsia" w:ascii="Times New Roman" w:hAnsi="Times New Roman" w:eastAsia="宋体" w:cs="Times New Roman"/>
                <w:color w:val="auto"/>
                <w:kern w:val="2"/>
                <w:sz w:val="24"/>
                <w:szCs w:val="24"/>
                <w:highlight w:val="none"/>
              </w:rPr>
              <w:t>Pi最大值为</w:t>
            </w:r>
            <w:r>
              <w:rPr>
                <w:rFonts w:hint="eastAsia" w:cs="Times New Roman"/>
                <w:color w:val="auto"/>
                <w:kern w:val="2"/>
                <w:sz w:val="24"/>
                <w:szCs w:val="24"/>
                <w:highlight w:val="none"/>
                <w:lang w:val="en-US" w:eastAsia="zh-CN"/>
              </w:rPr>
              <w:t>0.30</w:t>
            </w:r>
            <w:r>
              <w:rPr>
                <w:rFonts w:hint="eastAsia"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按《环境影响评价技术导则—大气环境》（HJ2.2-2018）中的有关规定，确定项目大气环境影响评价工作等级为</w:t>
            </w:r>
            <w:r>
              <w:rPr>
                <w:rFonts w:hint="eastAsia" w:cs="Times New Roman"/>
                <w:color w:val="auto"/>
                <w:kern w:val="2"/>
                <w:sz w:val="24"/>
                <w:szCs w:val="24"/>
                <w:highlight w:val="none"/>
                <w:lang w:eastAsia="zh-CN"/>
              </w:rPr>
              <w:t>三</w:t>
            </w:r>
            <w:r>
              <w:rPr>
                <w:rFonts w:ascii="Times New Roman" w:hAnsi="Times New Roman" w:eastAsia="宋体" w:cs="Times New Roman"/>
                <w:color w:val="auto"/>
                <w:kern w:val="2"/>
                <w:sz w:val="24"/>
                <w:szCs w:val="24"/>
                <w:highlight w:val="none"/>
              </w:rPr>
              <w:t>级。</w:t>
            </w:r>
            <w:r>
              <w:rPr>
                <w:rFonts w:hint="eastAsia" w:cs="Times New Roman"/>
                <w:color w:val="auto"/>
                <w:kern w:val="2"/>
                <w:sz w:val="24"/>
                <w:szCs w:val="24"/>
                <w:highlight w:val="none"/>
                <w:lang w:eastAsia="zh-CN"/>
              </w:rPr>
              <w:t>三</w:t>
            </w:r>
            <w:r>
              <w:rPr>
                <w:rFonts w:ascii="Times New Roman" w:hAnsi="Times New Roman" w:eastAsia="宋体" w:cs="Times New Roman"/>
                <w:color w:val="auto"/>
                <w:kern w:val="2"/>
                <w:sz w:val="24"/>
                <w:szCs w:val="24"/>
                <w:highlight w:val="none"/>
              </w:rPr>
              <w:t>级评价项目不进行进一步预测与评价，只对污染物排放量进行核算。经核算，项目大气污染源排放情况如下：</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表7-11  </w:t>
            </w:r>
            <w:r>
              <w:rPr>
                <w:rFonts w:ascii="Times New Roman" w:hAnsi="Times New Roman" w:eastAsia="宋体" w:cs="Times New Roman"/>
                <w:b/>
                <w:color w:val="auto"/>
                <w:kern w:val="0"/>
                <w:sz w:val="21"/>
                <w:szCs w:val="21"/>
                <w:highlight w:val="none"/>
                <w:lang w:val="en-US" w:eastAsia="zh-CN" w:bidi="ar-SA"/>
              </w:rPr>
              <w:t>大气污染物有组织排放量核算表</w:t>
            </w:r>
          </w:p>
          <w:tbl>
            <w:tblPr>
              <w:tblStyle w:val="35"/>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493"/>
              <w:gridCol w:w="1496"/>
              <w:gridCol w:w="1496"/>
              <w:gridCol w:w="1494"/>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602"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序号</w:t>
                  </w:r>
                </w:p>
              </w:tc>
              <w:tc>
                <w:tcPr>
                  <w:tcW w:w="1493"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排放口编号</w:t>
                  </w:r>
                </w:p>
              </w:tc>
              <w:tc>
                <w:tcPr>
                  <w:tcW w:w="1496"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污染物</w:t>
                  </w:r>
                </w:p>
              </w:tc>
              <w:tc>
                <w:tcPr>
                  <w:tcW w:w="1496"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核算排放浓度</w:t>
                  </w:r>
                </w:p>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（mg/m³）</w:t>
                  </w:r>
                </w:p>
              </w:tc>
              <w:tc>
                <w:tcPr>
                  <w:tcW w:w="1494"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核算排放速率</w:t>
                  </w:r>
                </w:p>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（kg/h）</w:t>
                  </w:r>
                </w:p>
              </w:tc>
              <w:tc>
                <w:tcPr>
                  <w:tcW w:w="1496"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核算年排放量</w:t>
                  </w:r>
                </w:p>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077" w:type="dxa"/>
                  <w:gridSpan w:val="6"/>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主要</w:t>
                  </w:r>
                  <w:r>
                    <w:rPr>
                      <w:rFonts w:ascii="Times New Roman" w:hAnsi="Times New Roman" w:eastAsia="宋体" w:cs="Times New Roman"/>
                      <w:color w:val="auto"/>
                      <w:kern w:val="2"/>
                      <w:sz w:val="21"/>
                      <w:szCs w:val="21"/>
                      <w:highlight w:val="none"/>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602"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1</w:t>
                  </w:r>
                </w:p>
              </w:tc>
              <w:tc>
                <w:tcPr>
                  <w:tcW w:w="1493" w:type="dxa"/>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G1</w:t>
                  </w:r>
                </w:p>
              </w:tc>
              <w:tc>
                <w:tcPr>
                  <w:tcW w:w="1496" w:type="dxa"/>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1496" w:type="dxa"/>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0.148</w:t>
                  </w:r>
                </w:p>
              </w:tc>
              <w:tc>
                <w:tcPr>
                  <w:tcW w:w="1494"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01</w:t>
                  </w:r>
                </w:p>
              </w:tc>
              <w:tc>
                <w:tcPr>
                  <w:tcW w:w="1496"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restart"/>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2</w:t>
                  </w:r>
                </w:p>
              </w:tc>
              <w:tc>
                <w:tcPr>
                  <w:tcW w:w="1493" w:type="dxa"/>
                  <w:vMerge w:val="restart"/>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G</w:t>
                  </w:r>
                  <w:r>
                    <w:rPr>
                      <w:rFonts w:hint="eastAsia" w:ascii="Times New Roman" w:hAnsi="Times New Roman" w:eastAsia="宋体" w:cs="Times New Roman"/>
                      <w:color w:val="auto"/>
                      <w:kern w:val="2"/>
                      <w:sz w:val="21"/>
                      <w:szCs w:val="21"/>
                      <w:highlight w:val="none"/>
                    </w:rPr>
                    <w:t>2</w:t>
                  </w:r>
                </w:p>
              </w:tc>
              <w:tc>
                <w:tcPr>
                  <w:tcW w:w="1496"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SO</w:t>
                  </w:r>
                  <w:r>
                    <w:rPr>
                      <w:rFonts w:hint="eastAsia" w:ascii="Times New Roman" w:hAnsi="Impact" w:eastAsia="宋体" w:cs="Times New Roman"/>
                      <w:color w:val="auto"/>
                      <w:kern w:val="24"/>
                      <w:sz w:val="21"/>
                      <w:szCs w:val="21"/>
                      <w:highlight w:val="none"/>
                      <w:vertAlign w:val="subscript"/>
                    </w:rPr>
                    <w:t>2</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29.356 </w:t>
                  </w:r>
                </w:p>
              </w:tc>
              <w:tc>
                <w:tcPr>
                  <w:tcW w:w="1494"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02"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1493" w:type="dxa"/>
                  <w:vMerge w:val="continue"/>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1496"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NO</w:t>
                  </w:r>
                  <w:r>
                    <w:rPr>
                      <w:rFonts w:hint="eastAsia" w:ascii="Times New Roman" w:hAnsi="Impact" w:eastAsia="宋体" w:cs="Times New Roman"/>
                      <w:color w:val="auto"/>
                      <w:kern w:val="24"/>
                      <w:sz w:val="21"/>
                      <w:szCs w:val="21"/>
                      <w:highlight w:val="none"/>
                      <w:vertAlign w:val="subscript"/>
                    </w:rPr>
                    <w:t>X</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46.235 </w:t>
                  </w:r>
                </w:p>
              </w:tc>
              <w:tc>
                <w:tcPr>
                  <w:tcW w:w="1494"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0.003 </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02"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1493" w:type="dxa"/>
                  <w:vMerge w:val="continue"/>
                  <w:vAlign w:val="center"/>
                </w:tcPr>
                <w:p>
                  <w:pPr>
                    <w:widowControl/>
                    <w:adjustRightInd w:val="0"/>
                    <w:snapToGrid w:val="0"/>
                    <w:spacing w:after="0" w:line="240" w:lineRule="auto"/>
                    <w:jc w:val="center"/>
                    <w:rPr>
                      <w:rFonts w:ascii="Times New Roman" w:hAnsi="Times New Roman" w:eastAsia="宋体" w:cs="Times New Roman"/>
                      <w:color w:val="auto"/>
                      <w:kern w:val="2"/>
                      <w:sz w:val="21"/>
                      <w:szCs w:val="21"/>
                      <w:highlight w:val="none"/>
                    </w:rPr>
                  </w:pPr>
                </w:p>
              </w:tc>
              <w:tc>
                <w:tcPr>
                  <w:tcW w:w="1496"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16"/>
                      <w:highlight w:val="none"/>
                    </w:rPr>
                  </w:pPr>
                  <w:r>
                    <w:rPr>
                      <w:rFonts w:hint="eastAsia" w:ascii="Times New Roman" w:hAnsi="Times New Roman" w:eastAsia="宋体" w:cs="Times New Roman"/>
                      <w:color w:val="auto"/>
                      <w:kern w:val="2"/>
                      <w:sz w:val="21"/>
                      <w:szCs w:val="21"/>
                      <w:highlight w:val="none"/>
                    </w:rPr>
                    <w:t>PM</w:t>
                  </w:r>
                  <w:r>
                    <w:rPr>
                      <w:rFonts w:hint="eastAsia" w:ascii="Times New Roman" w:hAnsi="Times New Roman" w:eastAsia="宋体" w:cs="Times New Roman"/>
                      <w:color w:val="auto"/>
                      <w:kern w:val="2"/>
                      <w:sz w:val="21"/>
                      <w:szCs w:val="21"/>
                      <w:highlight w:val="none"/>
                      <w:vertAlign w:val="subscript"/>
                    </w:rPr>
                    <w:t>10</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17.613 </w:t>
                  </w:r>
                </w:p>
              </w:tc>
              <w:tc>
                <w:tcPr>
                  <w:tcW w:w="1494"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0.001 </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077" w:type="dxa"/>
                  <w:gridSpan w:val="6"/>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602" w:type="dxa"/>
                  <w:vMerge w:val="restart"/>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有组织排放总计</w:t>
                  </w:r>
                </w:p>
              </w:tc>
              <w:tc>
                <w:tcPr>
                  <w:tcW w:w="5979" w:type="dxa"/>
                  <w:gridSpan w:val="4"/>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1496"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5979" w:type="dxa"/>
                  <w:gridSpan w:val="4"/>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SO</w:t>
                  </w:r>
                  <w:r>
                    <w:rPr>
                      <w:rFonts w:hint="eastAsia" w:ascii="Times New Roman" w:hAnsi="Impact" w:eastAsia="宋体" w:cs="Times New Roman"/>
                      <w:color w:val="auto"/>
                      <w:kern w:val="24"/>
                      <w:sz w:val="21"/>
                      <w:szCs w:val="21"/>
                      <w:highlight w:val="none"/>
                      <w:vertAlign w:val="subscript"/>
                    </w:rPr>
                    <w:t>2</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02"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5979" w:type="dxa"/>
                  <w:gridSpan w:val="4"/>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Impact" w:eastAsia="宋体" w:cs="Times New Roman"/>
                      <w:color w:val="auto"/>
                      <w:kern w:val="24"/>
                      <w:sz w:val="21"/>
                      <w:szCs w:val="21"/>
                      <w:highlight w:val="none"/>
                    </w:rPr>
                    <w:t>NO</w:t>
                  </w:r>
                  <w:r>
                    <w:rPr>
                      <w:rFonts w:hint="eastAsia" w:ascii="Times New Roman" w:hAnsi="Impact" w:eastAsia="宋体" w:cs="Times New Roman"/>
                      <w:color w:val="auto"/>
                      <w:kern w:val="24"/>
                      <w:sz w:val="21"/>
                      <w:szCs w:val="21"/>
                      <w:highlight w:val="none"/>
                      <w:vertAlign w:val="subscript"/>
                    </w:rPr>
                    <w:t>X</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02"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5979" w:type="dxa"/>
                  <w:gridSpan w:val="4"/>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16"/>
                      <w:highlight w:val="none"/>
                    </w:rPr>
                  </w:pPr>
                  <w:r>
                    <w:rPr>
                      <w:rFonts w:hint="eastAsia" w:ascii="Times New Roman" w:hAnsi="Times New Roman" w:eastAsia="宋体" w:cs="Times New Roman"/>
                      <w:color w:val="auto"/>
                      <w:kern w:val="2"/>
                      <w:sz w:val="21"/>
                      <w:szCs w:val="21"/>
                      <w:highlight w:val="none"/>
                    </w:rPr>
                    <w:t>PM</w:t>
                  </w:r>
                  <w:r>
                    <w:rPr>
                      <w:rFonts w:hint="eastAsia" w:ascii="Times New Roman" w:hAnsi="Times New Roman" w:eastAsia="宋体" w:cs="Times New Roman"/>
                      <w:color w:val="auto"/>
                      <w:kern w:val="2"/>
                      <w:sz w:val="21"/>
                      <w:szCs w:val="21"/>
                      <w:highlight w:val="none"/>
                      <w:vertAlign w:val="subscript"/>
                    </w:rPr>
                    <w:t>10</w:t>
                  </w:r>
                </w:p>
              </w:tc>
              <w:tc>
                <w:tcPr>
                  <w:tcW w:w="1496" w:type="dxa"/>
                  <w:vAlign w:val="center"/>
                </w:tcPr>
                <w:p>
                  <w:pPr>
                    <w:keepNext w:val="0"/>
                    <w:keepLines w:val="0"/>
                    <w:widowControl/>
                    <w:suppressLineNumbers w:val="0"/>
                    <w:jc w:val="center"/>
                    <w:textAlignment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r>
          </w:tbl>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表7-12  </w:t>
            </w:r>
            <w:r>
              <w:rPr>
                <w:rFonts w:ascii="Times New Roman" w:hAnsi="Times New Roman" w:eastAsia="宋体" w:cs="Times New Roman"/>
                <w:b/>
                <w:color w:val="auto"/>
                <w:kern w:val="0"/>
                <w:sz w:val="21"/>
                <w:szCs w:val="21"/>
                <w:highlight w:val="none"/>
                <w:lang w:val="en-US" w:eastAsia="zh-CN" w:bidi="ar-SA"/>
              </w:rPr>
              <w:t>大气污染物无组织排放量核算表</w:t>
            </w:r>
          </w:p>
          <w:tbl>
            <w:tblPr>
              <w:tblStyle w:val="35"/>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86"/>
              <w:gridCol w:w="962"/>
              <w:gridCol w:w="1260"/>
              <w:gridCol w:w="1004"/>
              <w:gridCol w:w="2139"/>
              <w:gridCol w:w="1136"/>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85"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序号</w:t>
                  </w:r>
                </w:p>
              </w:tc>
              <w:tc>
                <w:tcPr>
                  <w:tcW w:w="886"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排放口编号</w:t>
                  </w:r>
                </w:p>
              </w:tc>
              <w:tc>
                <w:tcPr>
                  <w:tcW w:w="962"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产物环节</w:t>
                  </w:r>
                </w:p>
              </w:tc>
              <w:tc>
                <w:tcPr>
                  <w:tcW w:w="1260"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污染物</w:t>
                  </w:r>
                </w:p>
              </w:tc>
              <w:tc>
                <w:tcPr>
                  <w:tcW w:w="1004"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主要污染防治措施</w:t>
                  </w:r>
                </w:p>
              </w:tc>
              <w:tc>
                <w:tcPr>
                  <w:tcW w:w="3275" w:type="dxa"/>
                  <w:gridSpan w:val="2"/>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国家或地方污染物排放标准</w:t>
                  </w:r>
                </w:p>
              </w:tc>
              <w:tc>
                <w:tcPr>
                  <w:tcW w:w="1124" w:type="dxa"/>
                  <w:vMerge w:val="restart"/>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年排放量</w:t>
                  </w:r>
                </w:p>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85"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886"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962"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1260"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1004"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2139"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标准名称</w:t>
                  </w:r>
                </w:p>
              </w:tc>
              <w:tc>
                <w:tcPr>
                  <w:tcW w:w="1136" w:type="dxa"/>
                  <w:vAlign w:val="center"/>
                </w:tcPr>
                <w:p>
                  <w:pPr>
                    <w:widowControl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浓度限值（mg/m³）</w:t>
                  </w:r>
                </w:p>
              </w:tc>
              <w:tc>
                <w:tcPr>
                  <w:tcW w:w="1124"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85" w:type="dxa"/>
                  <w:vMerge w:val="restart"/>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1</w:t>
                  </w:r>
                </w:p>
              </w:tc>
              <w:tc>
                <w:tcPr>
                  <w:tcW w:w="886" w:type="dxa"/>
                  <w:vMerge w:val="restart"/>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车间</w:t>
                  </w:r>
                </w:p>
              </w:tc>
              <w:tc>
                <w:tcPr>
                  <w:tcW w:w="962"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eastAsia="zh-CN"/>
                    </w:rPr>
                    <w:t>锻压</w:t>
                  </w:r>
                  <w:r>
                    <w:rPr>
                      <w:rFonts w:hint="eastAsia" w:ascii="Times New Roman" w:hAnsi="Times New Roman" w:eastAsia="宋体" w:cs="Times New Roman"/>
                      <w:color w:val="auto"/>
                      <w:kern w:val="2"/>
                      <w:sz w:val="21"/>
                      <w:szCs w:val="21"/>
                      <w:highlight w:val="none"/>
                    </w:rPr>
                    <w:t>工序</w:t>
                  </w:r>
                </w:p>
              </w:tc>
              <w:tc>
                <w:tcPr>
                  <w:tcW w:w="1260" w:type="dxa"/>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1004" w:type="dxa"/>
                  <w:vMerge w:val="restart"/>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加强通风</w:t>
                  </w:r>
                </w:p>
              </w:tc>
              <w:tc>
                <w:tcPr>
                  <w:tcW w:w="2139" w:type="dxa"/>
                  <w:vMerge w:val="restart"/>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广东省地方标准《大气污染物排放限值》（DB44/ 27-2001）第二时段无组织排放监控浓度限值</w:t>
                  </w:r>
                </w:p>
              </w:tc>
              <w:tc>
                <w:tcPr>
                  <w:tcW w:w="1136" w:type="dxa"/>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4.0</w:t>
                  </w:r>
                </w:p>
              </w:tc>
              <w:tc>
                <w:tcPr>
                  <w:tcW w:w="1124" w:type="dxa"/>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85"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886"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962" w:type="dxa"/>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开料、机加工</w:t>
                  </w:r>
                </w:p>
              </w:tc>
              <w:tc>
                <w:tcPr>
                  <w:tcW w:w="1260"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TSP</w:t>
                  </w:r>
                </w:p>
              </w:tc>
              <w:tc>
                <w:tcPr>
                  <w:tcW w:w="1004" w:type="dxa"/>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2139" w:type="dxa"/>
                  <w:vMerge w:val="continue"/>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1136" w:type="dxa"/>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1124" w:type="dxa"/>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96" w:type="dxa"/>
                  <w:gridSpan w:val="8"/>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33" w:type="dxa"/>
                  <w:gridSpan w:val="3"/>
                  <w:vMerge w:val="restart"/>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无组织排放总计</w:t>
                  </w:r>
                </w:p>
              </w:tc>
              <w:tc>
                <w:tcPr>
                  <w:tcW w:w="5539" w:type="dxa"/>
                  <w:gridSpan w:val="4"/>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1124"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433" w:type="dxa"/>
                  <w:gridSpan w:val="3"/>
                  <w:vMerge w:val="continue"/>
                  <w:vAlign w:val="center"/>
                </w:tcPr>
                <w:p>
                  <w:pPr>
                    <w:widowControl w:val="0"/>
                    <w:spacing w:after="0" w:line="360" w:lineRule="auto"/>
                    <w:jc w:val="center"/>
                    <w:rPr>
                      <w:rFonts w:ascii="Times New Roman" w:hAnsi="Times New Roman" w:eastAsia="宋体" w:cs="Times New Roman"/>
                      <w:color w:val="auto"/>
                      <w:kern w:val="2"/>
                      <w:sz w:val="21"/>
                      <w:szCs w:val="21"/>
                      <w:highlight w:val="none"/>
                    </w:rPr>
                  </w:pPr>
                </w:p>
              </w:tc>
              <w:tc>
                <w:tcPr>
                  <w:tcW w:w="5539" w:type="dxa"/>
                  <w:gridSpan w:val="4"/>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16"/>
                      <w:highlight w:val="none"/>
                    </w:rPr>
                  </w:pPr>
                  <w:r>
                    <w:rPr>
                      <w:rFonts w:hint="eastAsia" w:ascii="Times New Roman" w:hAnsi="Times New Roman" w:eastAsia="宋体" w:cs="Times New Roman"/>
                      <w:color w:val="auto"/>
                      <w:kern w:val="2"/>
                      <w:sz w:val="21"/>
                      <w:szCs w:val="21"/>
                      <w:highlight w:val="none"/>
                    </w:rPr>
                    <w:t>TSP</w:t>
                  </w:r>
                </w:p>
              </w:tc>
              <w:tc>
                <w:tcPr>
                  <w:tcW w:w="1124"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cs="Times New Roman"/>
                      <w:color w:val="auto"/>
                      <w:kern w:val="2"/>
                      <w:sz w:val="21"/>
                      <w:szCs w:val="21"/>
                      <w:highlight w:val="none"/>
                      <w:lang w:val="en-US" w:eastAsia="zh-CN"/>
                    </w:rPr>
                    <w:t>0.0053</w:t>
                  </w:r>
                </w:p>
              </w:tc>
            </w:tr>
          </w:tbl>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表7-13  </w:t>
            </w:r>
            <w:r>
              <w:rPr>
                <w:rFonts w:ascii="Times New Roman" w:hAnsi="Times New Roman" w:eastAsia="宋体" w:cs="Times New Roman"/>
                <w:b/>
                <w:color w:val="auto"/>
                <w:kern w:val="0"/>
                <w:sz w:val="21"/>
                <w:szCs w:val="21"/>
                <w:highlight w:val="none"/>
                <w:lang w:val="en-US" w:eastAsia="zh-CN" w:bidi="ar-SA"/>
              </w:rPr>
              <w:t>大气污染物年排放量核算表</w:t>
            </w:r>
          </w:p>
          <w:tbl>
            <w:tblPr>
              <w:tblStyle w:val="35"/>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7"/>
              <w:gridCol w:w="3310"/>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序号</w:t>
                  </w:r>
                </w:p>
              </w:tc>
              <w:tc>
                <w:tcPr>
                  <w:tcW w:w="3310"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污染物</w:t>
                  </w:r>
                </w:p>
              </w:tc>
              <w:tc>
                <w:tcPr>
                  <w:tcW w:w="3311"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1</w:t>
                  </w:r>
                </w:p>
              </w:tc>
              <w:tc>
                <w:tcPr>
                  <w:tcW w:w="3310" w:type="dxa"/>
                  <w:vAlign w:val="center"/>
                </w:tcPr>
                <w:p>
                  <w:pPr>
                    <w:widowControl w:val="0"/>
                    <w:adjustRightInd w:val="0"/>
                    <w:snapToGrid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3311" w:type="dxa"/>
                  <w:vAlign w:val="center"/>
                </w:tcPr>
                <w:p>
                  <w:pPr>
                    <w:widowControl w:val="0"/>
                    <w:spacing w:after="0" w:line="360" w:lineRule="auto"/>
                    <w:jc w:val="center"/>
                    <w:textAlignment w:val="center"/>
                    <w:rPr>
                      <w:rFonts w:hint="default" w:ascii="Times New Roman" w:hAnsi="Times New Roman" w:eastAsia="宋体" w:cs="Times New Roman"/>
                      <w:b/>
                      <w:bCs/>
                      <w:color w:val="auto"/>
                      <w:kern w:val="2"/>
                      <w:sz w:val="21"/>
                      <w:szCs w:val="21"/>
                      <w:highlight w:val="none"/>
                      <w:lang w:val="en-US" w:eastAsia="zh-CN"/>
                    </w:rPr>
                  </w:pPr>
                  <w:r>
                    <w:rPr>
                      <w:rFonts w:hint="eastAsia" w:cs="Times New Roman"/>
                      <w:bCs/>
                      <w:color w:val="auto"/>
                      <w:kern w:val="2"/>
                      <w:sz w:val="21"/>
                      <w:szCs w:val="21"/>
                      <w:highlight w:val="none"/>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2</w:t>
                  </w:r>
                </w:p>
              </w:tc>
              <w:tc>
                <w:tcPr>
                  <w:tcW w:w="3310"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b/>
                      <w:bCs/>
                      <w:color w:val="auto"/>
                      <w:kern w:val="2"/>
                      <w:sz w:val="21"/>
                      <w:szCs w:val="21"/>
                      <w:highlight w:val="none"/>
                    </w:rPr>
                  </w:pPr>
                  <w:r>
                    <w:rPr>
                      <w:rFonts w:hint="eastAsia" w:ascii="Times New Roman" w:hAnsi="Impact" w:eastAsia="宋体" w:cs="Times New Roman"/>
                      <w:color w:val="auto"/>
                      <w:kern w:val="24"/>
                      <w:sz w:val="21"/>
                      <w:szCs w:val="21"/>
                      <w:highlight w:val="none"/>
                    </w:rPr>
                    <w:t>SO</w:t>
                  </w:r>
                  <w:r>
                    <w:rPr>
                      <w:rFonts w:hint="eastAsia" w:ascii="Times New Roman" w:hAnsi="Impact" w:eastAsia="宋体" w:cs="Times New Roman"/>
                      <w:color w:val="auto"/>
                      <w:kern w:val="24"/>
                      <w:sz w:val="21"/>
                      <w:szCs w:val="21"/>
                      <w:highlight w:val="none"/>
                      <w:vertAlign w:val="subscript"/>
                    </w:rPr>
                    <w:t>2</w:t>
                  </w:r>
                </w:p>
              </w:tc>
              <w:tc>
                <w:tcPr>
                  <w:tcW w:w="3311" w:type="dxa"/>
                  <w:vAlign w:val="center"/>
                </w:tcPr>
                <w:p>
                  <w:pPr>
                    <w:keepNext w:val="0"/>
                    <w:keepLines w:val="0"/>
                    <w:widowControl/>
                    <w:suppressLineNumbers w:val="0"/>
                    <w:jc w:val="center"/>
                    <w:textAlignment w:val="center"/>
                    <w:rPr>
                      <w:rFonts w:ascii="Times New Roman" w:hAnsi="Times New Roman" w:eastAsia="宋体" w:cs="Times New Roman"/>
                      <w:b/>
                      <w:bCs/>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3</w:t>
                  </w:r>
                </w:p>
              </w:tc>
              <w:tc>
                <w:tcPr>
                  <w:tcW w:w="3310"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0"/>
                      <w:sz w:val="21"/>
                      <w:szCs w:val="21"/>
                      <w:highlight w:val="none"/>
                    </w:rPr>
                  </w:pPr>
                  <w:r>
                    <w:rPr>
                      <w:rFonts w:hint="eastAsia" w:ascii="Times New Roman" w:hAnsi="Impact" w:eastAsia="宋体" w:cs="Times New Roman"/>
                      <w:color w:val="auto"/>
                      <w:kern w:val="24"/>
                      <w:sz w:val="21"/>
                      <w:szCs w:val="21"/>
                      <w:highlight w:val="none"/>
                    </w:rPr>
                    <w:t>NO</w:t>
                  </w:r>
                  <w:r>
                    <w:rPr>
                      <w:rFonts w:hint="eastAsia" w:ascii="Times New Roman" w:hAnsi="Impact" w:eastAsia="宋体" w:cs="Times New Roman"/>
                      <w:color w:val="auto"/>
                      <w:kern w:val="24"/>
                      <w:sz w:val="21"/>
                      <w:szCs w:val="21"/>
                      <w:highlight w:val="none"/>
                      <w:vertAlign w:val="subscript"/>
                    </w:rPr>
                    <w:t>X</w:t>
                  </w:r>
                </w:p>
              </w:tc>
              <w:tc>
                <w:tcPr>
                  <w:tcW w:w="3311" w:type="dxa"/>
                  <w:vAlign w:val="center"/>
                </w:tcPr>
                <w:p>
                  <w:pPr>
                    <w:keepNext w:val="0"/>
                    <w:keepLines w:val="0"/>
                    <w:widowControl/>
                    <w:suppressLineNumbers w:val="0"/>
                    <w:jc w:val="center"/>
                    <w:textAlignment w:val="center"/>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4</w:t>
                  </w:r>
                </w:p>
              </w:tc>
              <w:tc>
                <w:tcPr>
                  <w:tcW w:w="3310"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16"/>
                      <w:highlight w:val="none"/>
                    </w:rPr>
                  </w:pPr>
                  <w:r>
                    <w:rPr>
                      <w:rFonts w:hint="eastAsia" w:ascii="Times New Roman" w:hAnsi="Times New Roman" w:eastAsia="宋体" w:cs="Times New Roman"/>
                      <w:color w:val="auto"/>
                      <w:kern w:val="2"/>
                      <w:sz w:val="21"/>
                      <w:szCs w:val="21"/>
                      <w:highlight w:val="none"/>
                    </w:rPr>
                    <w:t>PM</w:t>
                  </w:r>
                  <w:r>
                    <w:rPr>
                      <w:rFonts w:hint="eastAsia" w:ascii="Times New Roman" w:hAnsi="Times New Roman" w:eastAsia="宋体" w:cs="Times New Roman"/>
                      <w:color w:val="auto"/>
                      <w:kern w:val="2"/>
                      <w:sz w:val="21"/>
                      <w:szCs w:val="21"/>
                      <w:highlight w:val="none"/>
                      <w:vertAlign w:val="subscript"/>
                    </w:rPr>
                    <w:t>10</w:t>
                  </w:r>
                </w:p>
              </w:tc>
              <w:tc>
                <w:tcPr>
                  <w:tcW w:w="331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17" w:type="dxa"/>
                  <w:vAlign w:val="center"/>
                </w:tcPr>
                <w:p>
                  <w:pPr>
                    <w:widowControl w:val="0"/>
                    <w:spacing w:after="0" w:line="360" w:lineRule="auto"/>
                    <w:jc w:val="center"/>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rPr>
                    <w:t>5</w:t>
                  </w:r>
                </w:p>
              </w:tc>
              <w:tc>
                <w:tcPr>
                  <w:tcW w:w="3310" w:type="dxa"/>
                  <w:vAlign w:val="center"/>
                </w:tcPr>
                <w:p>
                  <w:pPr>
                    <w:widowControl/>
                    <w:topLinePunct/>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TSP</w:t>
                  </w:r>
                </w:p>
              </w:tc>
              <w:tc>
                <w:tcPr>
                  <w:tcW w:w="3311" w:type="dxa"/>
                  <w:vAlign w:val="center"/>
                </w:tcPr>
                <w:p>
                  <w:pPr>
                    <w:widowControl w:val="0"/>
                    <w:spacing w:after="0" w:line="360" w:lineRule="auto"/>
                    <w:jc w:val="center"/>
                    <w:textAlignment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0.0053</w:t>
                  </w:r>
                </w:p>
              </w:tc>
            </w:tr>
          </w:tbl>
          <w:p>
            <w:pPr>
              <w:widowControl/>
              <w:spacing w:after="200" w:line="336" w:lineRule="auto"/>
              <w:ind w:firstLine="470" w:firstLineChars="196"/>
              <w:jc w:val="left"/>
              <w:rPr>
                <w:rFonts w:ascii="Times New Roman" w:hAnsi="Times New Roman" w:eastAsia="宋体" w:cs="Times New Roman"/>
                <w:b/>
                <w:color w:val="auto"/>
                <w:kern w:val="2"/>
                <w:sz w:val="24"/>
                <w:szCs w:val="20"/>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综上可知，本项目大气污染物年排放核算情况为</w:t>
            </w:r>
            <w:r>
              <w:rPr>
                <w:rFonts w:hint="eastAsia" w:ascii="Times New Roman" w:hAnsi="Times New Roman" w:eastAsia="宋体" w:cs="Times New Roman"/>
                <w:color w:val="auto"/>
                <w:kern w:val="0"/>
                <w:sz w:val="24"/>
                <w:szCs w:val="24"/>
                <w:highlight w:val="none"/>
                <w:lang w:val="en-US" w:eastAsia="zh-CN" w:bidi="ar-SA"/>
              </w:rPr>
              <w:t>：</w:t>
            </w:r>
            <w:r>
              <w:rPr>
                <w:rFonts w:ascii="Times New Roman" w:hAnsi="Times New Roman" w:eastAsia="宋体" w:cs="Times New Roman"/>
                <w:color w:val="auto"/>
                <w:kern w:val="0"/>
                <w:sz w:val="24"/>
                <w:szCs w:val="24"/>
                <w:highlight w:val="none"/>
                <w:lang w:val="en-US" w:eastAsia="zh-CN" w:bidi="ar-SA"/>
              </w:rPr>
              <w:t>非甲烷总烃：</w:t>
            </w:r>
            <w:r>
              <w:rPr>
                <w:rFonts w:hint="eastAsia" w:cs="Times New Roman"/>
                <w:color w:val="auto"/>
                <w:kern w:val="0"/>
                <w:sz w:val="24"/>
                <w:szCs w:val="24"/>
                <w:highlight w:val="none"/>
                <w:lang w:val="en-US" w:eastAsia="zh-CN" w:bidi="ar-SA"/>
              </w:rPr>
              <w:t>0.007</w:t>
            </w:r>
            <w:r>
              <w:rPr>
                <w:rFonts w:ascii="Times New Roman" w:hAnsi="Times New Roman" w:eastAsia="宋体" w:cs="Times New Roman"/>
                <w:color w:val="auto"/>
                <w:kern w:val="0"/>
                <w:sz w:val="24"/>
                <w:szCs w:val="24"/>
                <w:highlight w:val="none"/>
                <w:lang w:val="en-US" w:eastAsia="zh-CN" w:bidi="ar-SA"/>
              </w:rPr>
              <w:t>t/a，</w:t>
            </w:r>
            <w:r>
              <w:rPr>
                <w:rFonts w:ascii="Times New Roman" w:hAnsi="Times New Roman" w:eastAsia="宋体" w:cs="Times New Roman"/>
                <w:color w:val="auto"/>
                <w:kern w:val="0"/>
                <w:sz w:val="24"/>
                <w:szCs w:val="20"/>
                <w:highlight w:val="none"/>
                <w:lang w:val="en-US" w:eastAsia="zh-CN" w:bidi="ar-SA"/>
              </w:rPr>
              <w:t>SO</w:t>
            </w:r>
            <w:r>
              <w:rPr>
                <w:rFonts w:ascii="Times New Roman" w:hAnsi="Times New Roman" w:eastAsia="宋体" w:cs="Times New Roman"/>
                <w:color w:val="auto"/>
                <w:kern w:val="0"/>
                <w:sz w:val="24"/>
                <w:szCs w:val="20"/>
                <w:highlight w:val="none"/>
                <w:vertAlign w:val="subscript"/>
                <w:lang w:val="en-US" w:eastAsia="zh-CN" w:bidi="ar-SA"/>
              </w:rPr>
              <w:t>2</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0.004</w:t>
            </w:r>
            <w:r>
              <w:rPr>
                <w:rFonts w:ascii="Times New Roman" w:hAnsi="Times New Roman" w:eastAsia="宋体" w:cs="Times New Roman"/>
                <w:color w:val="auto"/>
                <w:kern w:val="0"/>
                <w:sz w:val="24"/>
                <w:szCs w:val="24"/>
                <w:highlight w:val="none"/>
                <w:lang w:val="en-US" w:eastAsia="zh-CN" w:bidi="ar-SA"/>
              </w:rPr>
              <w:t>t/a</w:t>
            </w:r>
            <w:r>
              <w:rPr>
                <w:rFonts w:ascii="Times New Roman" w:hAnsi="宋体" w:eastAsia="宋体" w:cs="Times New Roman"/>
                <w:color w:val="auto"/>
                <w:kern w:val="0"/>
                <w:sz w:val="24"/>
                <w:szCs w:val="20"/>
                <w:highlight w:val="none"/>
                <w:lang w:val="en-US" w:eastAsia="zh-CN" w:bidi="ar-SA"/>
              </w:rPr>
              <w:t>、</w:t>
            </w:r>
            <w:r>
              <w:rPr>
                <w:rFonts w:ascii="Times New Roman" w:hAnsi="Times New Roman" w:eastAsia="宋体" w:cs="Times New Roman"/>
                <w:color w:val="auto"/>
                <w:kern w:val="0"/>
                <w:sz w:val="24"/>
                <w:szCs w:val="20"/>
                <w:highlight w:val="none"/>
                <w:lang w:val="en-US" w:eastAsia="zh-CN" w:bidi="ar-SA"/>
              </w:rPr>
              <w:t>NOx</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0"/>
                <w:highlight w:val="none"/>
                <w:lang w:val="en-US" w:eastAsia="zh-CN" w:bidi="ar-SA"/>
              </w:rPr>
              <w:t>0.006</w:t>
            </w:r>
            <w:r>
              <w:rPr>
                <w:rFonts w:ascii="Times New Roman" w:hAnsi="Times New Roman" w:eastAsia="宋体" w:cs="Times New Roman"/>
                <w:color w:val="auto"/>
                <w:kern w:val="0"/>
                <w:sz w:val="24"/>
                <w:szCs w:val="24"/>
                <w:highlight w:val="none"/>
                <w:lang w:val="en-US" w:eastAsia="zh-CN" w:bidi="ar-SA"/>
              </w:rPr>
              <w:t>t/a</w:t>
            </w:r>
            <w:r>
              <w:rPr>
                <w:rFonts w:hint="eastAsia" w:ascii="Times New Roman" w:hAnsi="Times New Roman" w:eastAsia="宋体" w:cs="Times New Roman"/>
                <w:color w:val="auto"/>
                <w:kern w:val="0"/>
                <w:sz w:val="24"/>
                <w:szCs w:val="20"/>
                <w:highlight w:val="none"/>
                <w:lang w:val="en-US" w:eastAsia="zh-CN" w:bidi="ar-SA"/>
              </w:rPr>
              <w:t>，颗粒物</w:t>
            </w:r>
            <w:r>
              <w:rPr>
                <w:rFonts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0.0073</w:t>
            </w:r>
            <w:r>
              <w:rPr>
                <w:rFonts w:ascii="Times New Roman" w:hAnsi="Times New Roman" w:eastAsia="宋体" w:cs="Times New Roman"/>
                <w:color w:val="auto"/>
                <w:kern w:val="0"/>
                <w:sz w:val="24"/>
                <w:szCs w:val="24"/>
                <w:highlight w:val="none"/>
                <w:lang w:val="en-US" w:eastAsia="zh-CN" w:bidi="ar-SA"/>
              </w:rPr>
              <w:t>。</w:t>
            </w:r>
          </w:p>
          <w:p>
            <w:pPr>
              <w:spacing w:before="120" w:beforeLines="50" w:line="360" w:lineRule="auto"/>
              <w:ind w:firstLine="472" w:firstLineChars="196"/>
              <w:rPr>
                <w:rFonts w:ascii="Times New Roman" w:hAnsi="Times New Roman"/>
                <w:b/>
                <w:bCs/>
                <w:color w:val="auto"/>
                <w:sz w:val="24"/>
                <w:highlight w:val="none"/>
              </w:rPr>
            </w:pPr>
            <w:r>
              <w:rPr>
                <w:rFonts w:ascii="Times New Roman" w:hAnsi="Times New Roman"/>
                <w:b/>
                <w:bCs/>
                <w:color w:val="auto"/>
                <w:sz w:val="24"/>
                <w:highlight w:val="none"/>
              </w:rPr>
              <w:t>3</w:t>
            </w:r>
            <w:r>
              <w:rPr>
                <w:rFonts w:hint="eastAsia" w:ascii="Times New Roman" w:hAnsi="Times New Roman"/>
                <w:b/>
                <w:bCs/>
                <w:color w:val="auto"/>
                <w:sz w:val="24"/>
                <w:highlight w:val="none"/>
              </w:rPr>
              <w:t>、声环境影响分析</w:t>
            </w:r>
          </w:p>
          <w:p>
            <w:pPr>
              <w:spacing w:line="360" w:lineRule="auto"/>
              <w:ind w:firstLine="480" w:firstLineChars="200"/>
              <w:rPr>
                <w:color w:val="auto"/>
                <w:sz w:val="24"/>
                <w:szCs w:val="24"/>
                <w:highlight w:val="none"/>
              </w:rPr>
            </w:pPr>
            <w:r>
              <w:rPr>
                <w:rFonts w:hint="eastAsia"/>
                <w:color w:val="auto"/>
                <w:sz w:val="24"/>
                <w:szCs w:val="24"/>
                <w:highlight w:val="none"/>
              </w:rPr>
              <w:t>项目的主要噪声为车间机械加工时设备运行噪声，噪声值约为70~80dB（A），空压机的运行噪声80～90dB（A）；</w:t>
            </w:r>
            <w:r>
              <w:rPr>
                <w:color w:val="auto"/>
                <w:sz w:val="24"/>
                <w:szCs w:val="24"/>
                <w:highlight w:val="none"/>
              </w:rPr>
              <w:t>机械通风所用通风机</w:t>
            </w:r>
            <w:r>
              <w:rPr>
                <w:rFonts w:hint="eastAsia"/>
                <w:color w:val="auto"/>
                <w:sz w:val="24"/>
                <w:szCs w:val="24"/>
                <w:highlight w:val="none"/>
              </w:rPr>
              <w:t>运行时产生的噪声，其噪声级为70~75dB（A）。</w:t>
            </w:r>
          </w:p>
          <w:p>
            <w:pPr>
              <w:adjustRightInd w:val="0"/>
              <w:snapToGrid w:val="0"/>
              <w:spacing w:line="360" w:lineRule="auto"/>
              <w:ind w:firstLine="480" w:firstLineChars="200"/>
              <w:rPr>
                <w:color w:val="auto"/>
                <w:sz w:val="24"/>
                <w:szCs w:val="24"/>
                <w:highlight w:val="none"/>
              </w:rPr>
            </w:pPr>
            <w:r>
              <w:rPr>
                <w:color w:val="auto"/>
                <w:sz w:val="24"/>
                <w:szCs w:val="24"/>
                <w:highlight w:val="none"/>
              </w:rPr>
              <w:t>为评价项目产生的噪声对周围声环境和敏感点的影响情况，本环评对所有生产设备进行预测评估，具体预测结果如下：</w:t>
            </w:r>
          </w:p>
          <w:p>
            <w:pPr>
              <w:adjustRightInd w:val="0"/>
              <w:snapToGrid w:val="0"/>
              <w:spacing w:line="360" w:lineRule="auto"/>
              <w:ind w:firstLine="480" w:firstLineChars="200"/>
              <w:rPr>
                <w:color w:val="auto"/>
                <w:sz w:val="24"/>
                <w:szCs w:val="24"/>
                <w:highlight w:val="none"/>
              </w:rPr>
            </w:pPr>
            <w:r>
              <w:rPr>
                <w:color w:val="auto"/>
                <w:sz w:val="24"/>
                <w:szCs w:val="24"/>
                <w:highlight w:val="none"/>
              </w:rPr>
              <w:t>根据以下公式：</w:t>
            </w:r>
          </w:p>
          <w:p>
            <w:pPr>
              <w:adjustRightInd w:val="0"/>
              <w:snapToGrid w:val="0"/>
              <w:spacing w:line="360" w:lineRule="auto"/>
              <w:ind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1 \* GB3 </w:instrText>
            </w:r>
            <w:r>
              <w:rPr>
                <w:color w:val="auto"/>
                <w:sz w:val="24"/>
                <w:szCs w:val="24"/>
                <w:highlight w:val="none"/>
              </w:rPr>
              <w:fldChar w:fldCharType="separate"/>
            </w:r>
            <w:r>
              <w:rPr>
                <w:color w:val="auto"/>
                <w:sz w:val="24"/>
                <w:szCs w:val="24"/>
                <w:highlight w:val="none"/>
              </w:rPr>
              <w:t>①</w:t>
            </w:r>
            <w:r>
              <w:rPr>
                <w:color w:val="auto"/>
                <w:sz w:val="24"/>
                <w:szCs w:val="24"/>
                <w:highlight w:val="none"/>
              </w:rPr>
              <w:fldChar w:fldCharType="end"/>
            </w:r>
            <w:r>
              <w:rPr>
                <w:color w:val="auto"/>
                <w:sz w:val="24"/>
                <w:szCs w:val="24"/>
                <w:highlight w:val="none"/>
              </w:rPr>
              <w:t>噪声叠加模式：L</w:t>
            </w:r>
            <w:r>
              <w:rPr>
                <w:color w:val="auto"/>
                <w:sz w:val="24"/>
                <w:szCs w:val="24"/>
                <w:highlight w:val="none"/>
                <w:vertAlign w:val="subscript"/>
              </w:rPr>
              <w:t>总</w:t>
            </w:r>
            <w:r>
              <w:rPr>
                <w:color w:val="auto"/>
                <w:sz w:val="24"/>
                <w:szCs w:val="24"/>
                <w:highlight w:val="none"/>
              </w:rPr>
              <w:t>= 10lg(</w:t>
            </w:r>
            <w:r>
              <w:rPr>
                <w:color w:val="auto"/>
                <w:position w:val="-28"/>
                <w:sz w:val="24"/>
                <w:szCs w:val="24"/>
                <w:highlight w:val="none"/>
              </w:rPr>
              <w:object>
                <v:shape id="_x0000_i1026" o:spt="75" type="#_x0000_t75" style="height:30.9pt;width:44.7pt;" o:ole="t" filled="f" o:preferrelative="t" stroked="f" coordsize="21600,21600">
                  <v:path/>
                  <v:fill on="f" focussize="0,0"/>
                  <v:stroke on="f"/>
                  <v:imagedata r:id="rId34" o:title=""/>
                  <o:lock v:ext="edit" aspectratio="t"/>
                  <w10:wrap type="none"/>
                  <w10:anchorlock/>
                </v:shape>
                <o:OLEObject Type="Embed" ProgID="Equation.3" ShapeID="_x0000_i1026" DrawAspect="Content" ObjectID="_1468075726" r:id="rId33">
                  <o:LockedField>false</o:LockedField>
                </o:OLEObject>
              </w:object>
            </w:r>
            <w:r>
              <w:rPr>
                <w:color w:val="auto"/>
                <w:sz w:val="24"/>
                <w:szCs w:val="24"/>
                <w:highlight w:val="none"/>
              </w:rPr>
              <w:t>)；</w:t>
            </w:r>
          </w:p>
          <w:p>
            <w:pPr>
              <w:spacing w:line="360" w:lineRule="auto"/>
              <w:ind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2 \* GB3 </w:instrText>
            </w:r>
            <w:r>
              <w:rPr>
                <w:color w:val="auto"/>
                <w:sz w:val="24"/>
                <w:szCs w:val="24"/>
                <w:highlight w:val="none"/>
              </w:rPr>
              <w:fldChar w:fldCharType="separate"/>
            </w:r>
            <w:r>
              <w:rPr>
                <w:color w:val="auto"/>
                <w:sz w:val="24"/>
                <w:szCs w:val="24"/>
                <w:highlight w:val="none"/>
              </w:rPr>
              <w:t>②</w:t>
            </w:r>
            <w:r>
              <w:rPr>
                <w:color w:val="auto"/>
                <w:sz w:val="24"/>
                <w:szCs w:val="24"/>
                <w:highlight w:val="none"/>
              </w:rPr>
              <w:fldChar w:fldCharType="end"/>
            </w:r>
            <w:r>
              <w:rPr>
                <w:color w:val="auto"/>
                <w:sz w:val="24"/>
                <w:szCs w:val="24"/>
                <w:highlight w:val="none"/>
              </w:rPr>
              <w:t>噪声衰减模式：L（r）= L（r0）－</w:t>
            </w:r>
            <w:r>
              <w:rPr>
                <w:color w:val="auto"/>
                <w:sz w:val="24"/>
                <w:szCs w:val="24"/>
                <w:highlight w:val="none"/>
                <w:vertAlign w:val="subscript"/>
              </w:rPr>
              <w:t>△</w:t>
            </w:r>
            <w:r>
              <w:rPr>
                <w:color w:val="auto"/>
                <w:sz w:val="24"/>
                <w:szCs w:val="24"/>
                <w:highlight w:val="none"/>
              </w:rPr>
              <w:t>L－A= L（r</w:t>
            </w:r>
            <w:r>
              <w:rPr>
                <w:color w:val="auto"/>
                <w:sz w:val="24"/>
                <w:szCs w:val="24"/>
                <w:highlight w:val="none"/>
                <w:vertAlign w:val="subscript"/>
              </w:rPr>
              <w:t>0</w:t>
            </w:r>
            <w:r>
              <w:rPr>
                <w:color w:val="auto"/>
                <w:sz w:val="24"/>
                <w:szCs w:val="24"/>
                <w:highlight w:val="none"/>
              </w:rPr>
              <w:t>）－20 lg r/ r</w:t>
            </w:r>
            <w:r>
              <w:rPr>
                <w:color w:val="auto"/>
                <w:sz w:val="24"/>
                <w:szCs w:val="24"/>
                <w:highlight w:val="none"/>
                <w:vertAlign w:val="subscript"/>
              </w:rPr>
              <w:t>0</w:t>
            </w:r>
            <w:r>
              <w:rPr>
                <w:color w:val="auto"/>
                <w:sz w:val="24"/>
                <w:szCs w:val="24"/>
                <w:highlight w:val="none"/>
              </w:rPr>
              <w:t>－A；式中：</w:t>
            </w:r>
          </w:p>
          <w:p>
            <w:pPr>
              <w:spacing w:line="360" w:lineRule="auto"/>
              <w:ind w:firstLine="480" w:firstLineChars="200"/>
              <w:rPr>
                <w:color w:val="auto"/>
                <w:sz w:val="24"/>
                <w:szCs w:val="24"/>
                <w:highlight w:val="none"/>
              </w:rPr>
            </w:pPr>
            <w:r>
              <w:rPr>
                <w:color w:val="auto"/>
                <w:sz w:val="24"/>
                <w:szCs w:val="24"/>
                <w:highlight w:val="none"/>
              </w:rPr>
              <w:t>L总——几个声压级相加后的总声压级，dB；</w:t>
            </w:r>
          </w:p>
          <w:p>
            <w:pPr>
              <w:spacing w:line="360" w:lineRule="auto"/>
              <w:ind w:firstLine="480" w:firstLineChars="200"/>
              <w:rPr>
                <w:color w:val="auto"/>
                <w:sz w:val="24"/>
                <w:szCs w:val="24"/>
                <w:highlight w:val="none"/>
              </w:rPr>
            </w:pPr>
            <w:r>
              <w:rPr>
                <w:color w:val="auto"/>
                <w:sz w:val="24"/>
                <w:szCs w:val="24"/>
                <w:highlight w:val="none"/>
              </w:rPr>
              <w:t>Li——某一个声压级，dB；</w:t>
            </w:r>
          </w:p>
          <w:p>
            <w:pPr>
              <w:spacing w:line="360" w:lineRule="auto"/>
              <w:ind w:firstLine="480" w:firstLineChars="200"/>
              <w:rPr>
                <w:color w:val="auto"/>
                <w:sz w:val="24"/>
                <w:szCs w:val="24"/>
                <w:highlight w:val="none"/>
              </w:rPr>
            </w:pPr>
            <w:r>
              <w:rPr>
                <w:color w:val="auto"/>
                <w:sz w:val="24"/>
                <w:szCs w:val="24"/>
                <w:highlight w:val="none"/>
              </w:rPr>
              <w:t>r、r</w:t>
            </w:r>
            <w:r>
              <w:rPr>
                <w:color w:val="auto"/>
                <w:sz w:val="24"/>
                <w:szCs w:val="24"/>
                <w:highlight w:val="none"/>
                <w:vertAlign w:val="subscript"/>
              </w:rPr>
              <w:t>0</w:t>
            </w:r>
            <w:r>
              <w:rPr>
                <w:color w:val="auto"/>
                <w:sz w:val="24"/>
                <w:szCs w:val="24"/>
                <w:highlight w:val="none"/>
              </w:rPr>
              <w:t>——点声源至受声点的距离（m）；</w:t>
            </w:r>
          </w:p>
          <w:p>
            <w:pPr>
              <w:spacing w:line="360" w:lineRule="auto"/>
              <w:ind w:firstLine="480" w:firstLineChars="200"/>
              <w:rPr>
                <w:color w:val="auto"/>
                <w:sz w:val="24"/>
                <w:szCs w:val="24"/>
                <w:highlight w:val="none"/>
              </w:rPr>
            </w:pPr>
            <w:r>
              <w:rPr>
                <w:color w:val="auto"/>
                <w:sz w:val="24"/>
                <w:szCs w:val="24"/>
                <w:highlight w:val="none"/>
              </w:rPr>
              <w:t>L（r）——距点声源r处的噪声值（dB）；</w:t>
            </w:r>
          </w:p>
          <w:p>
            <w:pPr>
              <w:spacing w:line="360" w:lineRule="auto"/>
              <w:ind w:firstLine="480" w:firstLineChars="200"/>
              <w:rPr>
                <w:color w:val="auto"/>
                <w:sz w:val="24"/>
                <w:szCs w:val="24"/>
                <w:highlight w:val="none"/>
              </w:rPr>
            </w:pPr>
            <w:r>
              <w:rPr>
                <w:color w:val="auto"/>
                <w:sz w:val="24"/>
                <w:szCs w:val="24"/>
                <w:highlight w:val="none"/>
              </w:rPr>
              <w:t>L（r</w:t>
            </w:r>
            <w:r>
              <w:rPr>
                <w:color w:val="auto"/>
                <w:sz w:val="24"/>
                <w:szCs w:val="24"/>
                <w:highlight w:val="none"/>
                <w:vertAlign w:val="subscript"/>
              </w:rPr>
              <w:t>0</w:t>
            </w:r>
            <w:r>
              <w:rPr>
                <w:color w:val="auto"/>
                <w:sz w:val="24"/>
                <w:szCs w:val="24"/>
                <w:highlight w:val="none"/>
              </w:rPr>
              <w:t>）——距点声源r</w:t>
            </w:r>
            <w:r>
              <w:rPr>
                <w:color w:val="auto"/>
                <w:sz w:val="24"/>
                <w:szCs w:val="24"/>
                <w:highlight w:val="none"/>
                <w:vertAlign w:val="subscript"/>
              </w:rPr>
              <w:t>0</w:t>
            </w:r>
            <w:r>
              <w:rPr>
                <w:color w:val="auto"/>
                <w:sz w:val="24"/>
                <w:szCs w:val="24"/>
                <w:highlight w:val="none"/>
              </w:rPr>
              <w:t>处的噪声值（dB）；</w:t>
            </w:r>
          </w:p>
          <w:p>
            <w:pPr>
              <w:spacing w:line="360" w:lineRule="auto"/>
              <w:ind w:firstLine="480" w:firstLineChars="200"/>
              <w:rPr>
                <w:color w:val="auto"/>
                <w:sz w:val="24"/>
                <w:szCs w:val="24"/>
                <w:highlight w:val="none"/>
              </w:rPr>
            </w:pPr>
            <w:r>
              <w:rPr>
                <w:color w:val="auto"/>
                <w:sz w:val="24"/>
                <w:szCs w:val="24"/>
                <w:highlight w:val="none"/>
                <w:vertAlign w:val="subscript"/>
              </w:rPr>
              <w:t>△</w:t>
            </w:r>
            <w:r>
              <w:rPr>
                <w:color w:val="auto"/>
                <w:sz w:val="24"/>
                <w:szCs w:val="24"/>
                <w:highlight w:val="none"/>
              </w:rPr>
              <w:t>L——距离增加产生的噪声衰减值；</w:t>
            </w:r>
          </w:p>
          <w:p>
            <w:pPr>
              <w:spacing w:line="360" w:lineRule="auto"/>
              <w:ind w:firstLine="480" w:firstLineChars="200"/>
              <w:rPr>
                <w:color w:val="auto"/>
                <w:sz w:val="24"/>
                <w:szCs w:val="24"/>
                <w:highlight w:val="none"/>
              </w:rPr>
            </w:pPr>
            <w:r>
              <w:rPr>
                <w:color w:val="auto"/>
                <w:sz w:val="24"/>
                <w:szCs w:val="24"/>
                <w:highlight w:val="none"/>
              </w:rPr>
              <w:t>A—— 代表厂房墙体、门窗隔声量，一般为23 dB(A)。</w:t>
            </w:r>
          </w:p>
          <w:p>
            <w:pPr>
              <w:adjustRightInd w:val="0"/>
              <w:snapToGrid w:val="0"/>
              <w:spacing w:line="360" w:lineRule="auto"/>
              <w:ind w:firstLine="480" w:firstLineChars="200"/>
              <w:rPr>
                <w:color w:val="auto"/>
                <w:sz w:val="24"/>
                <w:szCs w:val="24"/>
                <w:highlight w:val="none"/>
              </w:rPr>
            </w:pPr>
            <w:r>
              <w:rPr>
                <w:color w:val="auto"/>
                <w:sz w:val="24"/>
                <w:szCs w:val="24"/>
                <w:highlight w:val="none"/>
              </w:rPr>
              <w:t>根据项目最大量情况下同时投入运作的设备数量及各设备的声压级，计算出项目在同一区域内总声压级为90.5 dB(A)。</w:t>
            </w:r>
          </w:p>
          <w:p>
            <w:pPr>
              <w:adjustRightInd w:val="0"/>
              <w:snapToGrid w:val="0"/>
              <w:spacing w:line="360" w:lineRule="auto"/>
              <w:ind w:firstLine="480" w:firstLineChars="200"/>
              <w:rPr>
                <w:color w:val="auto"/>
                <w:sz w:val="24"/>
                <w:szCs w:val="24"/>
                <w:highlight w:val="none"/>
              </w:rPr>
            </w:pPr>
            <w:r>
              <w:rPr>
                <w:color w:val="auto"/>
                <w:sz w:val="24"/>
                <w:szCs w:val="24"/>
                <w:highlight w:val="none"/>
              </w:rPr>
              <w:t>根据项目噪声源，利用预测模式计算项目厂界的噪声值和经过距离衰减到敏感点的贡献值，见下表。</w:t>
            </w:r>
          </w:p>
          <w:p>
            <w:pPr>
              <w:widowControl/>
              <w:numPr>
                <w:ilvl w:val="0"/>
                <w:numId w:val="0"/>
              </w:numPr>
              <w:tabs>
                <w:tab w:val="left" w:pos="360"/>
                <w:tab w:val="left" w:pos="420"/>
              </w:tabs>
              <w:adjustRightInd w:val="0"/>
              <w:snapToGrid w:val="0"/>
              <w:spacing w:line="36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表7-14  项目采取措施前</w:t>
            </w:r>
            <w:r>
              <w:rPr>
                <w:rFonts w:ascii="Times New Roman" w:hAnsi="Times New Roman" w:eastAsia="宋体" w:cs="Times New Roman"/>
                <w:b/>
                <w:color w:val="auto"/>
                <w:kern w:val="0"/>
                <w:sz w:val="21"/>
                <w:szCs w:val="21"/>
                <w:highlight w:val="none"/>
                <w:lang w:val="en-US" w:eastAsia="zh-CN" w:bidi="ar-SA"/>
              </w:rPr>
              <w:t>噪声预测结果（单位：Leq dB(A)）</w:t>
            </w:r>
          </w:p>
          <w:tbl>
            <w:tblPr>
              <w:tblStyle w:val="34"/>
              <w:tblW w:w="871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85"/>
              <w:gridCol w:w="59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车间噪声叠加值</w:t>
                  </w:r>
                </w:p>
              </w:tc>
              <w:tc>
                <w:tcPr>
                  <w:tcW w:w="5930" w:type="dxa"/>
                  <w:vAlign w:val="center"/>
                </w:tcPr>
                <w:p>
                  <w:pPr>
                    <w:adjustRightInd w:val="0"/>
                    <w:snapToGrid w:val="0"/>
                    <w:jc w:val="center"/>
                    <w:rPr>
                      <w:color w:val="auto"/>
                      <w:szCs w:val="21"/>
                      <w:highlight w:val="none"/>
                    </w:rPr>
                  </w:pPr>
                  <w:r>
                    <w:rPr>
                      <w:color w:val="auto"/>
                      <w:szCs w:val="21"/>
                      <w:highlight w:val="none"/>
                    </w:rPr>
                    <w:t>90.5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噪声衰减量</w:t>
                  </w:r>
                </w:p>
              </w:tc>
              <w:tc>
                <w:tcPr>
                  <w:tcW w:w="5930" w:type="dxa"/>
                  <w:vAlign w:val="center"/>
                </w:tcPr>
                <w:p>
                  <w:pPr>
                    <w:adjustRightInd w:val="0"/>
                    <w:snapToGrid w:val="0"/>
                    <w:jc w:val="center"/>
                    <w:rPr>
                      <w:color w:val="auto"/>
                      <w:szCs w:val="21"/>
                      <w:highlight w:val="none"/>
                    </w:rPr>
                  </w:pPr>
                  <w:r>
                    <w:rPr>
                      <w:color w:val="auto"/>
                      <w:szCs w:val="21"/>
                      <w:highlight w:val="none"/>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噪声预测值（厂界外1米处）</w:t>
                  </w:r>
                </w:p>
              </w:tc>
              <w:tc>
                <w:tcPr>
                  <w:tcW w:w="5930" w:type="dxa"/>
                  <w:vAlign w:val="center"/>
                </w:tcPr>
                <w:p>
                  <w:pPr>
                    <w:adjustRightInd w:val="0"/>
                    <w:snapToGrid w:val="0"/>
                    <w:jc w:val="center"/>
                    <w:rPr>
                      <w:color w:val="auto"/>
                      <w:szCs w:val="21"/>
                      <w:highlight w:val="none"/>
                    </w:rPr>
                  </w:pPr>
                  <w:r>
                    <w:rPr>
                      <w:color w:val="auto"/>
                      <w:szCs w:val="21"/>
                      <w:highlight w:val="none"/>
                    </w:rPr>
                    <w:t>67.5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rFonts w:hint="eastAsia" w:eastAsia="宋体"/>
                      <w:b/>
                      <w:color w:val="auto"/>
                      <w:szCs w:val="21"/>
                      <w:highlight w:val="none"/>
                      <w:lang w:eastAsia="zh-CN"/>
                    </w:rPr>
                  </w:pPr>
                  <w:r>
                    <w:rPr>
                      <w:rFonts w:hint="eastAsia"/>
                      <w:b/>
                      <w:color w:val="auto"/>
                      <w:szCs w:val="21"/>
                      <w:highlight w:val="none"/>
                      <w:lang w:eastAsia="zh-CN"/>
                    </w:rPr>
                    <w:t>距离项目最近</w:t>
                  </w:r>
                  <w:r>
                    <w:rPr>
                      <w:b/>
                      <w:color w:val="auto"/>
                      <w:szCs w:val="21"/>
                      <w:highlight w:val="none"/>
                    </w:rPr>
                    <w:t>敏感点位置</w:t>
                  </w:r>
                </w:p>
              </w:tc>
              <w:tc>
                <w:tcPr>
                  <w:tcW w:w="5930" w:type="dxa"/>
                  <w:vAlign w:val="center"/>
                </w:tcPr>
                <w:p>
                  <w:pPr>
                    <w:adjustRightInd w:val="0"/>
                    <w:snapToGrid w:val="0"/>
                    <w:jc w:val="center"/>
                    <w:rPr>
                      <w:rFonts w:hint="eastAsia" w:eastAsia="宋体"/>
                      <w:b/>
                      <w:color w:val="auto"/>
                      <w:szCs w:val="21"/>
                      <w:highlight w:val="none"/>
                      <w:lang w:eastAsia="zh-CN"/>
                    </w:rPr>
                  </w:pPr>
                  <w:r>
                    <w:rPr>
                      <w:rFonts w:hint="eastAsia"/>
                      <w:b/>
                      <w:color w:val="auto"/>
                      <w:szCs w:val="21"/>
                      <w:highlight w:val="none"/>
                      <w:lang w:eastAsia="zh-CN"/>
                    </w:rPr>
                    <w:t>东</w:t>
                  </w:r>
                  <w:r>
                    <w:rPr>
                      <w:rFonts w:hint="eastAsia" w:eastAsia="宋体"/>
                      <w:b/>
                      <w:color w:val="auto"/>
                      <w:szCs w:val="21"/>
                      <w:highlight w:val="none"/>
                      <w:lang w:eastAsia="zh-CN"/>
                    </w:rPr>
                    <w:t>北面</w:t>
                  </w:r>
                  <w:r>
                    <w:rPr>
                      <w:rFonts w:hint="eastAsia"/>
                      <w:b/>
                      <w:color w:val="auto"/>
                      <w:szCs w:val="21"/>
                      <w:highlight w:val="none"/>
                      <w:lang w:eastAsia="zh-CN"/>
                    </w:rPr>
                    <w:t>合龙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衰减距离</w:t>
                  </w:r>
                </w:p>
              </w:tc>
              <w:tc>
                <w:tcPr>
                  <w:tcW w:w="5930" w:type="dxa"/>
                  <w:vAlign w:val="center"/>
                </w:tcPr>
                <w:p>
                  <w:pPr>
                    <w:adjustRightInd w:val="0"/>
                    <w:snapToGrid w:val="0"/>
                    <w:jc w:val="center"/>
                    <w:rPr>
                      <w:bCs/>
                      <w:color w:val="auto"/>
                      <w:szCs w:val="21"/>
                      <w:highlight w:val="none"/>
                    </w:rPr>
                  </w:pPr>
                  <w:r>
                    <w:rPr>
                      <w:rFonts w:hint="eastAsia"/>
                      <w:bCs/>
                      <w:color w:val="auto"/>
                      <w:szCs w:val="21"/>
                      <w:highlight w:val="none"/>
                      <w:lang w:val="en-US" w:eastAsia="zh-CN"/>
                    </w:rPr>
                    <w:t>340</w:t>
                  </w:r>
                  <w:r>
                    <w:rPr>
                      <w:bCs/>
                      <w:color w:val="auto"/>
                      <w:szCs w:val="21"/>
                      <w:highlight w:val="none"/>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贡献值</w:t>
                  </w:r>
                </w:p>
              </w:tc>
              <w:tc>
                <w:tcPr>
                  <w:tcW w:w="5930" w:type="dxa"/>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执行标准</w:t>
                  </w:r>
                </w:p>
              </w:tc>
              <w:tc>
                <w:tcPr>
                  <w:tcW w:w="5930" w:type="dxa"/>
                  <w:vAlign w:val="center"/>
                </w:tcPr>
                <w:p>
                  <w:pPr>
                    <w:adjustRightInd w:val="0"/>
                    <w:snapToGrid w:val="0"/>
                    <w:ind w:firstLine="420" w:firstLineChars="200"/>
                    <w:jc w:val="center"/>
                    <w:rPr>
                      <w:color w:val="auto"/>
                      <w:szCs w:val="21"/>
                      <w:highlight w:val="none"/>
                    </w:rPr>
                  </w:pPr>
                  <w:r>
                    <w:rPr>
                      <w:color w:val="auto"/>
                      <w:szCs w:val="21"/>
                      <w:highlight w:val="none"/>
                    </w:rPr>
                    <w:t>昼间≤60，夜间≤50</w:t>
                  </w:r>
                </w:p>
              </w:tc>
            </w:tr>
          </w:tbl>
          <w:p>
            <w:pPr>
              <w:adjustRightInd w:val="0"/>
              <w:snapToGrid w:val="0"/>
              <w:spacing w:line="360" w:lineRule="auto"/>
              <w:ind w:firstLine="420" w:firstLineChars="200"/>
              <w:rPr>
                <w:color w:val="auto"/>
                <w:szCs w:val="21"/>
                <w:highlight w:val="none"/>
              </w:rPr>
            </w:pPr>
            <w:r>
              <w:rPr>
                <w:color w:val="auto"/>
                <w:szCs w:val="21"/>
                <w:highlight w:val="none"/>
              </w:rPr>
              <w:t>注：室内声源衰减量按门窗、墙体隔声23分贝为准；衰减距离按厂房到敏感点的距离计算。</w:t>
            </w:r>
          </w:p>
          <w:p>
            <w:pPr>
              <w:snapToGrid w:val="0"/>
              <w:spacing w:line="360" w:lineRule="auto"/>
              <w:ind w:firstLine="482"/>
              <w:rPr>
                <w:color w:val="auto"/>
                <w:sz w:val="24"/>
                <w:szCs w:val="24"/>
                <w:highlight w:val="none"/>
              </w:rPr>
            </w:pPr>
            <w:r>
              <w:rPr>
                <w:color w:val="auto"/>
                <w:sz w:val="24"/>
                <w:szCs w:val="24"/>
                <w:highlight w:val="none"/>
              </w:rPr>
              <w:t>根据以上计算可知，项目厂界外1米处的噪声预测值超过《工业企业厂界环境噪声排放标准》（GB12348-2008）中2类标准要求，厂房噪声经过距离衰减到周边敏感点的贡献值均</w:t>
            </w:r>
            <w:r>
              <w:rPr>
                <w:bCs/>
                <w:color w:val="auto"/>
                <w:sz w:val="24"/>
                <w:szCs w:val="24"/>
                <w:highlight w:val="none"/>
              </w:rPr>
              <w:t>达到所在区域声环境功能区划标准的要求（《声环境质量标准》（GB 3096-2008）中2类标准限值）。</w:t>
            </w:r>
          </w:p>
          <w:p>
            <w:pPr>
              <w:widowControl w:val="0"/>
              <w:adjustRightInd w:val="0"/>
              <w:spacing w:line="360" w:lineRule="auto"/>
              <w:ind w:firstLine="480" w:firstLineChars="200"/>
              <w:jc w:val="both"/>
              <w:textAlignment w:val="baseline"/>
              <w:rPr>
                <w:rFonts w:ascii="Times New Roman" w:hAnsi="Times New Roman" w:eastAsia="宋体" w:cs="Times New Roman"/>
                <w:snapToGrid w:val="0"/>
                <w:color w:val="auto"/>
                <w:kern w:val="36"/>
                <w:sz w:val="24"/>
                <w:szCs w:val="24"/>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为使项目车间设备噪声经过墙体隔声、距离衰减后，厂界外1米处噪声值可达到《工业企业厂界环境噪声排放标准》（GB12348-2008）中2类标准限值，</w:t>
            </w:r>
            <w:r>
              <w:rPr>
                <w:rFonts w:ascii="Times New Roman" w:hAnsi="Times New Roman" w:eastAsia="宋体" w:cs="Times New Roman"/>
                <w:snapToGrid w:val="0"/>
                <w:color w:val="auto"/>
                <w:kern w:val="36"/>
                <w:sz w:val="24"/>
                <w:szCs w:val="24"/>
                <w:highlight w:val="none"/>
                <w:lang w:val="en-US" w:eastAsia="zh-CN" w:bidi="ar-SA"/>
              </w:rPr>
              <w:t>项目拟采取以下措施：</w:t>
            </w:r>
          </w:p>
          <w:p>
            <w:pPr>
              <w:widowControl w:val="0"/>
              <w:adjustRightInd w:val="0"/>
              <w:spacing w:line="348" w:lineRule="auto"/>
              <w:ind w:firstLine="480" w:firstLineChars="200"/>
              <w:jc w:val="both"/>
              <w:textAlignment w:val="baseline"/>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①防治措施</w:t>
            </w:r>
          </w:p>
          <w:p>
            <w:pPr>
              <w:adjustRightInd w:val="0"/>
              <w:snapToGrid w:val="0"/>
              <w:spacing w:line="348" w:lineRule="auto"/>
              <w:ind w:firstLine="480" w:firstLineChars="200"/>
              <w:rPr>
                <w:color w:val="auto"/>
                <w:sz w:val="24"/>
                <w:szCs w:val="24"/>
                <w:highlight w:val="none"/>
              </w:rPr>
            </w:pPr>
            <w:r>
              <w:rPr>
                <w:color w:val="auto"/>
                <w:sz w:val="24"/>
                <w:szCs w:val="24"/>
                <w:highlight w:val="none"/>
              </w:rPr>
              <w:t>A、在设备选型方面，在满足工艺生产的前提下，选用精度高、装配质量好、噪声低的设备；对于某些设备运行时由振动产生的噪声，应对设备基础进行减振，能降低噪声级10~15分贝。</w:t>
            </w:r>
          </w:p>
          <w:p>
            <w:pPr>
              <w:adjustRightInd w:val="0"/>
              <w:snapToGrid w:val="0"/>
              <w:spacing w:line="348" w:lineRule="auto"/>
              <w:ind w:firstLine="480" w:firstLineChars="200"/>
              <w:rPr>
                <w:color w:val="auto"/>
                <w:sz w:val="24"/>
                <w:szCs w:val="24"/>
                <w:highlight w:val="none"/>
              </w:rPr>
            </w:pPr>
            <w:r>
              <w:rPr>
                <w:color w:val="auto"/>
                <w:sz w:val="24"/>
                <w:szCs w:val="24"/>
                <w:highlight w:val="none"/>
              </w:rPr>
              <w:t>B、重视厂房的使用状况，尽量采用密闭形式，不设门窗或设隔声玻璃门窗，能降低噪声级10~15分贝；在厂房内可使用隔声材料进行降噪，主要有多孔材料如（玻璃棉、矿棉、丝棉、聚氨脂泡沫塑料、珍珠岩吸声砖），穿孔板吸声结构和薄板共振吸声结构，能降低噪声级10~20分贝。</w:t>
            </w:r>
          </w:p>
          <w:p>
            <w:pPr>
              <w:keepNext/>
              <w:keepLines/>
              <w:widowControl w:val="0"/>
              <w:autoSpaceDE w:val="0"/>
              <w:autoSpaceDN w:val="0"/>
              <w:adjustRightInd w:val="0"/>
              <w:snapToGrid w:val="0"/>
              <w:spacing w:before="0" w:after="0" w:line="348" w:lineRule="auto"/>
              <w:ind w:firstLine="480" w:firstLineChars="200"/>
              <w:jc w:val="both"/>
              <w:textAlignment w:val="baseline"/>
              <w:outlineLvl w:val="1"/>
              <w:rPr>
                <w:rFonts w:ascii="Times New Roman" w:hAnsi="Times New Roman" w:eastAsia="宋体" w:cs="Times New Roman"/>
                <w:b w:val="0"/>
                <w:bCs/>
                <w:color w:val="auto"/>
                <w:kern w:val="24"/>
                <w:sz w:val="24"/>
                <w:szCs w:val="24"/>
                <w:highlight w:val="none"/>
                <w:lang w:val="en-US" w:eastAsia="zh-CN" w:bidi="ar-SA"/>
              </w:rPr>
            </w:pPr>
            <w:r>
              <w:rPr>
                <w:rFonts w:ascii="Times New Roman" w:hAnsi="Times New Roman" w:eastAsia="宋体" w:cs="Times New Roman"/>
                <w:b w:val="0"/>
                <w:bCs/>
                <w:color w:val="auto"/>
                <w:kern w:val="24"/>
                <w:sz w:val="24"/>
                <w:szCs w:val="24"/>
                <w:highlight w:val="none"/>
                <w:lang w:val="en-US" w:eastAsia="zh-CN" w:bidi="ar-SA"/>
              </w:rPr>
              <w:t>C、对高噪声设备（如空压机）设单独隔声间放置，对墙体做隔声墙，并铺覆一层吸声材料。</w:t>
            </w:r>
          </w:p>
          <w:p>
            <w:pPr>
              <w:spacing w:line="348" w:lineRule="auto"/>
              <w:ind w:firstLine="480" w:firstLineChars="200"/>
              <w:rPr>
                <w:color w:val="auto"/>
                <w:sz w:val="24"/>
                <w:szCs w:val="24"/>
                <w:highlight w:val="none"/>
              </w:rPr>
            </w:pPr>
            <w:r>
              <w:rPr>
                <w:color w:val="auto"/>
                <w:sz w:val="24"/>
                <w:szCs w:val="24"/>
                <w:highlight w:val="none"/>
              </w:rPr>
              <w:t>②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使，最大限度减少流动噪声源。</w:t>
            </w:r>
          </w:p>
          <w:p>
            <w:pPr>
              <w:spacing w:line="360" w:lineRule="auto"/>
              <w:ind w:firstLine="480"/>
              <w:rPr>
                <w:color w:val="auto"/>
                <w:sz w:val="24"/>
                <w:szCs w:val="24"/>
                <w:highlight w:val="none"/>
              </w:rPr>
            </w:pPr>
            <w:r>
              <w:rPr>
                <w:color w:val="auto"/>
                <w:sz w:val="24"/>
                <w:szCs w:val="24"/>
                <w:highlight w:val="none"/>
              </w:rPr>
              <w:t>③生产时间安排</w:t>
            </w:r>
          </w:p>
          <w:p>
            <w:pPr>
              <w:spacing w:line="360" w:lineRule="auto"/>
              <w:ind w:firstLine="480"/>
              <w:rPr>
                <w:color w:val="auto"/>
                <w:sz w:val="24"/>
                <w:szCs w:val="24"/>
                <w:highlight w:val="none"/>
              </w:rPr>
            </w:pPr>
            <w:r>
              <w:rPr>
                <w:color w:val="auto"/>
                <w:sz w:val="24"/>
                <w:szCs w:val="24"/>
                <w:highlight w:val="none"/>
              </w:rPr>
              <w:t>项目生产安排在昼间进行生产，若特殊情况夜间必须生产应控制夜间生产时间，特别夜间应停止高噪声设备，减少机械的噪声影响，同时减少夜间交通运输活动。</w:t>
            </w:r>
          </w:p>
          <w:p>
            <w:pPr>
              <w:widowControl w:val="0"/>
              <w:adjustRightInd w:val="0"/>
              <w:spacing w:line="360" w:lineRule="auto"/>
              <w:ind w:firstLine="480" w:firstLineChars="200"/>
              <w:jc w:val="both"/>
              <w:textAlignment w:val="baseline"/>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4"/>
                <w:highlight w:val="none"/>
                <w:lang w:val="en-US" w:eastAsia="zh-CN" w:bidi="ar-SA"/>
              </w:rPr>
              <w:t>综上所述，项目采取以上措施后，</w:t>
            </w:r>
            <w:r>
              <w:rPr>
                <w:rFonts w:ascii="Times New Roman" w:hAnsi="Times New Roman" w:eastAsia="宋体" w:cs="Times New Roman"/>
                <w:color w:val="auto"/>
                <w:kern w:val="0"/>
                <w:sz w:val="24"/>
                <w:szCs w:val="20"/>
                <w:highlight w:val="none"/>
                <w:lang w:val="en-US" w:eastAsia="zh-CN" w:bidi="ar-SA"/>
              </w:rPr>
              <w:t>项目的</w:t>
            </w:r>
            <w:r>
              <w:rPr>
                <w:rFonts w:ascii="Times New Roman" w:hAnsi="Times New Roman" w:eastAsia="宋体" w:cs="Times New Roman"/>
                <w:color w:val="auto"/>
                <w:kern w:val="0"/>
                <w:sz w:val="24"/>
                <w:szCs w:val="20"/>
                <w:highlight w:val="none"/>
                <w:lang w:val="zh-CN" w:eastAsia="zh-CN" w:bidi="ar-SA"/>
              </w:rPr>
              <w:t>主要</w:t>
            </w:r>
            <w:r>
              <w:rPr>
                <w:rFonts w:ascii="Times New Roman" w:hAnsi="Times New Roman" w:eastAsia="宋体" w:cs="Times New Roman"/>
                <w:color w:val="auto"/>
                <w:kern w:val="0"/>
                <w:sz w:val="24"/>
                <w:szCs w:val="20"/>
                <w:highlight w:val="none"/>
                <w:lang w:val="en-US" w:eastAsia="zh-CN" w:bidi="ar-SA"/>
              </w:rPr>
              <w:t>噪声源为车间机制加工时设备运行噪声，噪声值约为55-65 dB（A）；空压机运行噪声值约为60~70dB（A）；车间机械通风、抽气所用风机运行时产生的噪声，其噪声级为50~55dB（A）</w:t>
            </w:r>
            <w:r>
              <w:rPr>
                <w:rFonts w:ascii="Times New Roman" w:hAnsi="Times New Roman" w:eastAsia="宋体" w:cs="Times New Roman"/>
                <w:color w:val="auto"/>
                <w:kern w:val="2"/>
                <w:sz w:val="24"/>
                <w:szCs w:val="24"/>
                <w:highlight w:val="none"/>
                <w:lang w:val="en-US" w:eastAsia="zh-CN" w:bidi="ar-SA"/>
              </w:rPr>
              <w:t>。则</w:t>
            </w:r>
            <w:r>
              <w:rPr>
                <w:rFonts w:ascii="Times New Roman" w:hAnsi="Times New Roman" w:eastAsia="宋体" w:cs="Times New Roman"/>
                <w:color w:val="auto"/>
                <w:kern w:val="0"/>
                <w:sz w:val="24"/>
                <w:szCs w:val="20"/>
                <w:highlight w:val="none"/>
                <w:lang w:val="en-US" w:eastAsia="zh-CN" w:bidi="ar-SA"/>
              </w:rPr>
              <w:t>项目最大量情况下同时投入运作的设备数量及各设备同一区域内总声压级为71.3dB(A)。</w:t>
            </w:r>
          </w:p>
          <w:p>
            <w:pPr>
              <w:adjustRightInd w:val="0"/>
              <w:snapToGrid w:val="0"/>
              <w:spacing w:line="360" w:lineRule="auto"/>
              <w:ind w:firstLine="480" w:firstLineChars="200"/>
              <w:rPr>
                <w:color w:val="auto"/>
                <w:sz w:val="24"/>
                <w:szCs w:val="24"/>
                <w:highlight w:val="none"/>
              </w:rPr>
            </w:pPr>
            <w:r>
              <w:rPr>
                <w:color w:val="auto"/>
                <w:sz w:val="24"/>
                <w:szCs w:val="24"/>
                <w:highlight w:val="none"/>
              </w:rPr>
              <w:t>根据项目噪声源，利用预测模式计算项目厂界的噪声值和经过距离衰减到敏感点的贡献值，见下表。</w:t>
            </w:r>
          </w:p>
          <w:p>
            <w:pPr>
              <w:widowControl/>
              <w:numPr>
                <w:ilvl w:val="0"/>
                <w:numId w:val="0"/>
              </w:numPr>
              <w:tabs>
                <w:tab w:val="left" w:pos="360"/>
                <w:tab w:val="left" w:pos="420"/>
              </w:tabs>
              <w:adjustRightInd w:val="0"/>
              <w:snapToGrid w:val="0"/>
              <w:spacing w:line="36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表7-15  项目采取措施后</w:t>
            </w:r>
            <w:r>
              <w:rPr>
                <w:rFonts w:ascii="Times New Roman" w:hAnsi="Times New Roman" w:eastAsia="宋体" w:cs="Times New Roman"/>
                <w:b/>
                <w:color w:val="auto"/>
                <w:kern w:val="0"/>
                <w:sz w:val="21"/>
                <w:szCs w:val="21"/>
                <w:highlight w:val="none"/>
                <w:lang w:val="en-US" w:eastAsia="zh-CN" w:bidi="ar-SA"/>
              </w:rPr>
              <w:t>噪声预测结果（单位：Leq dB(A)）</w:t>
            </w:r>
          </w:p>
          <w:tbl>
            <w:tblPr>
              <w:tblStyle w:val="34"/>
              <w:tblW w:w="871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85"/>
              <w:gridCol w:w="3426"/>
              <w:gridCol w:w="25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车间噪声叠加值</w:t>
                  </w:r>
                </w:p>
              </w:tc>
              <w:tc>
                <w:tcPr>
                  <w:tcW w:w="5930" w:type="dxa"/>
                  <w:gridSpan w:val="2"/>
                  <w:vAlign w:val="center"/>
                </w:tcPr>
                <w:p>
                  <w:pPr>
                    <w:adjustRightInd w:val="0"/>
                    <w:snapToGrid w:val="0"/>
                    <w:jc w:val="center"/>
                    <w:rPr>
                      <w:color w:val="auto"/>
                      <w:szCs w:val="21"/>
                      <w:highlight w:val="none"/>
                    </w:rPr>
                  </w:pPr>
                  <w:r>
                    <w:rPr>
                      <w:color w:val="auto"/>
                      <w:szCs w:val="21"/>
                      <w:highlight w:val="none"/>
                    </w:rPr>
                    <w:t>71.3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噪声衰减量</w:t>
                  </w:r>
                </w:p>
              </w:tc>
              <w:tc>
                <w:tcPr>
                  <w:tcW w:w="5930" w:type="dxa"/>
                  <w:gridSpan w:val="2"/>
                  <w:vAlign w:val="center"/>
                </w:tcPr>
                <w:p>
                  <w:pPr>
                    <w:adjustRightInd w:val="0"/>
                    <w:snapToGrid w:val="0"/>
                    <w:jc w:val="center"/>
                    <w:rPr>
                      <w:color w:val="auto"/>
                      <w:szCs w:val="21"/>
                      <w:highlight w:val="none"/>
                    </w:rPr>
                  </w:pPr>
                  <w:r>
                    <w:rPr>
                      <w:color w:val="auto"/>
                      <w:szCs w:val="21"/>
                      <w:highlight w:val="none"/>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噪声预测值（厂界外1米处）</w:t>
                  </w:r>
                </w:p>
              </w:tc>
              <w:tc>
                <w:tcPr>
                  <w:tcW w:w="5930" w:type="dxa"/>
                  <w:gridSpan w:val="2"/>
                  <w:vAlign w:val="center"/>
                </w:tcPr>
                <w:p>
                  <w:pPr>
                    <w:adjustRightInd w:val="0"/>
                    <w:snapToGrid w:val="0"/>
                    <w:jc w:val="center"/>
                    <w:rPr>
                      <w:color w:val="auto"/>
                      <w:szCs w:val="21"/>
                      <w:highlight w:val="none"/>
                    </w:rPr>
                  </w:pPr>
                  <w:r>
                    <w:rPr>
                      <w:color w:val="auto"/>
                      <w:szCs w:val="21"/>
                      <w:highlight w:val="none"/>
                    </w:rPr>
                    <w:t>48.3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b/>
                      <w:color w:val="auto"/>
                      <w:szCs w:val="21"/>
                      <w:highlight w:val="none"/>
                    </w:rPr>
                  </w:pPr>
                  <w:r>
                    <w:rPr>
                      <w:rFonts w:hint="eastAsia"/>
                      <w:b/>
                      <w:color w:val="auto"/>
                      <w:szCs w:val="21"/>
                      <w:highlight w:val="none"/>
                      <w:lang w:eastAsia="zh-CN"/>
                    </w:rPr>
                    <w:t>距离项目最近</w:t>
                  </w:r>
                  <w:r>
                    <w:rPr>
                      <w:b/>
                      <w:color w:val="auto"/>
                      <w:szCs w:val="21"/>
                      <w:highlight w:val="none"/>
                    </w:rPr>
                    <w:t>敏感点位置</w:t>
                  </w:r>
                </w:p>
              </w:tc>
              <w:tc>
                <w:tcPr>
                  <w:tcW w:w="5930" w:type="dxa"/>
                  <w:gridSpan w:val="2"/>
                  <w:vAlign w:val="center"/>
                </w:tcPr>
                <w:p>
                  <w:pPr>
                    <w:adjustRightInd w:val="0"/>
                    <w:snapToGrid w:val="0"/>
                    <w:jc w:val="center"/>
                    <w:rPr>
                      <w:b/>
                      <w:color w:val="auto"/>
                      <w:szCs w:val="21"/>
                      <w:highlight w:val="none"/>
                    </w:rPr>
                  </w:pPr>
                  <w:r>
                    <w:rPr>
                      <w:rFonts w:hint="eastAsia"/>
                      <w:b/>
                      <w:color w:val="auto"/>
                      <w:szCs w:val="21"/>
                      <w:highlight w:val="none"/>
                      <w:lang w:eastAsia="zh-CN"/>
                    </w:rPr>
                    <w:t>东</w:t>
                  </w:r>
                  <w:r>
                    <w:rPr>
                      <w:rFonts w:hint="eastAsia" w:eastAsia="宋体"/>
                      <w:b/>
                      <w:color w:val="auto"/>
                      <w:szCs w:val="21"/>
                      <w:highlight w:val="none"/>
                      <w:lang w:eastAsia="zh-CN"/>
                    </w:rPr>
                    <w:t>北面</w:t>
                  </w:r>
                  <w:r>
                    <w:rPr>
                      <w:rFonts w:hint="eastAsia"/>
                      <w:b/>
                      <w:color w:val="auto"/>
                      <w:szCs w:val="21"/>
                      <w:highlight w:val="none"/>
                      <w:lang w:eastAsia="zh-CN"/>
                    </w:rPr>
                    <w:t>合龙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衰减距离</w:t>
                  </w:r>
                </w:p>
              </w:tc>
              <w:tc>
                <w:tcPr>
                  <w:tcW w:w="5930" w:type="dxa"/>
                  <w:gridSpan w:val="2"/>
                  <w:vAlign w:val="center"/>
                </w:tcPr>
                <w:p>
                  <w:pPr>
                    <w:adjustRightInd w:val="0"/>
                    <w:snapToGrid w:val="0"/>
                    <w:jc w:val="center"/>
                    <w:rPr>
                      <w:bCs/>
                      <w:color w:val="auto"/>
                      <w:szCs w:val="21"/>
                      <w:highlight w:val="none"/>
                    </w:rPr>
                  </w:pPr>
                  <w:r>
                    <w:rPr>
                      <w:rFonts w:hint="eastAsia"/>
                      <w:bCs/>
                      <w:color w:val="auto"/>
                      <w:szCs w:val="21"/>
                      <w:highlight w:val="none"/>
                      <w:lang w:val="en-US" w:eastAsia="zh-CN"/>
                    </w:rPr>
                    <w:t>340</w:t>
                  </w:r>
                  <w:r>
                    <w:rPr>
                      <w:bCs/>
                      <w:color w:val="auto"/>
                      <w:szCs w:val="21"/>
                      <w:highlight w:val="none"/>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贡献值</w:t>
                  </w:r>
                </w:p>
              </w:tc>
              <w:tc>
                <w:tcPr>
                  <w:tcW w:w="5930" w:type="dxa"/>
                  <w:gridSpan w:val="2"/>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jc w:val="center"/>
              </w:trPr>
              <w:tc>
                <w:tcPr>
                  <w:tcW w:w="2785" w:type="dxa"/>
                  <w:vAlign w:val="center"/>
                </w:tcPr>
                <w:p>
                  <w:pPr>
                    <w:adjustRightInd w:val="0"/>
                    <w:snapToGrid w:val="0"/>
                    <w:jc w:val="center"/>
                    <w:rPr>
                      <w:color w:val="auto"/>
                      <w:szCs w:val="21"/>
                      <w:highlight w:val="none"/>
                    </w:rPr>
                  </w:pPr>
                  <w:r>
                    <w:rPr>
                      <w:rFonts w:hint="eastAsia"/>
                      <w:color w:val="auto"/>
                      <w:szCs w:val="21"/>
                      <w:highlight w:val="none"/>
                    </w:rPr>
                    <w:t>背景值</w:t>
                  </w:r>
                </w:p>
              </w:tc>
              <w:tc>
                <w:tcPr>
                  <w:tcW w:w="3426" w:type="dxa"/>
                  <w:tcBorders>
                    <w:right w:val="single" w:color="auto" w:sz="4" w:space="0"/>
                  </w:tcBorders>
                  <w:vAlign w:val="center"/>
                </w:tcPr>
                <w:p>
                  <w:pPr>
                    <w:adjustRightInd w:val="0"/>
                    <w:snapToGrid w:val="0"/>
                    <w:jc w:val="center"/>
                    <w:rPr>
                      <w:rFonts w:hint="default" w:eastAsia="宋体"/>
                      <w:bCs/>
                      <w:color w:val="auto"/>
                      <w:szCs w:val="21"/>
                      <w:highlight w:val="none"/>
                      <w:lang w:val="en-US" w:eastAsia="zh-CN"/>
                    </w:rPr>
                  </w:pPr>
                  <w:r>
                    <w:rPr>
                      <w:rFonts w:hint="eastAsia" w:ascii="Times New Roman" w:eastAsia="宋体"/>
                      <w:bCs/>
                      <w:color w:val="auto"/>
                      <w:szCs w:val="21"/>
                      <w:highlight w:val="none"/>
                      <w:lang w:val="en-US" w:eastAsia="zh-CN"/>
                    </w:rPr>
                    <w:t>昼间：58.</w:t>
                  </w:r>
                  <w:r>
                    <w:rPr>
                      <w:rFonts w:hint="eastAsia"/>
                      <w:bCs/>
                      <w:color w:val="auto"/>
                      <w:szCs w:val="21"/>
                      <w:highlight w:val="none"/>
                      <w:lang w:val="en-US" w:eastAsia="zh-CN"/>
                    </w:rPr>
                    <w:t>8</w:t>
                  </w:r>
                </w:p>
              </w:tc>
              <w:tc>
                <w:tcPr>
                  <w:tcW w:w="2504" w:type="dxa"/>
                  <w:tcBorders>
                    <w:left w:val="single" w:color="auto" w:sz="4" w:space="0"/>
                  </w:tcBorders>
                  <w:vAlign w:val="center"/>
                </w:tcPr>
                <w:p>
                  <w:pPr>
                    <w:adjustRightInd w:val="0"/>
                    <w:snapToGrid w:val="0"/>
                    <w:jc w:val="center"/>
                    <w:rPr>
                      <w:rFonts w:hint="default"/>
                      <w:bCs/>
                      <w:color w:val="auto"/>
                      <w:szCs w:val="21"/>
                      <w:highlight w:val="none"/>
                      <w:lang w:val="en-US" w:eastAsia="zh-CN"/>
                    </w:rPr>
                  </w:pPr>
                  <w:r>
                    <w:rPr>
                      <w:rFonts w:hint="eastAsia" w:ascii="Times New Roman" w:eastAsia="宋体"/>
                      <w:bCs/>
                      <w:color w:val="auto"/>
                      <w:szCs w:val="21"/>
                      <w:highlight w:val="none"/>
                      <w:lang w:val="en-US" w:eastAsia="zh-CN"/>
                    </w:rPr>
                    <w:t>夜间：48.5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jc w:val="center"/>
              </w:trPr>
              <w:tc>
                <w:tcPr>
                  <w:tcW w:w="2785" w:type="dxa"/>
                  <w:vAlign w:val="center"/>
                </w:tcPr>
                <w:p>
                  <w:pPr>
                    <w:adjustRightInd w:val="0"/>
                    <w:snapToGrid w:val="0"/>
                    <w:jc w:val="center"/>
                    <w:rPr>
                      <w:color w:val="auto"/>
                      <w:szCs w:val="21"/>
                      <w:highlight w:val="none"/>
                    </w:rPr>
                  </w:pPr>
                  <w:r>
                    <w:rPr>
                      <w:rFonts w:hint="eastAsia"/>
                      <w:color w:val="auto"/>
                      <w:szCs w:val="21"/>
                      <w:highlight w:val="none"/>
                    </w:rPr>
                    <w:t>叠加值</w:t>
                  </w:r>
                </w:p>
              </w:tc>
              <w:tc>
                <w:tcPr>
                  <w:tcW w:w="3426" w:type="dxa"/>
                  <w:tcBorders>
                    <w:right w:val="single" w:color="auto" w:sz="4" w:space="0"/>
                  </w:tcBorders>
                  <w:vAlign w:val="center"/>
                </w:tcPr>
                <w:p>
                  <w:pPr>
                    <w:adjustRightInd w:val="0"/>
                    <w:snapToGrid w:val="0"/>
                    <w:jc w:val="center"/>
                    <w:rPr>
                      <w:rFonts w:hint="default" w:eastAsia="宋体"/>
                      <w:bCs/>
                      <w:color w:val="auto"/>
                      <w:szCs w:val="21"/>
                      <w:highlight w:val="none"/>
                      <w:lang w:val="en-US" w:eastAsia="zh-CN"/>
                    </w:rPr>
                  </w:pPr>
                  <w:r>
                    <w:rPr>
                      <w:rFonts w:hint="eastAsia" w:ascii="Times New Roman" w:eastAsia="宋体"/>
                      <w:bCs/>
                      <w:color w:val="auto"/>
                      <w:szCs w:val="21"/>
                      <w:highlight w:val="none"/>
                      <w:lang w:val="en-US" w:eastAsia="zh-CN"/>
                    </w:rPr>
                    <w:t>昼间：</w:t>
                  </w:r>
                  <w:r>
                    <w:rPr>
                      <w:rFonts w:hint="eastAsia"/>
                      <w:bCs/>
                      <w:color w:val="auto"/>
                      <w:szCs w:val="21"/>
                      <w:highlight w:val="none"/>
                      <w:lang w:val="en-US" w:eastAsia="zh-CN"/>
                    </w:rPr>
                    <w:t>58.8</w:t>
                  </w:r>
                </w:p>
              </w:tc>
              <w:tc>
                <w:tcPr>
                  <w:tcW w:w="2504" w:type="dxa"/>
                  <w:tcBorders>
                    <w:left w:val="single" w:color="auto" w:sz="4" w:space="0"/>
                  </w:tcBorders>
                  <w:vAlign w:val="center"/>
                </w:tcPr>
                <w:p>
                  <w:pPr>
                    <w:adjustRightInd w:val="0"/>
                    <w:snapToGrid w:val="0"/>
                    <w:jc w:val="center"/>
                    <w:rPr>
                      <w:rFonts w:hint="default"/>
                      <w:bCs/>
                      <w:color w:val="auto"/>
                      <w:szCs w:val="21"/>
                      <w:highlight w:val="none"/>
                      <w:lang w:val="en-US" w:eastAsia="zh-CN"/>
                    </w:rPr>
                  </w:pPr>
                  <w:r>
                    <w:rPr>
                      <w:rFonts w:hint="eastAsia" w:ascii="Times New Roman" w:eastAsia="宋体"/>
                      <w:bCs/>
                      <w:color w:val="auto"/>
                      <w:szCs w:val="21"/>
                      <w:highlight w:val="none"/>
                      <w:lang w:val="en-US" w:eastAsia="zh-CN"/>
                    </w:rPr>
                    <w:t>夜间：</w:t>
                  </w:r>
                  <w:r>
                    <w:rPr>
                      <w:rFonts w:hint="eastAsia"/>
                      <w:bCs/>
                      <w:color w:val="auto"/>
                      <w:szCs w:val="21"/>
                      <w:highlight w:val="none"/>
                      <w:lang w:val="en-US" w:eastAsia="zh-CN"/>
                    </w:rPr>
                    <w:t>48.9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jc w:val="center"/>
              </w:trPr>
              <w:tc>
                <w:tcPr>
                  <w:tcW w:w="2785" w:type="dxa"/>
                  <w:vAlign w:val="center"/>
                </w:tcPr>
                <w:p>
                  <w:pPr>
                    <w:adjustRightInd w:val="0"/>
                    <w:snapToGrid w:val="0"/>
                    <w:jc w:val="center"/>
                    <w:rPr>
                      <w:color w:val="auto"/>
                      <w:szCs w:val="21"/>
                      <w:highlight w:val="none"/>
                    </w:rPr>
                  </w:pPr>
                  <w:r>
                    <w:rPr>
                      <w:color w:val="auto"/>
                      <w:szCs w:val="21"/>
                      <w:highlight w:val="none"/>
                    </w:rPr>
                    <w:t>执行标准</w:t>
                  </w:r>
                </w:p>
              </w:tc>
              <w:tc>
                <w:tcPr>
                  <w:tcW w:w="5930" w:type="dxa"/>
                  <w:gridSpan w:val="2"/>
                  <w:vAlign w:val="center"/>
                </w:tcPr>
                <w:p>
                  <w:pPr>
                    <w:adjustRightInd w:val="0"/>
                    <w:snapToGrid w:val="0"/>
                    <w:ind w:firstLine="420" w:firstLineChars="200"/>
                    <w:jc w:val="center"/>
                    <w:rPr>
                      <w:color w:val="auto"/>
                      <w:szCs w:val="21"/>
                      <w:highlight w:val="none"/>
                    </w:rPr>
                  </w:pPr>
                  <w:r>
                    <w:rPr>
                      <w:color w:val="auto"/>
                      <w:szCs w:val="21"/>
                      <w:highlight w:val="none"/>
                    </w:rPr>
                    <w:t>昼间≤60，夜间≤50</w:t>
                  </w:r>
                </w:p>
              </w:tc>
            </w:tr>
          </w:tbl>
          <w:p>
            <w:pPr>
              <w:adjustRightInd w:val="0"/>
              <w:snapToGrid w:val="0"/>
              <w:spacing w:line="360" w:lineRule="auto"/>
              <w:ind w:firstLine="420" w:firstLineChars="200"/>
              <w:rPr>
                <w:color w:val="auto"/>
                <w:szCs w:val="21"/>
                <w:highlight w:val="none"/>
              </w:rPr>
            </w:pPr>
            <w:r>
              <w:rPr>
                <w:color w:val="auto"/>
                <w:szCs w:val="21"/>
                <w:highlight w:val="none"/>
              </w:rPr>
              <w:t>注：</w:t>
            </w:r>
            <w:r>
              <w:rPr>
                <w:rFonts w:hint="eastAsia" w:eastAsia="宋体"/>
                <w:color w:val="auto"/>
                <w:szCs w:val="21"/>
                <w:highlight w:val="none"/>
                <w:lang w:eastAsia="zh-CN"/>
              </w:rPr>
              <w:t>背景值以项目声环境现状检测的项目东侧外1m昼间、夜间最大值来取值；</w:t>
            </w:r>
            <w:r>
              <w:rPr>
                <w:color w:val="auto"/>
                <w:szCs w:val="21"/>
                <w:highlight w:val="none"/>
              </w:rPr>
              <w:t>室内声源衰减量按门窗、墙体隔声23分贝为准；衰减距离按厂房到敏感点的距离计算。</w:t>
            </w:r>
          </w:p>
          <w:p>
            <w:pPr>
              <w:spacing w:line="360" w:lineRule="auto"/>
              <w:ind w:firstLine="480" w:firstLineChars="200"/>
              <w:rPr>
                <w:color w:val="auto"/>
                <w:sz w:val="24"/>
                <w:szCs w:val="24"/>
                <w:highlight w:val="none"/>
              </w:rPr>
            </w:pPr>
            <w:r>
              <w:rPr>
                <w:color w:val="auto"/>
                <w:kern w:val="0"/>
                <w:sz w:val="24"/>
                <w:szCs w:val="20"/>
                <w:highlight w:val="none"/>
              </w:rPr>
              <w:t>综上所述，采取上述措施，再通过一定的距离的衰减，项目厂界噪声达到《工业企业厂界环境噪声排放标准》(GB12348－2008) 2类标准要求，对周边敏感点和周边环境影响甚微。</w:t>
            </w:r>
          </w:p>
          <w:p>
            <w:pPr>
              <w:spacing w:line="360" w:lineRule="auto"/>
              <w:ind w:firstLine="472" w:firstLineChars="196"/>
              <w:rPr>
                <w:rFonts w:ascii="Times New Roman" w:hAnsi="Times New Roman"/>
                <w:b/>
                <w:bCs/>
                <w:color w:val="auto"/>
                <w:sz w:val="24"/>
                <w:highlight w:val="none"/>
              </w:rPr>
            </w:pPr>
            <w:r>
              <w:rPr>
                <w:rFonts w:ascii="Times New Roman" w:hAnsi="Times New Roman"/>
                <w:b/>
                <w:bCs/>
                <w:color w:val="auto"/>
                <w:sz w:val="24"/>
                <w:highlight w:val="none"/>
              </w:rPr>
              <w:t>4</w:t>
            </w:r>
            <w:r>
              <w:rPr>
                <w:rFonts w:hint="eastAsia" w:ascii="Times New Roman" w:hAnsi="Times New Roman"/>
                <w:b/>
                <w:bCs/>
                <w:color w:val="auto"/>
                <w:sz w:val="24"/>
                <w:highlight w:val="none"/>
              </w:rPr>
              <w:t>、固体废物影响分析</w:t>
            </w:r>
          </w:p>
          <w:p>
            <w:pPr>
              <w:autoSpaceDE w:val="0"/>
              <w:autoSpaceDN w:val="0"/>
              <w:adjustRightInd w:val="0"/>
              <w:spacing w:line="360" w:lineRule="auto"/>
              <w:ind w:firstLine="480" w:firstLineChars="200"/>
              <w:jc w:val="left"/>
              <w:rPr>
                <w:color w:val="auto"/>
                <w:kern w:val="0"/>
                <w:sz w:val="24"/>
                <w:szCs w:val="24"/>
                <w:highlight w:val="none"/>
              </w:rPr>
            </w:pPr>
            <w:r>
              <w:rPr>
                <w:color w:val="auto"/>
                <w:kern w:val="0"/>
                <w:sz w:val="24"/>
                <w:szCs w:val="24"/>
                <w:highlight w:val="none"/>
              </w:rPr>
              <w:t>⑴生活垃圾</w:t>
            </w:r>
          </w:p>
          <w:p>
            <w:pPr>
              <w:autoSpaceDE w:val="0"/>
              <w:autoSpaceDN w:val="0"/>
              <w:adjustRightInd w:val="0"/>
              <w:spacing w:line="360" w:lineRule="auto"/>
              <w:ind w:firstLine="480" w:firstLineChars="200"/>
              <w:jc w:val="left"/>
              <w:rPr>
                <w:color w:val="auto"/>
                <w:kern w:val="0"/>
                <w:sz w:val="24"/>
                <w:szCs w:val="24"/>
                <w:highlight w:val="none"/>
              </w:rPr>
            </w:pPr>
            <w:r>
              <w:rPr>
                <w:color w:val="auto"/>
                <w:kern w:val="0"/>
                <w:sz w:val="24"/>
                <w:szCs w:val="24"/>
                <w:highlight w:val="none"/>
              </w:rPr>
              <w:t>本项目员工</w:t>
            </w:r>
            <w:r>
              <w:rPr>
                <w:rFonts w:hint="eastAsia"/>
                <w:color w:val="auto"/>
                <w:kern w:val="0"/>
                <w:sz w:val="24"/>
                <w:szCs w:val="24"/>
                <w:highlight w:val="none"/>
                <w:lang w:val="en-US" w:eastAsia="zh-CN"/>
              </w:rPr>
              <w:t>5</w:t>
            </w:r>
            <w:r>
              <w:rPr>
                <w:color w:val="auto"/>
                <w:kern w:val="0"/>
                <w:sz w:val="24"/>
                <w:szCs w:val="24"/>
                <w:highlight w:val="none"/>
              </w:rPr>
              <w:t>人，厂内不设置宿舍和</w:t>
            </w:r>
            <w:r>
              <w:rPr>
                <w:rFonts w:hint="eastAsia"/>
                <w:color w:val="auto"/>
                <w:kern w:val="0"/>
                <w:sz w:val="24"/>
                <w:szCs w:val="24"/>
                <w:highlight w:val="none"/>
                <w:lang w:eastAsia="zh-CN"/>
              </w:rPr>
              <w:t>食堂</w:t>
            </w:r>
            <w:r>
              <w:rPr>
                <w:color w:val="auto"/>
                <w:kern w:val="0"/>
                <w:sz w:val="24"/>
                <w:szCs w:val="24"/>
                <w:highlight w:val="none"/>
              </w:rPr>
              <w:t>。根据《社会区域类环境影响评价》（中国环境科学出版社），我国目前城市人均生活垃圾为0.8~1.5kg/人•d，办公垃圾为0.5~1.0kg/人•d。本项目员工每人每天生活垃圾产生量按0.</w:t>
            </w:r>
            <w:r>
              <w:rPr>
                <w:rFonts w:hint="eastAsia"/>
                <w:color w:val="auto"/>
                <w:kern w:val="0"/>
                <w:sz w:val="24"/>
                <w:szCs w:val="24"/>
                <w:highlight w:val="none"/>
                <w:lang w:val="en-US" w:eastAsia="zh-CN"/>
              </w:rPr>
              <w:t>8</w:t>
            </w:r>
            <w:r>
              <w:rPr>
                <w:color w:val="auto"/>
                <w:kern w:val="0"/>
                <w:sz w:val="24"/>
                <w:szCs w:val="24"/>
                <w:highlight w:val="none"/>
              </w:rPr>
              <w:t>kg计，则此部分垃圾产生量为</w:t>
            </w:r>
            <w:r>
              <w:rPr>
                <w:rFonts w:hint="eastAsia"/>
                <w:color w:val="auto"/>
                <w:kern w:val="0"/>
                <w:sz w:val="24"/>
                <w:szCs w:val="24"/>
                <w:highlight w:val="none"/>
                <w:lang w:val="en-US" w:eastAsia="zh-CN"/>
              </w:rPr>
              <w:t>1.2</w:t>
            </w:r>
            <w:r>
              <w:rPr>
                <w:color w:val="auto"/>
                <w:kern w:val="0"/>
                <w:sz w:val="24"/>
                <w:szCs w:val="24"/>
                <w:highlight w:val="none"/>
              </w:rPr>
              <w:t>t/a，交由环卫部门集中处理。</w:t>
            </w:r>
          </w:p>
          <w:p>
            <w:pPr>
              <w:autoSpaceDE w:val="0"/>
              <w:autoSpaceDN w:val="0"/>
              <w:adjustRightInd w:val="0"/>
              <w:spacing w:line="360" w:lineRule="auto"/>
              <w:ind w:firstLine="480" w:firstLineChars="200"/>
              <w:jc w:val="left"/>
              <w:rPr>
                <w:rFonts w:hint="eastAsia" w:eastAsia="宋体"/>
                <w:color w:val="auto"/>
                <w:kern w:val="0"/>
                <w:sz w:val="24"/>
                <w:szCs w:val="24"/>
                <w:highlight w:val="none"/>
                <w:lang w:eastAsia="zh-CN"/>
              </w:rPr>
            </w:pPr>
            <w:r>
              <w:rPr>
                <w:color w:val="auto"/>
                <w:kern w:val="0"/>
                <w:sz w:val="24"/>
                <w:szCs w:val="24"/>
                <w:highlight w:val="none"/>
              </w:rPr>
              <w:t>⑵</w:t>
            </w:r>
            <w:r>
              <w:rPr>
                <w:rFonts w:hint="eastAsia"/>
                <w:color w:val="auto"/>
                <w:kern w:val="0"/>
                <w:sz w:val="24"/>
                <w:szCs w:val="24"/>
                <w:highlight w:val="none"/>
                <w:lang w:eastAsia="zh-CN"/>
              </w:rPr>
              <w:t>一般固体废物</w:t>
            </w:r>
          </w:p>
          <w:p>
            <w:pPr>
              <w:autoSpaceDE w:val="0"/>
              <w:autoSpaceDN w:val="0"/>
              <w:adjustRightInd w:val="0"/>
              <w:spacing w:line="360" w:lineRule="auto"/>
              <w:ind w:firstLine="480" w:firstLineChars="200"/>
              <w:jc w:val="left"/>
              <w:rPr>
                <w:rFonts w:hint="eastAsia" w:ascii="Times New Roman" w:hAnsi="Times New Roman"/>
                <w:color w:val="auto"/>
                <w:kern w:val="0"/>
                <w:sz w:val="24"/>
                <w:szCs w:val="22"/>
                <w:highlight w:val="none"/>
                <w:lang w:val="en-US" w:eastAsia="zh-CN"/>
              </w:rPr>
            </w:pPr>
            <w:r>
              <w:rPr>
                <w:rFonts w:hint="eastAsia"/>
                <w:color w:val="auto"/>
                <w:kern w:val="0"/>
                <w:sz w:val="24"/>
                <w:szCs w:val="22"/>
                <w:highlight w:val="none"/>
                <w:lang w:val="en-US" w:eastAsia="zh-CN"/>
              </w:rPr>
              <w:t>废包装材料：</w:t>
            </w:r>
            <w:r>
              <w:rPr>
                <w:rFonts w:hint="eastAsia" w:ascii="Times New Roman" w:hAnsi="Times New Roman"/>
                <w:color w:val="auto"/>
                <w:kern w:val="0"/>
                <w:sz w:val="24"/>
                <w:szCs w:val="22"/>
                <w:highlight w:val="none"/>
                <w:lang w:val="en-US" w:eastAsia="zh-CN"/>
              </w:rPr>
              <w:t>包装工序中产生的废弃包装材料，主要为废纸箱、废包装袋等，属一般工业固体废物，产生量约为</w:t>
            </w:r>
            <w:r>
              <w:rPr>
                <w:rFonts w:hint="eastAsia"/>
                <w:color w:val="auto"/>
                <w:kern w:val="0"/>
                <w:sz w:val="24"/>
                <w:szCs w:val="22"/>
                <w:highlight w:val="none"/>
                <w:lang w:val="en-US" w:eastAsia="zh-CN"/>
              </w:rPr>
              <w:t>1</w:t>
            </w:r>
            <w:r>
              <w:rPr>
                <w:rFonts w:hint="eastAsia" w:ascii="Times New Roman" w:hAnsi="Times New Roman"/>
                <w:color w:val="auto"/>
                <w:kern w:val="0"/>
                <w:sz w:val="24"/>
                <w:szCs w:val="22"/>
                <w:highlight w:val="none"/>
                <w:lang w:val="en-US" w:eastAsia="zh-CN"/>
              </w:rPr>
              <w:t>t/a</w:t>
            </w:r>
            <w:r>
              <w:rPr>
                <w:rFonts w:hint="eastAsia"/>
                <w:color w:val="auto"/>
                <w:kern w:val="0"/>
                <w:sz w:val="24"/>
                <w:szCs w:val="22"/>
                <w:highlight w:val="none"/>
                <w:lang w:val="en-US" w:eastAsia="zh-CN"/>
              </w:rPr>
              <w:t>。</w:t>
            </w:r>
            <w:r>
              <w:rPr>
                <w:rFonts w:hint="eastAsia" w:ascii="Times New Roman" w:hAnsi="Times New Roman"/>
                <w:color w:val="auto"/>
                <w:kern w:val="0"/>
                <w:sz w:val="24"/>
                <w:highlight w:val="none"/>
              </w:rPr>
              <w:t>统一收集后交由回收公司回收处理</w:t>
            </w:r>
            <w:r>
              <w:rPr>
                <w:rFonts w:hint="eastAsia" w:ascii="Times New Roman" w:hAnsi="Times New Roman"/>
                <w:color w:val="auto"/>
                <w:kern w:val="0"/>
                <w:sz w:val="24"/>
                <w:highlight w:val="none"/>
                <w:lang w:eastAsia="zh-CN"/>
              </w:rPr>
              <w:t>。</w:t>
            </w:r>
          </w:p>
          <w:p>
            <w:pPr>
              <w:autoSpaceDE w:val="0"/>
              <w:autoSpaceDN w:val="0"/>
              <w:adjustRightInd w:val="0"/>
              <w:spacing w:line="360" w:lineRule="auto"/>
              <w:ind w:firstLine="480" w:firstLineChars="200"/>
              <w:jc w:val="left"/>
              <w:rPr>
                <w:rFonts w:hint="eastAsia" w:ascii="Times New Roman" w:hAnsi="Times New Roman"/>
                <w:color w:val="auto"/>
                <w:kern w:val="0"/>
                <w:sz w:val="24"/>
                <w:highlight w:val="none"/>
                <w:lang w:val="en-US" w:eastAsia="zh-CN"/>
              </w:rPr>
            </w:pPr>
            <w:r>
              <w:rPr>
                <w:rFonts w:hint="eastAsia" w:ascii="Times New Roman" w:hAnsi="Times New Roman" w:cs="Times New Roman"/>
                <w:color w:val="auto"/>
                <w:kern w:val="0"/>
                <w:sz w:val="24"/>
                <w:szCs w:val="22"/>
                <w:highlight w:val="none"/>
                <w:lang w:val="en-US" w:eastAsia="zh-CN"/>
              </w:rPr>
              <w:t>边角</w:t>
            </w:r>
            <w:r>
              <w:rPr>
                <w:rFonts w:hint="eastAsia"/>
                <w:color w:val="auto"/>
                <w:kern w:val="0"/>
                <w:sz w:val="24"/>
                <w:szCs w:val="22"/>
                <w:highlight w:val="none"/>
                <w:lang w:val="en-US" w:eastAsia="zh-CN"/>
              </w:rPr>
              <w:t>料：</w:t>
            </w:r>
            <w:r>
              <w:rPr>
                <w:rFonts w:hint="eastAsia" w:ascii="Times New Roman" w:hAnsi="Times New Roman"/>
                <w:color w:val="auto"/>
                <w:kern w:val="0"/>
                <w:sz w:val="24"/>
                <w:szCs w:val="22"/>
                <w:highlight w:val="none"/>
                <w:lang w:val="en-US" w:eastAsia="zh-CN"/>
              </w:rPr>
              <w:t>项目机加工工序会产生金属边角料，根据建设单位提供的</w:t>
            </w:r>
            <w:r>
              <w:rPr>
                <w:rFonts w:hint="eastAsia"/>
                <w:color w:val="auto"/>
                <w:kern w:val="0"/>
                <w:sz w:val="24"/>
                <w:szCs w:val="22"/>
                <w:highlight w:val="none"/>
                <w:lang w:val="en-US" w:eastAsia="zh-CN"/>
              </w:rPr>
              <w:t>资料</w:t>
            </w:r>
            <w:r>
              <w:rPr>
                <w:rFonts w:hint="eastAsia" w:ascii="Times New Roman" w:hAnsi="Times New Roman"/>
                <w:color w:val="auto"/>
                <w:kern w:val="0"/>
                <w:sz w:val="24"/>
                <w:szCs w:val="22"/>
                <w:highlight w:val="none"/>
                <w:lang w:val="en-US" w:eastAsia="zh-CN"/>
              </w:rPr>
              <w:t>，金属边角料产生量为</w:t>
            </w:r>
            <w:r>
              <w:rPr>
                <w:rFonts w:hint="eastAsia"/>
                <w:color w:val="auto"/>
                <w:kern w:val="0"/>
                <w:sz w:val="24"/>
                <w:szCs w:val="22"/>
                <w:highlight w:val="none"/>
                <w:lang w:val="en-US" w:eastAsia="zh-CN"/>
              </w:rPr>
              <w:t>4</w:t>
            </w:r>
            <w:r>
              <w:rPr>
                <w:rFonts w:hint="eastAsia" w:ascii="Times New Roman" w:hAnsi="Times New Roman"/>
                <w:color w:val="auto"/>
                <w:kern w:val="0"/>
                <w:sz w:val="24"/>
                <w:szCs w:val="22"/>
                <w:highlight w:val="none"/>
                <w:lang w:val="en-US" w:eastAsia="zh-CN"/>
              </w:rPr>
              <w:t>t/a。</w:t>
            </w:r>
            <w:r>
              <w:rPr>
                <w:rFonts w:hint="eastAsia" w:ascii="Times New Roman" w:hAnsi="Times New Roman"/>
                <w:color w:val="auto"/>
                <w:kern w:val="0"/>
                <w:sz w:val="24"/>
                <w:highlight w:val="none"/>
              </w:rPr>
              <w:t>统一收集后交由回收公司回收处理</w:t>
            </w:r>
            <w:r>
              <w:rPr>
                <w:rFonts w:hint="eastAsia" w:ascii="Times New Roman" w:hAnsi="Times New Roman"/>
                <w:color w:val="auto"/>
                <w:kern w:val="0"/>
                <w:sz w:val="24"/>
                <w:highlight w:val="none"/>
                <w:lang w:eastAsia="zh-CN"/>
              </w:rPr>
              <w:t>。</w:t>
            </w:r>
            <w:r>
              <w:rPr>
                <w:rFonts w:hint="eastAsia" w:ascii="Times New Roman" w:hAnsi="Times New Roman"/>
                <w:color w:val="auto"/>
                <w:kern w:val="0"/>
                <w:sz w:val="24"/>
                <w:highlight w:val="none"/>
                <w:lang w:val="en-US" w:eastAsia="zh-CN"/>
              </w:rPr>
              <w:t xml:space="preserve"> </w:t>
            </w:r>
          </w:p>
          <w:p>
            <w:pPr>
              <w:pStyle w:val="2"/>
              <w:spacing w:line="360" w:lineRule="auto"/>
              <w:rPr>
                <w:rFonts w:hint="default"/>
                <w:color w:val="auto"/>
                <w:highlight w:val="none"/>
                <w:lang w:val="en-US" w:eastAsia="zh-CN"/>
              </w:rPr>
            </w:pPr>
            <w:r>
              <w:rPr>
                <w:rFonts w:hint="eastAsia" w:ascii="Times New Roman" w:hAnsi="Times New Roman"/>
                <w:color w:val="auto"/>
                <w:kern w:val="0"/>
                <w:sz w:val="24"/>
                <w:highlight w:val="none"/>
                <w:lang w:val="en-US" w:eastAsia="zh-CN"/>
              </w:rPr>
              <w:t xml:space="preserve">    不合格品：项目检验工序会产生不合格品，根据建设单位提供的资料，不合格品产生量为1t/a。统一收集后交由回收公司回收处理。</w:t>
            </w:r>
          </w:p>
          <w:p>
            <w:pPr>
              <w:pStyle w:val="2"/>
              <w:spacing w:line="360" w:lineRule="auto"/>
              <w:ind w:firstLine="480" w:firstLineChars="200"/>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fldChar w:fldCharType="begin"/>
            </w:r>
            <w:r>
              <w:rPr>
                <w:rFonts w:hint="eastAsia" w:ascii="Times New Roman" w:hAnsi="Times New Roman" w:cs="Times New Roman"/>
                <w:color w:val="auto"/>
                <w:kern w:val="0"/>
                <w:sz w:val="24"/>
                <w:szCs w:val="22"/>
                <w:highlight w:val="none"/>
                <w:lang w:val="en-US" w:eastAsia="zh-CN"/>
              </w:rPr>
              <w:instrText xml:space="preserve"> = 3 \* GB2 \* MERGEFORMAT </w:instrText>
            </w:r>
            <w:r>
              <w:rPr>
                <w:rFonts w:hint="eastAsia" w:ascii="Times New Roman" w:hAnsi="Times New Roman" w:cs="Times New Roman"/>
                <w:color w:val="auto"/>
                <w:kern w:val="0"/>
                <w:sz w:val="24"/>
                <w:szCs w:val="22"/>
                <w:highlight w:val="none"/>
                <w:lang w:val="en-US" w:eastAsia="zh-CN"/>
              </w:rPr>
              <w:fldChar w:fldCharType="separate"/>
            </w:r>
            <w:r>
              <w:rPr>
                <w:rFonts w:hint="eastAsia" w:ascii="Times New Roman" w:hAnsi="Times New Roman" w:cs="Times New Roman"/>
                <w:color w:val="auto"/>
                <w:kern w:val="0"/>
                <w:sz w:val="24"/>
                <w:szCs w:val="22"/>
                <w:highlight w:val="none"/>
                <w:lang w:val="en-US" w:eastAsia="zh-CN"/>
              </w:rPr>
              <w:t>⑶</w:t>
            </w:r>
            <w:r>
              <w:rPr>
                <w:rFonts w:hint="eastAsia" w:ascii="Times New Roman" w:hAnsi="Times New Roman" w:cs="Times New Roman"/>
                <w:color w:val="auto"/>
                <w:kern w:val="0"/>
                <w:sz w:val="24"/>
                <w:szCs w:val="22"/>
                <w:highlight w:val="none"/>
                <w:lang w:val="en-US" w:eastAsia="zh-CN"/>
              </w:rPr>
              <w:fldChar w:fldCharType="end"/>
            </w:r>
            <w:r>
              <w:rPr>
                <w:rFonts w:hint="eastAsia" w:ascii="Times New Roman" w:hAnsi="Times New Roman" w:cs="Times New Roman"/>
                <w:color w:val="auto"/>
                <w:kern w:val="0"/>
                <w:sz w:val="24"/>
                <w:szCs w:val="22"/>
                <w:highlight w:val="none"/>
                <w:lang w:val="en-US" w:eastAsia="zh-CN"/>
              </w:rPr>
              <w:t>危险废物</w:t>
            </w:r>
          </w:p>
          <w:p>
            <w:pPr>
              <w:widowControl w:val="0"/>
              <w:adjustRightInd w:val="0"/>
              <w:snapToGrid w:val="0"/>
              <w:spacing w:after="0" w:line="360" w:lineRule="auto"/>
              <w:ind w:firstLine="480" w:firstLineChars="200"/>
              <w:jc w:val="both"/>
              <w:rPr>
                <w:rFonts w:ascii="Times New Roman" w:hAnsi="Times New Roman" w:eastAsia="宋体" w:cs="Times New Roman"/>
                <w:color w:val="auto"/>
                <w:kern w:val="2"/>
                <w:sz w:val="24"/>
                <w:szCs w:val="22"/>
                <w:highlight w:val="none"/>
              </w:rPr>
            </w:pPr>
            <w:r>
              <w:rPr>
                <w:rFonts w:hint="eastAsia" w:ascii="Times New Roman" w:hAnsi="Times New Roman" w:eastAsia="宋体" w:cs="Times New Roman"/>
                <w:color w:val="auto"/>
                <w:kern w:val="2"/>
                <w:sz w:val="24"/>
                <w:szCs w:val="24"/>
                <w:highlight w:val="none"/>
                <w:lang w:eastAsia="zh-CN"/>
              </w:rPr>
              <w:t>项目危险废物主要包括废</w:t>
            </w:r>
            <w:r>
              <w:rPr>
                <w:rFonts w:hint="eastAsia" w:ascii="Calibri" w:hAnsi="Calibri"/>
                <w:color w:val="auto"/>
                <w:kern w:val="0"/>
                <w:sz w:val="24"/>
                <w:szCs w:val="22"/>
                <w:highlight w:val="none"/>
              </w:rPr>
              <w:t>含油抹布</w:t>
            </w:r>
            <w:r>
              <w:rPr>
                <w:rFonts w:hint="eastAsia" w:ascii="Calibri" w:hAnsi="Calibri"/>
                <w:color w:val="auto"/>
                <w:kern w:val="0"/>
                <w:sz w:val="24"/>
                <w:szCs w:val="22"/>
                <w:highlight w:val="none"/>
                <w:lang w:eastAsia="zh-CN"/>
              </w:rPr>
              <w:t>、手套</w:t>
            </w:r>
            <w:r>
              <w:rPr>
                <w:rFonts w:hint="eastAsia" w:ascii="Times New Roman" w:hAnsi="Times New Roman" w:eastAsia="宋体" w:cs="Times New Roman"/>
                <w:color w:val="auto"/>
                <w:kern w:val="2"/>
                <w:sz w:val="24"/>
                <w:szCs w:val="24"/>
                <w:highlight w:val="none"/>
                <w:lang w:eastAsia="zh-CN"/>
              </w:rPr>
              <w:t>、废润滑油、润滑油油桶</w:t>
            </w:r>
            <w:r>
              <w:rPr>
                <w:rFonts w:hint="eastAsia" w:ascii="Times New Roman" w:hAnsi="Times New Roman" w:eastAsia="宋体" w:cs="Times New Roman"/>
                <w:color w:val="auto"/>
                <w:kern w:val="2"/>
                <w:sz w:val="24"/>
                <w:szCs w:val="24"/>
                <w:highlight w:val="none"/>
                <w:shd w:val="clear" w:color="auto" w:fill="auto"/>
                <w:lang w:eastAsia="zh-CN"/>
              </w:rPr>
              <w:t>。以上危险废物</w:t>
            </w:r>
            <w:r>
              <w:rPr>
                <w:rFonts w:hint="eastAsia" w:ascii="Times New Roman" w:hAnsi="Times New Roman" w:eastAsia="宋体" w:cs="Times New Roman"/>
                <w:color w:val="auto"/>
                <w:kern w:val="2"/>
                <w:sz w:val="24"/>
                <w:szCs w:val="22"/>
                <w:highlight w:val="none"/>
                <w:shd w:val="clear" w:color="auto" w:fill="auto"/>
              </w:rPr>
              <w:t>暂存于危废暂存区，定期交有危险废物处置资质的单位处置。根据项目危险废物产废周期，本项目拟每年将危险废物交有资质公司处置一次，</w:t>
            </w:r>
            <w:r>
              <w:rPr>
                <w:rFonts w:hint="eastAsia" w:ascii="Times New Roman" w:hAnsi="Times New Roman" w:eastAsia="宋体" w:cs="Times New Roman"/>
                <w:color w:val="auto"/>
                <w:kern w:val="2"/>
                <w:sz w:val="24"/>
                <w:szCs w:val="22"/>
                <w:highlight w:val="none"/>
              </w:rPr>
              <w:t>胶桶收集单个容积</w:t>
            </w:r>
            <w:r>
              <w:rPr>
                <w:rFonts w:hint="eastAsia" w:ascii="Times New Roman" w:hAnsi="Times New Roman" w:eastAsia="宋体" w:cs="Times New Roman"/>
                <w:color w:val="auto"/>
                <w:kern w:val="2"/>
                <w:sz w:val="24"/>
                <w:szCs w:val="22"/>
                <w:highlight w:val="none"/>
                <w:lang w:val="en-US" w:eastAsia="zh-CN"/>
              </w:rPr>
              <w:t>1</w:t>
            </w:r>
            <w:r>
              <w:rPr>
                <w:rFonts w:hint="eastAsia" w:ascii="Times New Roman" w:hAnsi="Times New Roman" w:eastAsia="宋体" w:cs="Times New Roman"/>
                <w:color w:val="auto"/>
                <w:kern w:val="2"/>
                <w:sz w:val="24"/>
                <w:szCs w:val="22"/>
                <w:highlight w:val="none"/>
              </w:rPr>
              <w:t>m</w:t>
            </w:r>
            <w:r>
              <w:rPr>
                <w:rFonts w:hint="eastAsia" w:ascii="Times New Roman" w:hAnsi="Times New Roman" w:eastAsia="宋体" w:cs="Times New Roman"/>
                <w:color w:val="auto"/>
                <w:kern w:val="2"/>
                <w:sz w:val="24"/>
                <w:szCs w:val="22"/>
                <w:highlight w:val="none"/>
                <w:vertAlign w:val="superscript"/>
              </w:rPr>
              <w:t>3</w:t>
            </w:r>
            <w:r>
              <w:rPr>
                <w:rFonts w:hint="eastAsia" w:ascii="Times New Roman" w:hAnsi="Times New Roman" w:eastAsia="宋体" w:cs="Times New Roman"/>
                <w:color w:val="auto"/>
                <w:kern w:val="2"/>
                <w:sz w:val="24"/>
                <w:szCs w:val="22"/>
                <w:highlight w:val="none"/>
              </w:rPr>
              <w:t>，占地面积约</w:t>
            </w:r>
            <w:r>
              <w:rPr>
                <w:rFonts w:hint="eastAsia" w:ascii="Times New Roman" w:hAnsi="Times New Roman" w:eastAsia="宋体" w:cs="Times New Roman"/>
                <w:color w:val="auto"/>
                <w:kern w:val="2"/>
                <w:sz w:val="24"/>
                <w:szCs w:val="22"/>
                <w:highlight w:val="none"/>
                <w:lang w:val="en-US" w:eastAsia="zh-CN"/>
              </w:rPr>
              <w:t>1.5</w:t>
            </w:r>
            <w:r>
              <w:rPr>
                <w:rFonts w:hint="eastAsia" w:ascii="Times New Roman" w:hAnsi="Times New Roman" w:eastAsia="宋体" w:cs="Times New Roman"/>
                <w:color w:val="auto"/>
                <w:kern w:val="2"/>
                <w:sz w:val="24"/>
                <w:szCs w:val="22"/>
                <w:highlight w:val="none"/>
              </w:rPr>
              <w:t>m</w:t>
            </w:r>
            <w:r>
              <w:rPr>
                <w:rFonts w:hint="eastAsia" w:ascii="Times New Roman" w:hAnsi="Times New Roman" w:eastAsia="宋体" w:cs="Times New Roman"/>
                <w:color w:val="auto"/>
                <w:kern w:val="2"/>
                <w:sz w:val="24"/>
                <w:szCs w:val="22"/>
                <w:highlight w:val="none"/>
                <w:vertAlign w:val="superscript"/>
              </w:rPr>
              <w:t>2</w:t>
            </w:r>
            <w:r>
              <w:rPr>
                <w:rFonts w:hint="eastAsia" w:ascii="Times New Roman" w:hAnsi="Times New Roman" w:eastAsia="宋体" w:cs="Times New Roman"/>
                <w:color w:val="auto"/>
                <w:kern w:val="2"/>
                <w:sz w:val="24"/>
                <w:szCs w:val="22"/>
                <w:highlight w:val="none"/>
              </w:rPr>
              <w:t>，约需</w:t>
            </w:r>
            <w:r>
              <w:rPr>
                <w:rFonts w:hint="eastAsia" w:cs="Times New Roman"/>
                <w:color w:val="auto"/>
                <w:kern w:val="2"/>
                <w:sz w:val="24"/>
                <w:szCs w:val="22"/>
                <w:highlight w:val="none"/>
                <w:lang w:val="en-US" w:eastAsia="zh-CN"/>
              </w:rPr>
              <w:t>3</w:t>
            </w:r>
            <w:r>
              <w:rPr>
                <w:rFonts w:hint="eastAsia" w:ascii="Times New Roman" w:hAnsi="Times New Roman" w:eastAsia="宋体" w:cs="Times New Roman"/>
                <w:color w:val="auto"/>
                <w:kern w:val="2"/>
                <w:sz w:val="24"/>
                <w:szCs w:val="22"/>
                <w:highlight w:val="none"/>
              </w:rPr>
              <w:t>个，合计约需占地面积</w:t>
            </w:r>
            <w:r>
              <w:rPr>
                <w:rFonts w:hint="eastAsia" w:cs="Times New Roman"/>
                <w:color w:val="auto"/>
                <w:kern w:val="2"/>
                <w:sz w:val="24"/>
                <w:szCs w:val="22"/>
                <w:highlight w:val="none"/>
                <w:lang w:val="en-US" w:eastAsia="zh-CN"/>
              </w:rPr>
              <w:t>4.5</w:t>
            </w:r>
            <w:r>
              <w:rPr>
                <w:rFonts w:hint="eastAsia" w:ascii="Times New Roman" w:hAnsi="Times New Roman" w:eastAsia="宋体" w:cs="Times New Roman"/>
                <w:color w:val="auto"/>
                <w:kern w:val="2"/>
                <w:sz w:val="24"/>
                <w:szCs w:val="22"/>
                <w:highlight w:val="none"/>
              </w:rPr>
              <w:t>m</w:t>
            </w:r>
            <w:r>
              <w:rPr>
                <w:rFonts w:hint="eastAsia" w:ascii="Times New Roman" w:hAnsi="Times New Roman" w:eastAsia="宋体" w:cs="Times New Roman"/>
                <w:color w:val="auto"/>
                <w:kern w:val="2"/>
                <w:sz w:val="24"/>
                <w:szCs w:val="22"/>
                <w:highlight w:val="none"/>
                <w:vertAlign w:val="superscript"/>
              </w:rPr>
              <w:t>2</w:t>
            </w:r>
            <w:r>
              <w:rPr>
                <w:rFonts w:hint="eastAsia" w:ascii="Times New Roman" w:hAnsi="Times New Roman" w:eastAsia="宋体" w:cs="Times New Roman"/>
                <w:color w:val="auto"/>
                <w:kern w:val="2"/>
                <w:sz w:val="24"/>
                <w:szCs w:val="22"/>
                <w:highlight w:val="none"/>
              </w:rPr>
              <w:t>，本项目拟设置危险废物暂存区占地面积</w:t>
            </w:r>
            <w:r>
              <w:rPr>
                <w:rFonts w:hint="eastAsia" w:cs="Times New Roman"/>
                <w:color w:val="auto"/>
                <w:kern w:val="2"/>
                <w:sz w:val="24"/>
                <w:szCs w:val="22"/>
                <w:highlight w:val="none"/>
                <w:lang w:val="en-US" w:eastAsia="zh-CN"/>
              </w:rPr>
              <w:t>5</w:t>
            </w:r>
            <w:r>
              <w:rPr>
                <w:rFonts w:hint="eastAsia" w:ascii="Times New Roman" w:hAnsi="Times New Roman" w:eastAsia="宋体" w:cs="Times New Roman"/>
                <w:color w:val="auto"/>
                <w:kern w:val="2"/>
                <w:sz w:val="24"/>
                <w:szCs w:val="22"/>
                <w:highlight w:val="none"/>
              </w:rPr>
              <w:t>m</w:t>
            </w:r>
            <w:r>
              <w:rPr>
                <w:rFonts w:hint="eastAsia" w:ascii="Times New Roman" w:hAnsi="Times New Roman" w:eastAsia="宋体" w:cs="Times New Roman"/>
                <w:color w:val="auto"/>
                <w:kern w:val="2"/>
                <w:sz w:val="24"/>
                <w:szCs w:val="22"/>
                <w:highlight w:val="none"/>
                <w:vertAlign w:val="superscript"/>
              </w:rPr>
              <w:t>2</w:t>
            </w:r>
            <w:r>
              <w:rPr>
                <w:rFonts w:hint="eastAsia" w:ascii="Times New Roman" w:hAnsi="Times New Roman" w:eastAsia="宋体" w:cs="Times New Roman"/>
                <w:color w:val="auto"/>
                <w:kern w:val="2"/>
                <w:sz w:val="24"/>
                <w:szCs w:val="22"/>
                <w:highlight w:val="none"/>
              </w:rPr>
              <w:t>，可满足最大暂存危险废物要求。故拟设置的危废暂存区能够满足本项目危险废物暂存要求。危险废物暂存区将严格按照《危险废物贮存污染控制标准》（GB18597-2001）及其2013年修改单中的要求建设和维护使用。</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表7-16  </w:t>
            </w:r>
            <w:r>
              <w:rPr>
                <w:rFonts w:ascii="Times New Roman" w:hAnsi="Times New Roman" w:eastAsia="宋体" w:cs="Times New Roman"/>
                <w:b/>
                <w:color w:val="auto"/>
                <w:kern w:val="0"/>
                <w:sz w:val="21"/>
                <w:szCs w:val="21"/>
                <w:highlight w:val="none"/>
                <w:lang w:val="en-US" w:eastAsia="zh-CN" w:bidi="ar-SA"/>
              </w:rPr>
              <w:t>本项目危废</w:t>
            </w:r>
            <w:r>
              <w:rPr>
                <w:rFonts w:hint="eastAsia" w:ascii="Times New Roman" w:hAnsi="Times New Roman" w:eastAsia="宋体" w:cs="Times New Roman"/>
                <w:b/>
                <w:color w:val="auto"/>
                <w:kern w:val="0"/>
                <w:sz w:val="21"/>
                <w:szCs w:val="21"/>
                <w:highlight w:val="none"/>
                <w:lang w:val="en-US" w:eastAsia="zh-CN" w:bidi="ar-SA"/>
              </w:rPr>
              <w:t>暂存区</w:t>
            </w:r>
            <w:r>
              <w:rPr>
                <w:rFonts w:ascii="Times New Roman" w:hAnsi="Times New Roman" w:eastAsia="宋体" w:cs="Times New Roman"/>
                <w:b/>
                <w:color w:val="auto"/>
                <w:kern w:val="0"/>
                <w:sz w:val="21"/>
                <w:szCs w:val="21"/>
                <w:highlight w:val="none"/>
                <w:lang w:val="en-US" w:eastAsia="zh-CN" w:bidi="ar-SA"/>
              </w:rPr>
              <w:t>基本情况表</w:t>
            </w:r>
          </w:p>
          <w:tbl>
            <w:tblPr>
              <w:tblStyle w:val="3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092"/>
              <w:gridCol w:w="1089"/>
              <w:gridCol w:w="1130"/>
              <w:gridCol w:w="900"/>
              <w:gridCol w:w="780"/>
              <w:gridCol w:w="810"/>
              <w:gridCol w:w="795"/>
              <w:gridCol w:w="69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9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序号</w:t>
                  </w:r>
                </w:p>
              </w:tc>
              <w:tc>
                <w:tcPr>
                  <w:tcW w:w="1092"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贮存场所（设施）</w:t>
                  </w:r>
                </w:p>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名称</w:t>
                  </w:r>
                </w:p>
              </w:tc>
              <w:tc>
                <w:tcPr>
                  <w:tcW w:w="1089"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危险废物名称</w:t>
                  </w:r>
                </w:p>
              </w:tc>
              <w:tc>
                <w:tcPr>
                  <w:tcW w:w="113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危险废物类别</w:t>
                  </w:r>
                </w:p>
              </w:tc>
              <w:tc>
                <w:tcPr>
                  <w:tcW w:w="90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危险废物代码</w:t>
                  </w:r>
                </w:p>
              </w:tc>
              <w:tc>
                <w:tcPr>
                  <w:tcW w:w="78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位置</w:t>
                  </w:r>
                </w:p>
              </w:tc>
              <w:tc>
                <w:tcPr>
                  <w:tcW w:w="81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占地面积</w:t>
                  </w:r>
                </w:p>
              </w:tc>
              <w:tc>
                <w:tcPr>
                  <w:tcW w:w="795"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贮存方式</w:t>
                  </w:r>
                </w:p>
              </w:tc>
              <w:tc>
                <w:tcPr>
                  <w:tcW w:w="69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贮存</w:t>
                  </w:r>
                </w:p>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能力</w:t>
                  </w:r>
                </w:p>
              </w:tc>
              <w:tc>
                <w:tcPr>
                  <w:tcW w:w="728"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贮存</w:t>
                  </w:r>
                </w:p>
                <w:p>
                  <w:pPr>
                    <w:widowControl w:val="0"/>
                    <w:topLinePunct/>
                    <w:adjustRightInd w:val="0"/>
                    <w:snapToGrid w:val="0"/>
                    <w:spacing w:after="0" w:line="240" w:lineRule="auto"/>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49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1092" w:type="dxa"/>
                  <w:vMerge w:val="restart"/>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危废暂存区</w:t>
                  </w:r>
                </w:p>
              </w:tc>
              <w:tc>
                <w:tcPr>
                  <w:tcW w:w="1089" w:type="dxa"/>
                  <w:tcBorders>
                    <w:tl2br w:val="nil"/>
                    <w:tr2bl w:val="nil"/>
                  </w:tcBorders>
                  <w:vAlign w:val="center"/>
                </w:tcPr>
                <w:p>
                  <w:pPr>
                    <w:pStyle w:val="2"/>
                    <w:jc w:val="center"/>
                    <w:rPr>
                      <w:rFonts w:ascii="Times New Roman" w:hAnsi="Times New Roman" w:eastAsia="宋体" w:cs="Times New Roman"/>
                      <w:color w:val="auto"/>
                      <w:kern w:val="0"/>
                      <w:sz w:val="21"/>
                      <w:szCs w:val="21"/>
                      <w:highlight w:val="none"/>
                    </w:rPr>
                  </w:pPr>
                  <w:r>
                    <w:rPr>
                      <w:rFonts w:hint="eastAsia" w:ascii="Times New Roman" w:hAnsi="Times New Roman"/>
                      <w:color w:val="auto"/>
                      <w:kern w:val="0"/>
                      <w:sz w:val="21"/>
                      <w:szCs w:val="21"/>
                      <w:highlight w:val="none"/>
                      <w:vertAlign w:val="baseline"/>
                      <w:lang w:val="en-US" w:eastAsia="zh-CN"/>
                    </w:rPr>
                    <w:t>含油废抹布、手套</w:t>
                  </w:r>
                </w:p>
              </w:tc>
              <w:tc>
                <w:tcPr>
                  <w:tcW w:w="113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bCs/>
                      <w:color w:val="auto"/>
                      <w:kern w:val="2"/>
                      <w:sz w:val="21"/>
                      <w:szCs w:val="21"/>
                      <w:highlight w:val="none"/>
                    </w:rPr>
                    <w:t>废矿物油与含矿物油废物</w:t>
                  </w:r>
                </w:p>
              </w:tc>
              <w:tc>
                <w:tcPr>
                  <w:tcW w:w="90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900-217-08</w:t>
                  </w:r>
                </w:p>
              </w:tc>
              <w:tc>
                <w:tcPr>
                  <w:tcW w:w="780" w:type="dxa"/>
                  <w:vMerge w:val="restart"/>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设置于</w:t>
                  </w:r>
                  <w:r>
                    <w:rPr>
                      <w:rFonts w:hint="eastAsia" w:ascii="Times New Roman" w:hAnsi="Times New Roman" w:eastAsia="宋体" w:cs="Times New Roman"/>
                      <w:color w:val="auto"/>
                      <w:kern w:val="0"/>
                      <w:sz w:val="21"/>
                      <w:szCs w:val="21"/>
                      <w:highlight w:val="none"/>
                    </w:rPr>
                    <w:t>车间内</w:t>
                  </w:r>
                </w:p>
              </w:tc>
              <w:tc>
                <w:tcPr>
                  <w:tcW w:w="810" w:type="dxa"/>
                  <w:vMerge w:val="restart"/>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5</w:t>
                  </w:r>
                  <w:r>
                    <w:rPr>
                      <w:rFonts w:ascii="Times New Roman" w:hAnsi="Times New Roman" w:eastAsia="宋体" w:cs="Times New Roman"/>
                      <w:color w:val="auto"/>
                      <w:kern w:val="0"/>
                      <w:sz w:val="21"/>
                      <w:szCs w:val="21"/>
                      <w:highlight w:val="none"/>
                    </w:rPr>
                    <w:t>m</w:t>
                  </w:r>
                  <w:r>
                    <w:rPr>
                      <w:rFonts w:ascii="Times New Roman" w:hAnsi="Times New Roman" w:eastAsia="宋体" w:cs="Times New Roman"/>
                      <w:color w:val="auto"/>
                      <w:kern w:val="0"/>
                      <w:sz w:val="21"/>
                      <w:szCs w:val="21"/>
                      <w:highlight w:val="none"/>
                      <w:vertAlign w:val="superscript"/>
                    </w:rPr>
                    <w:t>2</w:t>
                  </w:r>
                </w:p>
              </w:tc>
              <w:tc>
                <w:tcPr>
                  <w:tcW w:w="795"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胶</w:t>
                  </w:r>
                  <w:r>
                    <w:rPr>
                      <w:rFonts w:ascii="Times New Roman" w:hAnsi="Times New Roman" w:eastAsia="宋体" w:cs="Times New Roman"/>
                      <w:color w:val="auto"/>
                      <w:kern w:val="0"/>
                      <w:sz w:val="21"/>
                      <w:szCs w:val="21"/>
                      <w:highlight w:val="none"/>
                    </w:rPr>
                    <w:t>桶</w:t>
                  </w:r>
                </w:p>
              </w:tc>
              <w:tc>
                <w:tcPr>
                  <w:tcW w:w="690" w:type="dxa"/>
                  <w:vMerge w:val="restart"/>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可储存</w:t>
                  </w:r>
                  <w:r>
                    <w:rPr>
                      <w:rFonts w:hint="eastAsia" w:ascii="Times New Roman" w:hAnsi="Times New Roman" w:eastAsia="宋体" w:cs="Times New Roman"/>
                      <w:color w:val="auto"/>
                      <w:kern w:val="0"/>
                      <w:sz w:val="21"/>
                      <w:szCs w:val="21"/>
                      <w:highlight w:val="none"/>
                    </w:rPr>
                    <w:t>1年</w:t>
                  </w:r>
                  <w:r>
                    <w:rPr>
                      <w:rFonts w:ascii="Times New Roman" w:hAnsi="Times New Roman" w:eastAsia="宋体" w:cs="Times New Roman"/>
                      <w:color w:val="auto"/>
                      <w:kern w:val="0"/>
                      <w:sz w:val="21"/>
                      <w:szCs w:val="21"/>
                      <w:highlight w:val="none"/>
                    </w:rPr>
                    <w:t>的转移量</w:t>
                  </w:r>
                </w:p>
              </w:tc>
              <w:tc>
                <w:tcPr>
                  <w:tcW w:w="728" w:type="dxa"/>
                  <w:vMerge w:val="restart"/>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2</w:t>
                  </w:r>
                </w:p>
              </w:tc>
              <w:tc>
                <w:tcPr>
                  <w:tcW w:w="1092"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1089" w:type="dxa"/>
                  <w:tcBorders>
                    <w:tl2br w:val="nil"/>
                    <w:tr2bl w:val="nil"/>
                  </w:tcBorders>
                  <w:vAlign w:val="center"/>
                </w:tcPr>
                <w:p>
                  <w:pPr>
                    <w:pStyle w:val="2"/>
                    <w:jc w:val="center"/>
                    <w:rPr>
                      <w:rFonts w:ascii="Times New Roman" w:hAnsi="Times New Roman" w:eastAsia="宋体" w:cs="Times New Roman"/>
                      <w:color w:val="auto"/>
                      <w:kern w:val="0"/>
                      <w:sz w:val="21"/>
                      <w:szCs w:val="21"/>
                      <w:highlight w:val="none"/>
                    </w:rPr>
                  </w:pPr>
                  <w:r>
                    <w:rPr>
                      <w:rFonts w:hint="eastAsia" w:ascii="Times New Roman" w:hAnsi="Times New Roman"/>
                      <w:color w:val="auto"/>
                      <w:kern w:val="0"/>
                      <w:sz w:val="21"/>
                      <w:szCs w:val="21"/>
                      <w:highlight w:val="none"/>
                      <w:vertAlign w:val="baseline"/>
                      <w:lang w:val="en-US" w:eastAsia="zh-CN"/>
                    </w:rPr>
                    <w:t>废润滑油</w:t>
                  </w:r>
                </w:p>
              </w:tc>
              <w:tc>
                <w:tcPr>
                  <w:tcW w:w="113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bCs/>
                      <w:color w:val="auto"/>
                      <w:kern w:val="2"/>
                      <w:sz w:val="21"/>
                      <w:szCs w:val="21"/>
                      <w:highlight w:val="none"/>
                    </w:rPr>
                    <w:t>废矿物油与含矿物油废物</w:t>
                  </w:r>
                </w:p>
              </w:tc>
              <w:tc>
                <w:tcPr>
                  <w:tcW w:w="90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900-217-08</w:t>
                  </w:r>
                </w:p>
              </w:tc>
              <w:tc>
                <w:tcPr>
                  <w:tcW w:w="78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81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795"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胶桶</w:t>
                  </w:r>
                </w:p>
              </w:tc>
              <w:tc>
                <w:tcPr>
                  <w:tcW w:w="69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728"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0"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3</w:t>
                  </w:r>
                </w:p>
              </w:tc>
              <w:tc>
                <w:tcPr>
                  <w:tcW w:w="1092"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1089" w:type="dxa"/>
                  <w:tcBorders>
                    <w:tl2br w:val="nil"/>
                    <w:tr2bl w:val="nil"/>
                  </w:tcBorders>
                  <w:vAlign w:val="center"/>
                </w:tcPr>
                <w:p>
                  <w:pPr>
                    <w:pStyle w:val="2"/>
                    <w:jc w:val="center"/>
                    <w:rPr>
                      <w:rFonts w:ascii="Times New Roman" w:hAnsi="Times New Roman" w:eastAsia="宋体" w:cs="Times New Roman"/>
                      <w:bCs/>
                      <w:color w:val="auto"/>
                      <w:kern w:val="2"/>
                      <w:sz w:val="21"/>
                      <w:szCs w:val="21"/>
                      <w:highlight w:val="none"/>
                    </w:rPr>
                  </w:pPr>
                  <w:r>
                    <w:rPr>
                      <w:rFonts w:hint="eastAsia" w:ascii="Times New Roman" w:hAnsi="Times New Roman"/>
                      <w:color w:val="auto"/>
                      <w:kern w:val="0"/>
                      <w:sz w:val="21"/>
                      <w:szCs w:val="21"/>
                      <w:highlight w:val="none"/>
                      <w:vertAlign w:val="baseline"/>
                      <w:lang w:val="en-US" w:eastAsia="zh-CN"/>
                    </w:rPr>
                    <w:t>废润滑油油桶</w:t>
                  </w:r>
                </w:p>
              </w:tc>
              <w:tc>
                <w:tcPr>
                  <w:tcW w:w="113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其它废物</w:t>
                  </w:r>
                </w:p>
              </w:tc>
              <w:tc>
                <w:tcPr>
                  <w:tcW w:w="900" w:type="dxa"/>
                  <w:tcBorders>
                    <w:tl2br w:val="nil"/>
                    <w:tr2bl w:val="nil"/>
                  </w:tcBorders>
                  <w:vAlign w:val="center"/>
                </w:tcPr>
                <w:p>
                  <w:pPr>
                    <w:widowControl w:val="0"/>
                    <w:topLinePunct/>
                    <w:adjustRightInd w:val="0"/>
                    <w:snapToGrid w:val="0"/>
                    <w:spacing w:after="0" w:line="240" w:lineRule="auto"/>
                    <w:ind w:firstLine="0" w:firstLineChars="0"/>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900-041-49</w:t>
                  </w:r>
                </w:p>
              </w:tc>
              <w:tc>
                <w:tcPr>
                  <w:tcW w:w="78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81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795" w:type="dxa"/>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胶桶</w:t>
                  </w:r>
                </w:p>
              </w:tc>
              <w:tc>
                <w:tcPr>
                  <w:tcW w:w="690"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c>
                <w:tcPr>
                  <w:tcW w:w="728" w:type="dxa"/>
                  <w:vMerge w:val="continue"/>
                  <w:tcBorders>
                    <w:tl2br w:val="nil"/>
                    <w:tr2bl w:val="nil"/>
                  </w:tcBorders>
                  <w:vAlign w:val="center"/>
                </w:tcPr>
                <w:p>
                  <w:pPr>
                    <w:widowControl w:val="0"/>
                    <w:topLinePunct/>
                    <w:adjustRightInd w:val="0"/>
                    <w:snapToGrid w:val="0"/>
                    <w:spacing w:after="0" w:line="240" w:lineRule="auto"/>
                    <w:jc w:val="center"/>
                    <w:rPr>
                      <w:rFonts w:ascii="Times New Roman" w:hAnsi="Times New Roman" w:eastAsia="宋体" w:cs="Times New Roman"/>
                      <w:color w:val="auto"/>
                      <w:kern w:val="0"/>
                      <w:sz w:val="21"/>
                      <w:szCs w:val="21"/>
                      <w:highlight w:val="none"/>
                    </w:rPr>
                  </w:pPr>
                </w:p>
              </w:tc>
            </w:tr>
          </w:tbl>
          <w:p>
            <w:pPr>
              <w:widowControl w:val="0"/>
              <w:spacing w:after="0" w:line="360" w:lineRule="auto"/>
              <w:ind w:firstLine="480" w:firstLineChars="200"/>
              <w:jc w:val="both"/>
              <w:rPr>
                <w:rFonts w:hint="eastAsia" w:ascii="Times New Roman" w:hAnsi="Times New Roman"/>
                <w:color w:val="auto"/>
                <w:kern w:val="0"/>
                <w:sz w:val="24"/>
                <w:szCs w:val="22"/>
                <w:highlight w:val="none"/>
                <w:lang w:val="en-US" w:eastAsia="zh-CN"/>
              </w:rPr>
            </w:pPr>
            <w:r>
              <w:rPr>
                <w:rFonts w:ascii="Times New Roman" w:hAnsi="Times New Roman" w:eastAsia="宋体" w:cs="Times New Roman"/>
                <w:color w:val="auto"/>
                <w:kern w:val="2"/>
                <w:sz w:val="24"/>
                <w:szCs w:val="24"/>
                <w:highlight w:val="none"/>
              </w:rPr>
              <w:t>经上述措施治理后，项目产生的固体废物对周边环境的影响不大。</w:t>
            </w:r>
          </w:p>
          <w:p>
            <w:pPr>
              <w:spacing w:line="360" w:lineRule="auto"/>
              <w:ind w:firstLine="482" w:firstLineChars="200"/>
              <w:rPr>
                <w:b/>
                <w:bCs/>
                <w:color w:val="auto"/>
                <w:sz w:val="24"/>
                <w:highlight w:val="none"/>
              </w:rPr>
            </w:pPr>
            <w:r>
              <w:rPr>
                <w:rFonts w:ascii="Times New Roman" w:hAnsi="Times New Roman"/>
                <w:b/>
                <w:color w:val="auto"/>
                <w:sz w:val="24"/>
                <w:highlight w:val="none"/>
              </w:rPr>
              <w:t>5</w:t>
            </w:r>
            <w:r>
              <w:rPr>
                <w:rFonts w:hint="eastAsia" w:ascii="Times New Roman" w:hAnsi="Times New Roman"/>
                <w:b/>
                <w:color w:val="auto"/>
                <w:sz w:val="24"/>
                <w:highlight w:val="none"/>
              </w:rPr>
              <w:t>、</w:t>
            </w:r>
            <w:bookmarkStart w:id="74" w:name="OLE_LINK50"/>
            <w:r>
              <w:rPr>
                <w:rFonts w:hint="eastAsia"/>
                <w:b/>
                <w:bCs/>
                <w:color w:val="auto"/>
                <w:sz w:val="24"/>
                <w:highlight w:val="none"/>
              </w:rPr>
              <w:t>土壤环境影响说明</w:t>
            </w:r>
          </w:p>
          <w:p>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根据《环境影响评价技术导则 土壤环境（试行）》（HJ964-2018），污染影响型项目评价等级是根据土壤环境影响评价项目类别、占地规模与敏感程度进行划分，具体如下：</w:t>
            </w:r>
          </w:p>
          <w:p>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（1）占地规模</w:t>
            </w:r>
          </w:p>
          <w:p>
            <w:pPr>
              <w:spacing w:line="360" w:lineRule="auto"/>
              <w:ind w:firstLine="480" w:firstLineChars="200"/>
              <w:rPr>
                <w:color w:val="auto"/>
                <w:sz w:val="24"/>
                <w:szCs w:val="24"/>
                <w:highlight w:val="none"/>
              </w:rPr>
            </w:pPr>
            <w:r>
              <w:rPr>
                <w:rFonts w:hint="eastAsia" w:hAnsi="宋体"/>
                <w:color w:val="auto"/>
                <w:sz w:val="24"/>
                <w:szCs w:val="24"/>
                <w:highlight w:val="none"/>
              </w:rPr>
              <w:t>项目占地面积为</w:t>
            </w:r>
            <w:r>
              <w:rPr>
                <w:color w:val="auto"/>
                <w:sz w:val="24"/>
                <w:szCs w:val="24"/>
                <w:highlight w:val="none"/>
              </w:rPr>
              <w:t>10</w:t>
            </w:r>
            <w:r>
              <w:rPr>
                <w:rFonts w:hint="eastAsia"/>
                <w:color w:val="auto"/>
                <w:sz w:val="24"/>
                <w:szCs w:val="24"/>
                <w:highlight w:val="none"/>
              </w:rPr>
              <w:t>00m</w:t>
            </w:r>
            <w:r>
              <w:rPr>
                <w:rFonts w:hint="eastAsia"/>
                <w:color w:val="auto"/>
                <w:sz w:val="24"/>
                <w:szCs w:val="24"/>
                <w:highlight w:val="none"/>
                <w:vertAlign w:val="superscript"/>
              </w:rPr>
              <w:t>2</w:t>
            </w:r>
            <w:r>
              <w:rPr>
                <w:rFonts w:hint="eastAsia"/>
                <w:color w:val="auto"/>
                <w:sz w:val="24"/>
                <w:szCs w:val="24"/>
                <w:highlight w:val="none"/>
              </w:rPr>
              <w:t>，用地规模为小型（≤</w:t>
            </w:r>
            <w:r>
              <w:rPr>
                <w:color w:val="auto"/>
                <w:sz w:val="24"/>
                <w:szCs w:val="24"/>
                <w:highlight w:val="none"/>
              </w:rPr>
              <w:t>5 hm</w:t>
            </w:r>
            <w:r>
              <w:rPr>
                <w:color w:val="auto"/>
                <w:sz w:val="24"/>
                <w:szCs w:val="24"/>
                <w:highlight w:val="none"/>
                <w:vertAlign w:val="superscript"/>
              </w:rPr>
              <w:t>2</w:t>
            </w:r>
            <w:r>
              <w:rPr>
                <w:rFonts w:hint="eastAsia"/>
                <w:color w:val="auto"/>
                <w:sz w:val="24"/>
                <w:szCs w:val="24"/>
                <w:highlight w:val="none"/>
              </w:rPr>
              <w:t>）。</w:t>
            </w:r>
          </w:p>
          <w:p>
            <w:pPr>
              <w:spacing w:line="360" w:lineRule="auto"/>
              <w:ind w:firstLine="480" w:firstLineChars="200"/>
              <w:rPr>
                <w:color w:val="auto"/>
                <w:sz w:val="24"/>
                <w:szCs w:val="24"/>
                <w:highlight w:val="none"/>
              </w:rPr>
            </w:pPr>
            <w:r>
              <w:rPr>
                <w:rFonts w:hint="eastAsia"/>
                <w:color w:val="auto"/>
                <w:sz w:val="24"/>
                <w:szCs w:val="24"/>
                <w:highlight w:val="none"/>
              </w:rPr>
              <w:t>（2）敏感程度</w:t>
            </w:r>
          </w:p>
          <w:p>
            <w:pPr>
              <w:widowControl w:val="0"/>
              <w:spacing w:after="0" w:line="360" w:lineRule="auto"/>
              <w:ind w:right="170" w:firstLine="470" w:firstLineChars="196"/>
              <w:jc w:val="both"/>
              <w:rPr>
                <w:rFonts w:hint="eastAsia" w:ascii="Times New Roman" w:hAnsi="Times New Roman" w:eastAsia="宋体" w:cs="Times New Roman"/>
                <w:color w:val="auto"/>
                <w:kern w:val="2"/>
                <w:sz w:val="24"/>
                <w:szCs w:val="24"/>
                <w:highlight w:val="none"/>
                <w:lang w:eastAsia="zh-CN"/>
              </w:rPr>
            </w:pPr>
            <w:r>
              <w:rPr>
                <w:color w:val="auto"/>
                <w:sz w:val="24"/>
                <w:szCs w:val="24"/>
                <w:highlight w:val="none"/>
              </w:rPr>
              <w:t>项目属于污染影响型，生产过程中</w:t>
            </w:r>
            <w:r>
              <w:rPr>
                <w:rFonts w:hint="eastAsia"/>
                <w:color w:val="auto"/>
                <w:sz w:val="24"/>
                <w:highlight w:val="none"/>
                <w:lang w:eastAsia="zh-CN"/>
              </w:rPr>
              <w:t>喷淋废水</w:t>
            </w:r>
            <w:r>
              <w:rPr>
                <w:rFonts w:hint="default" w:ascii="Times New Roman" w:hAnsi="Times New Roman" w:cs="Times New Roman"/>
                <w:color w:val="auto"/>
                <w:sz w:val="24"/>
                <w:szCs w:val="22"/>
                <w:highlight w:val="none"/>
              </w:rPr>
              <w:t>经收集后</w:t>
            </w:r>
            <w:r>
              <w:rPr>
                <w:rFonts w:hint="eastAsia" w:cs="Times New Roman"/>
                <w:color w:val="auto"/>
                <w:sz w:val="24"/>
                <w:szCs w:val="22"/>
                <w:highlight w:val="none"/>
                <w:lang w:eastAsia="zh-CN"/>
              </w:rPr>
              <w:t>定期交具有零星废水处理资质的单位处理，不外排</w:t>
            </w:r>
            <w:r>
              <w:rPr>
                <w:rFonts w:hint="eastAsia"/>
                <w:color w:val="auto"/>
                <w:sz w:val="24"/>
                <w:szCs w:val="24"/>
                <w:highlight w:val="none"/>
              </w:rPr>
              <w:t>；生活污水经三级化粪池处理后排放到市政污水管网，引至开平市水口污水处理厂处理；</w:t>
            </w:r>
            <w:r>
              <w:rPr>
                <w:rFonts w:hint="eastAsia" w:ascii="Times New Roman" w:hAnsi="Times New Roman" w:eastAsia="宋体" w:cs="Times New Roman"/>
                <w:color w:val="auto"/>
                <w:kern w:val="2"/>
                <w:sz w:val="24"/>
                <w:szCs w:val="24"/>
                <w:highlight w:val="none"/>
                <w:lang w:eastAsia="zh-CN"/>
              </w:rPr>
              <w:t>危险废物暂存区将严格按照《危险废物贮存污染控制标准》（GB18597-2001）及其2013年修改单中的要求建设和维护使用，做好防渗处理。</w:t>
            </w:r>
          </w:p>
          <w:p>
            <w:pPr>
              <w:widowControl w:val="0"/>
              <w:spacing w:after="0" w:line="360" w:lineRule="auto"/>
              <w:ind w:firstLine="480" w:firstLineChars="200"/>
              <w:jc w:val="both"/>
              <w:rPr>
                <w:rFonts w:hint="eastAsia" w:ascii="Times New Roman" w:hAnsi="宋体"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lang w:eastAsia="zh-CN"/>
              </w:rPr>
              <w:t>项目生产过程中</w:t>
            </w:r>
            <w:r>
              <w:rPr>
                <w:rFonts w:ascii="Times New Roman" w:hAnsi="Times New Roman" w:eastAsia="宋体" w:cs="Times New Roman"/>
                <w:color w:val="auto"/>
                <w:kern w:val="2"/>
                <w:sz w:val="24"/>
                <w:szCs w:val="24"/>
                <w:highlight w:val="none"/>
              </w:rPr>
              <w:t>有</w:t>
            </w:r>
            <w:r>
              <w:rPr>
                <w:rFonts w:hint="eastAsia" w:ascii="Times New Roman" w:hAnsi="Times New Roman" w:eastAsia="宋体" w:cs="Times New Roman"/>
                <w:color w:val="auto"/>
                <w:kern w:val="2"/>
                <w:sz w:val="24"/>
                <w:szCs w:val="24"/>
                <w:highlight w:val="none"/>
                <w:lang w:eastAsia="zh-CN"/>
              </w:rPr>
              <w:t>非甲烷总烃、</w:t>
            </w:r>
            <w:r>
              <w:rPr>
                <w:rFonts w:ascii="Times New Roman" w:hAnsi="Times New Roman" w:eastAsia="宋体" w:cs="Times New Roman"/>
                <w:color w:val="auto"/>
                <w:kern w:val="2"/>
                <w:sz w:val="24"/>
                <w:szCs w:val="24"/>
                <w:highlight w:val="none"/>
              </w:rPr>
              <w:t>SO</w:t>
            </w:r>
            <w:r>
              <w:rPr>
                <w:rFonts w:ascii="Times New Roman" w:hAnsi="Times New Roman" w:eastAsia="宋体" w:cs="Times New Roman"/>
                <w:color w:val="auto"/>
                <w:kern w:val="2"/>
                <w:sz w:val="24"/>
                <w:szCs w:val="24"/>
                <w:highlight w:val="none"/>
                <w:vertAlign w:val="subscript"/>
              </w:rPr>
              <w:t>2</w:t>
            </w:r>
            <w:r>
              <w:rPr>
                <w:rFonts w:ascii="Times New Roman" w:hAnsi="宋体"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NOx</w:t>
            </w:r>
            <w:r>
              <w:rPr>
                <w:rFonts w:hint="eastAsia" w:ascii="Times New Roman" w:hAnsi="Times New Roman" w:eastAsia="宋体" w:cs="Times New Roman"/>
                <w:color w:val="auto"/>
                <w:kern w:val="2"/>
                <w:sz w:val="24"/>
                <w:szCs w:val="24"/>
                <w:highlight w:val="none"/>
              </w:rPr>
              <w:t>、烟尘</w:t>
            </w:r>
            <w:r>
              <w:rPr>
                <w:rFonts w:hint="eastAsia"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粉尘</w:t>
            </w:r>
            <w:r>
              <w:rPr>
                <w:rFonts w:ascii="Times New Roman" w:hAnsi="Times New Roman" w:eastAsia="宋体" w:cs="Times New Roman"/>
                <w:color w:val="auto"/>
                <w:kern w:val="2"/>
                <w:sz w:val="24"/>
                <w:szCs w:val="24"/>
                <w:highlight w:val="none"/>
              </w:rPr>
              <w:t>的产生和排放，故主要污染物为大气污染物（</w:t>
            </w:r>
            <w:r>
              <w:rPr>
                <w:rFonts w:hint="eastAsia" w:ascii="Times New Roman" w:hAnsi="Times New Roman" w:eastAsia="宋体" w:cs="Times New Roman"/>
                <w:color w:val="auto"/>
                <w:kern w:val="2"/>
                <w:sz w:val="24"/>
                <w:szCs w:val="24"/>
                <w:highlight w:val="none"/>
                <w:lang w:eastAsia="zh-CN"/>
              </w:rPr>
              <w:t>非甲烷总烃、</w:t>
            </w:r>
            <w:r>
              <w:rPr>
                <w:rFonts w:ascii="Times New Roman" w:hAnsi="Times New Roman" w:eastAsia="宋体" w:cs="Times New Roman"/>
                <w:color w:val="auto"/>
                <w:kern w:val="2"/>
                <w:sz w:val="24"/>
                <w:szCs w:val="24"/>
                <w:highlight w:val="none"/>
              </w:rPr>
              <w:t>SO</w:t>
            </w:r>
            <w:r>
              <w:rPr>
                <w:rFonts w:ascii="Times New Roman" w:hAnsi="Times New Roman" w:eastAsia="宋体" w:cs="Times New Roman"/>
                <w:color w:val="auto"/>
                <w:kern w:val="2"/>
                <w:sz w:val="24"/>
                <w:szCs w:val="24"/>
                <w:highlight w:val="none"/>
                <w:vertAlign w:val="subscript"/>
              </w:rPr>
              <w:t>2</w:t>
            </w:r>
            <w:r>
              <w:rPr>
                <w:rFonts w:ascii="Times New Roman" w:hAnsi="宋体"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NOx</w:t>
            </w:r>
            <w:r>
              <w:rPr>
                <w:rFonts w:hint="eastAsia"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PM</w:t>
            </w:r>
            <w:r>
              <w:rPr>
                <w:rFonts w:hint="eastAsia" w:ascii="Times New Roman" w:hAnsi="Times New Roman" w:eastAsia="宋体" w:cs="Times New Roman"/>
                <w:color w:val="auto"/>
                <w:kern w:val="2"/>
                <w:sz w:val="24"/>
                <w:szCs w:val="24"/>
                <w:highlight w:val="none"/>
                <w:vertAlign w:val="subscript"/>
                <w:lang w:val="en-US" w:eastAsia="zh-CN"/>
              </w:rPr>
              <w:t>10</w: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lang w:val="en-US" w:eastAsia="zh-CN"/>
              </w:rPr>
              <w:t>TSP</w:t>
            </w:r>
            <w:r>
              <w:rPr>
                <w:rFonts w:ascii="Times New Roman" w:hAnsi="Times New Roman" w:eastAsia="宋体" w:cs="Times New Roman"/>
                <w:color w:val="auto"/>
                <w:kern w:val="2"/>
                <w:sz w:val="24"/>
                <w:szCs w:val="24"/>
                <w:highlight w:val="none"/>
              </w:rPr>
              <w:t>），影响途径为大气沉降。项目排放方式为</w:t>
            </w:r>
            <w:r>
              <w:rPr>
                <w:rFonts w:hint="eastAsia" w:ascii="Times New Roman" w:hAnsi="Times New Roman" w:eastAsia="宋体" w:cs="Times New Roman"/>
                <w:color w:val="auto"/>
                <w:kern w:val="2"/>
                <w:sz w:val="24"/>
                <w:szCs w:val="24"/>
                <w:highlight w:val="none"/>
                <w:lang w:eastAsia="zh-CN"/>
              </w:rPr>
              <w:t>分为点源和面源</w: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根据大气估算模式预测，点源</w:t>
            </w:r>
            <w:r>
              <w:rPr>
                <w:rFonts w:hint="eastAsia" w:ascii="Times New Roman" w:hAnsi="Times New Roman" w:eastAsia="宋体" w:cs="Times New Roman"/>
                <w:color w:val="auto"/>
                <w:kern w:val="2"/>
                <w:sz w:val="24"/>
                <w:szCs w:val="24"/>
                <w:highlight w:val="none"/>
                <w:lang w:eastAsia="zh-CN"/>
              </w:rPr>
              <w:t>最大地面浓度</w:t>
            </w:r>
            <w:r>
              <w:rPr>
                <w:rFonts w:hint="eastAsia" w:ascii="Times New Roman" w:hAnsi="Times New Roman" w:eastAsia="宋体" w:cs="Times New Roman"/>
                <w:color w:val="auto"/>
                <w:kern w:val="2"/>
                <w:sz w:val="24"/>
                <w:szCs w:val="24"/>
                <w:highlight w:val="none"/>
              </w:rPr>
              <w:t>距离为</w:t>
            </w:r>
            <w:r>
              <w:rPr>
                <w:rFonts w:hint="eastAsia" w:cs="Times New Roman"/>
                <w:color w:val="auto"/>
                <w:kern w:val="2"/>
                <w:sz w:val="24"/>
                <w:szCs w:val="24"/>
                <w:highlight w:val="none"/>
                <w:lang w:val="en-US" w:eastAsia="zh-CN"/>
              </w:rPr>
              <w:t>53</w:t>
            </w:r>
            <w:r>
              <w:rPr>
                <w:rFonts w:hint="eastAsia" w:ascii="Times New Roman" w:hAnsi="Times New Roman" w:eastAsia="宋体" w:cs="Times New Roman"/>
                <w:color w:val="auto"/>
                <w:kern w:val="2"/>
                <w:sz w:val="24"/>
                <w:szCs w:val="24"/>
                <w:highlight w:val="none"/>
              </w:rPr>
              <w:t>m；面源</w:t>
            </w:r>
            <w:r>
              <w:rPr>
                <w:rFonts w:hint="eastAsia" w:ascii="Times New Roman" w:hAnsi="Times New Roman" w:eastAsia="宋体" w:cs="Times New Roman"/>
                <w:color w:val="auto"/>
                <w:kern w:val="2"/>
                <w:sz w:val="24"/>
                <w:szCs w:val="24"/>
                <w:highlight w:val="none"/>
                <w:lang w:eastAsia="zh-CN"/>
              </w:rPr>
              <w:t>最大地面浓度</w:t>
            </w:r>
            <w:r>
              <w:rPr>
                <w:rFonts w:hint="eastAsia" w:ascii="Times New Roman" w:hAnsi="Times New Roman" w:eastAsia="宋体" w:cs="Times New Roman"/>
                <w:color w:val="auto"/>
                <w:kern w:val="2"/>
                <w:sz w:val="24"/>
                <w:szCs w:val="24"/>
                <w:highlight w:val="none"/>
              </w:rPr>
              <w:t>距离为</w:t>
            </w:r>
            <w:r>
              <w:rPr>
                <w:rFonts w:hint="eastAsia" w:cs="Times New Roman"/>
                <w:color w:val="auto"/>
                <w:kern w:val="2"/>
                <w:sz w:val="24"/>
                <w:szCs w:val="24"/>
                <w:highlight w:val="none"/>
                <w:lang w:val="en-US" w:eastAsia="zh-CN"/>
              </w:rPr>
              <w:t>18</w:t>
            </w:r>
            <w:r>
              <w:rPr>
                <w:rFonts w:hint="eastAsia" w:ascii="Times New Roman" w:hAnsi="Times New Roman" w:eastAsia="宋体" w:cs="Times New Roman"/>
                <w:color w:val="auto"/>
                <w:kern w:val="2"/>
                <w:sz w:val="24"/>
                <w:szCs w:val="24"/>
                <w:highlight w:val="none"/>
              </w:rPr>
              <w:t>m。</w:t>
            </w:r>
            <w:r>
              <w:rPr>
                <w:rFonts w:ascii="Times New Roman" w:hAnsi="Times New Roman" w:eastAsia="宋体" w:cs="Times New Roman"/>
                <w:color w:val="auto"/>
                <w:kern w:val="2"/>
                <w:sz w:val="24"/>
                <w:szCs w:val="24"/>
                <w:highlight w:val="none"/>
              </w:rPr>
              <w:t>则本次项目土壤敏感区判定范围的“周边”以</w:t>
            </w:r>
            <w:r>
              <w:rPr>
                <w:rFonts w:hint="eastAsia" w:ascii="Times New Roman" w:hAnsi="Times New Roman" w:eastAsia="宋体" w:cs="Times New Roman"/>
                <w:color w:val="auto"/>
                <w:kern w:val="2"/>
                <w:sz w:val="24"/>
                <w:szCs w:val="24"/>
                <w:highlight w:val="none"/>
                <w:lang w:eastAsia="zh-CN"/>
              </w:rPr>
              <w:t>最大地面浓度</w:t>
            </w:r>
            <w:r>
              <w:rPr>
                <w:rFonts w:hint="eastAsia" w:ascii="Times New Roman" w:hAnsi="Times New Roman" w:eastAsia="宋体" w:cs="Times New Roman"/>
                <w:color w:val="auto"/>
                <w:kern w:val="2"/>
                <w:sz w:val="24"/>
                <w:szCs w:val="24"/>
                <w:highlight w:val="none"/>
              </w:rPr>
              <w:t>对应</w:t>
            </w:r>
            <w:r>
              <w:rPr>
                <w:rFonts w:ascii="Times New Roman" w:hAnsi="Times New Roman" w:eastAsia="宋体" w:cs="Times New Roman"/>
                <w:color w:val="auto"/>
                <w:kern w:val="2"/>
                <w:sz w:val="24"/>
                <w:szCs w:val="24"/>
                <w:highlight w:val="none"/>
              </w:rPr>
              <w:t>的离源距离</w:t>
            </w:r>
            <w:r>
              <w:rPr>
                <w:rFonts w:hint="eastAsia" w:cs="Times New Roman"/>
                <w:color w:val="auto"/>
                <w:kern w:val="2"/>
                <w:sz w:val="24"/>
                <w:szCs w:val="24"/>
                <w:highlight w:val="none"/>
                <w:lang w:val="en-US" w:eastAsia="zh-CN"/>
              </w:rPr>
              <w:t>53</w:t>
            </w:r>
            <w:r>
              <w:rPr>
                <w:rFonts w:ascii="Times New Roman" w:hAnsi="Times New Roman" w:eastAsia="宋体" w:cs="Times New Roman"/>
                <w:color w:val="auto"/>
                <w:kern w:val="2"/>
                <w:sz w:val="24"/>
                <w:szCs w:val="24"/>
                <w:highlight w:val="none"/>
              </w:rPr>
              <w:t>米计，项目厂界</w:t>
            </w:r>
            <w:r>
              <w:rPr>
                <w:rFonts w:hint="eastAsia" w:ascii="Times New Roman" w:hAnsi="Times New Roman" w:eastAsia="宋体" w:cs="Times New Roman"/>
                <w:color w:val="auto"/>
                <w:kern w:val="2"/>
                <w:sz w:val="24"/>
                <w:szCs w:val="24"/>
                <w:highlight w:val="none"/>
                <w:lang w:eastAsia="zh-CN"/>
              </w:rPr>
              <w:t>周边</w:t>
            </w:r>
            <w:r>
              <w:rPr>
                <w:rFonts w:hint="eastAsia" w:cs="Times New Roman"/>
                <w:color w:val="auto"/>
                <w:kern w:val="2"/>
                <w:sz w:val="24"/>
                <w:szCs w:val="24"/>
                <w:highlight w:val="none"/>
                <w:lang w:val="en-US" w:eastAsia="zh-CN"/>
              </w:rPr>
              <w:t>53</w:t>
            </w:r>
            <w:r>
              <w:rPr>
                <w:rFonts w:ascii="Times New Roman" w:hAnsi="Times New Roman" w:eastAsia="宋体" w:cs="Times New Roman"/>
                <w:color w:val="auto"/>
                <w:kern w:val="2"/>
                <w:sz w:val="24"/>
                <w:szCs w:val="24"/>
                <w:highlight w:val="none"/>
              </w:rPr>
              <w:t>米内无耕地、园地、牧草地、饮用水水源地或居民区、学校、医院、疗养院、养老院等土壤环境敏感目标</w:t>
            </w:r>
            <w:r>
              <w:rPr>
                <w:rFonts w:hint="eastAsia" w:ascii="Times New Roman" w:hAnsi="Times New Roman" w:eastAsia="宋体" w:cs="Times New Roman"/>
                <w:color w:val="auto"/>
                <w:kern w:val="2"/>
                <w:sz w:val="24"/>
                <w:szCs w:val="24"/>
                <w:highlight w:val="none"/>
                <w:lang w:val="en-US" w:eastAsia="zh-CN"/>
              </w:rPr>
              <w:t>，</w:t>
            </w:r>
            <w:r>
              <w:rPr>
                <w:rFonts w:ascii="Times New Roman" w:hAnsi="Times New Roman" w:eastAsia="宋体" w:cs="Times New Roman"/>
                <w:color w:val="auto"/>
                <w:kern w:val="2"/>
                <w:sz w:val="24"/>
                <w:szCs w:val="24"/>
                <w:highlight w:val="none"/>
              </w:rPr>
              <w:t>则项目周边的敏感程度为不敏感。</w:t>
            </w:r>
          </w:p>
          <w:p>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（3）项目类别</w:t>
            </w:r>
          </w:p>
          <w:p>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根据《环境影响评价技术导则 土壤环境（试行）》（HJ964-2018）附录A：“土壤环境影响评价项目类别”，如下表：</w:t>
            </w:r>
          </w:p>
          <w:p>
            <w:pPr>
              <w:widowControl/>
              <w:tabs>
                <w:tab w:val="left" w:pos="420"/>
              </w:tabs>
              <w:adjustRightInd w:val="0"/>
              <w:snapToGrid w:val="0"/>
              <w:spacing w:line="360" w:lineRule="auto"/>
              <w:jc w:val="center"/>
              <w:rPr>
                <w:b/>
                <w:color w:val="auto"/>
                <w:kern w:val="0"/>
                <w:szCs w:val="21"/>
                <w:highlight w:val="none"/>
              </w:rPr>
            </w:pPr>
            <w:r>
              <w:rPr>
                <w:rFonts w:hint="eastAsia"/>
                <w:b/>
                <w:color w:val="auto"/>
                <w:kern w:val="0"/>
                <w:szCs w:val="21"/>
                <w:highlight w:val="none"/>
              </w:rPr>
              <w:t>7</w:t>
            </w:r>
            <w:r>
              <w:rPr>
                <w:b/>
                <w:color w:val="auto"/>
                <w:kern w:val="0"/>
                <w:szCs w:val="21"/>
                <w:highlight w:val="none"/>
              </w:rPr>
              <w:t>-1</w:t>
            </w:r>
            <w:r>
              <w:rPr>
                <w:rFonts w:hint="eastAsia"/>
                <w:b/>
                <w:color w:val="auto"/>
                <w:kern w:val="0"/>
                <w:szCs w:val="21"/>
                <w:highlight w:val="none"/>
                <w:lang w:val="en-US" w:eastAsia="zh-CN"/>
              </w:rPr>
              <w:t>7</w:t>
            </w:r>
            <w:r>
              <w:rPr>
                <w:b/>
                <w:color w:val="auto"/>
                <w:kern w:val="0"/>
                <w:szCs w:val="21"/>
                <w:highlight w:val="none"/>
              </w:rPr>
              <w:t xml:space="preserve"> 土壤环境影响评价项目类别表</w:t>
            </w:r>
          </w:p>
          <w:tbl>
            <w:tblPr>
              <w:tblStyle w:val="34"/>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289"/>
              <w:gridCol w:w="628"/>
              <w:gridCol w:w="1832"/>
              <w:gridCol w:w="795"/>
              <w:gridCol w:w="72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restart"/>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行业类别</w:t>
                  </w:r>
                </w:p>
              </w:tc>
              <w:tc>
                <w:tcPr>
                  <w:tcW w:w="5265" w:type="dxa"/>
                  <w:gridSpan w:val="5"/>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项目类别</w:t>
                  </w:r>
                </w:p>
              </w:tc>
              <w:tc>
                <w:tcPr>
                  <w:tcW w:w="2268" w:type="dxa"/>
                  <w:vMerge w:val="restart"/>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vMerge w:val="continue"/>
                  <w:tcBorders>
                    <w:tl2br w:val="nil"/>
                    <w:tr2bl w:val="nil"/>
                  </w:tcBorders>
                  <w:vAlign w:val="center"/>
                </w:tcPr>
                <w:p>
                  <w:pPr>
                    <w:jc w:val="center"/>
                    <w:rPr>
                      <w:rFonts w:ascii="宋体" w:hAnsi="宋体"/>
                      <w:b/>
                      <w:color w:val="auto"/>
                      <w:szCs w:val="21"/>
                      <w:highlight w:val="none"/>
                    </w:rPr>
                  </w:pPr>
                </w:p>
              </w:tc>
              <w:tc>
                <w:tcPr>
                  <w:tcW w:w="1289"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Ⅰ类</w:t>
                  </w:r>
                </w:p>
              </w:tc>
              <w:tc>
                <w:tcPr>
                  <w:tcW w:w="2460" w:type="dxa"/>
                  <w:gridSpan w:val="2"/>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Ⅱ类</w:t>
                  </w:r>
                </w:p>
              </w:tc>
              <w:tc>
                <w:tcPr>
                  <w:tcW w:w="795"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Ⅲ类</w:t>
                  </w:r>
                </w:p>
              </w:tc>
              <w:tc>
                <w:tcPr>
                  <w:tcW w:w="721"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Ⅳ类</w:t>
                  </w:r>
                </w:p>
              </w:tc>
              <w:tc>
                <w:tcPr>
                  <w:tcW w:w="2268" w:type="dxa"/>
                  <w:vMerge w:val="continue"/>
                  <w:tcBorders>
                    <w:tl2br w:val="nil"/>
                    <w:tr2bl w:val="nil"/>
                  </w:tcBorders>
                  <w:vAlign w:val="center"/>
                </w:tcPr>
                <w:p>
                  <w:pPr>
                    <w:jc w:val="cente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l2br w:val="nil"/>
                    <w:tr2bl w:val="nil"/>
                  </w:tcBorders>
                  <w:vAlign w:val="center"/>
                </w:tcPr>
                <w:p>
                  <w:pPr>
                    <w:widowControl w:val="0"/>
                    <w:autoSpaceDE w:val="0"/>
                    <w:autoSpaceDN w:val="0"/>
                    <w:adjustRightInd w:val="0"/>
                    <w:spacing w:after="0" w:line="240" w:lineRule="auto"/>
                    <w:jc w:val="center"/>
                    <w:rPr>
                      <w:rFonts w:hint="eastAsia" w:ascii="宋体" w:hAnsi="宋体"/>
                      <w:bCs/>
                      <w:color w:val="auto"/>
                      <w:szCs w:val="21"/>
                      <w:highlight w:val="none"/>
                      <w:lang w:eastAsia="zh-CN"/>
                    </w:rPr>
                  </w:pPr>
                  <w:r>
                    <w:rPr>
                      <w:rFonts w:hint="eastAsia" w:ascii="宋体" w:hAnsi="Times New Roman" w:eastAsia="宋体" w:cs="宋体"/>
                      <w:color w:val="auto"/>
                      <w:kern w:val="0"/>
                      <w:sz w:val="21"/>
                      <w:szCs w:val="21"/>
                      <w:highlight w:val="none"/>
                    </w:rPr>
                    <w:t>设备制造、金属制品、汽车制造及其他用品制造</w:t>
                  </w:r>
                </w:p>
              </w:tc>
              <w:tc>
                <w:tcPr>
                  <w:tcW w:w="1917" w:type="dxa"/>
                  <w:gridSpan w:val="2"/>
                  <w:tcBorders>
                    <w:tl2br w:val="nil"/>
                    <w:tr2bl w:val="nil"/>
                  </w:tcBorders>
                  <w:vAlign w:val="center"/>
                </w:tcPr>
                <w:p>
                  <w:pPr>
                    <w:widowControl w:val="0"/>
                    <w:spacing w:after="0" w:line="240" w:lineRule="auto"/>
                    <w:jc w:val="center"/>
                    <w:rPr>
                      <w:rFonts w:hint="eastAsia" w:ascii="宋体" w:hAnsi="宋体"/>
                      <w:bCs/>
                      <w:color w:val="auto"/>
                      <w:szCs w:val="21"/>
                      <w:highlight w:val="none"/>
                      <w:lang w:eastAsia="zh-CN"/>
                    </w:rPr>
                  </w:pPr>
                  <w:r>
                    <w:rPr>
                      <w:rFonts w:hint="eastAsia" w:ascii="宋体" w:hAnsi="宋体" w:eastAsia="宋体" w:cs="Times New Roman"/>
                      <w:color w:val="auto"/>
                      <w:kern w:val="2"/>
                      <w:sz w:val="21"/>
                      <w:szCs w:val="21"/>
                      <w:highlight w:val="none"/>
                    </w:rPr>
                    <w:t>有电镀工艺的；金属制品表面处理及热处理加工的；使用有机涂层的（喷粉、喷塑和电泳除外）；有钝化工艺的热镀锌</w:t>
                  </w:r>
                </w:p>
              </w:tc>
              <w:tc>
                <w:tcPr>
                  <w:tcW w:w="1832" w:type="dxa"/>
                  <w:tcBorders>
                    <w:tl2br w:val="nil"/>
                    <w:tr2bl w:val="nil"/>
                  </w:tcBorders>
                  <w:vAlign w:val="center"/>
                </w:tcPr>
                <w:p>
                  <w:pPr>
                    <w:jc w:val="center"/>
                    <w:rPr>
                      <w:rFonts w:hint="eastAsia" w:ascii="宋体" w:hAnsi="宋体"/>
                      <w:bCs/>
                      <w:color w:val="auto"/>
                      <w:szCs w:val="21"/>
                      <w:highlight w:val="none"/>
                      <w:lang w:eastAsia="zh-CN"/>
                    </w:rPr>
                  </w:pPr>
                  <w:r>
                    <w:rPr>
                      <w:rFonts w:hint="eastAsia" w:ascii="宋体" w:hAnsi="Times New Roman" w:eastAsia="宋体" w:cs="宋体"/>
                      <w:color w:val="auto"/>
                      <w:kern w:val="0"/>
                      <w:sz w:val="21"/>
                      <w:szCs w:val="21"/>
                      <w:highlight w:val="none"/>
                    </w:rPr>
                    <w:t>有化学处理工艺的</w:t>
                  </w:r>
                </w:p>
              </w:tc>
              <w:tc>
                <w:tcPr>
                  <w:tcW w:w="795" w:type="dxa"/>
                  <w:tcBorders>
                    <w:tl2br w:val="nil"/>
                    <w:tr2bl w:val="nil"/>
                  </w:tcBorders>
                  <w:vAlign w:val="center"/>
                </w:tcPr>
                <w:p>
                  <w:pPr>
                    <w:jc w:val="center"/>
                    <w:rPr>
                      <w:rFonts w:hint="eastAsia" w:ascii="宋体" w:hAnsi="宋体"/>
                      <w:bCs/>
                      <w:color w:val="auto"/>
                      <w:szCs w:val="21"/>
                      <w:highlight w:val="none"/>
                      <w:lang w:eastAsia="zh-CN"/>
                    </w:rPr>
                  </w:pPr>
                  <w:r>
                    <w:rPr>
                      <w:rFonts w:hint="eastAsia" w:ascii="宋体" w:hAnsi="宋体"/>
                      <w:bCs/>
                      <w:color w:val="auto"/>
                      <w:szCs w:val="21"/>
                      <w:highlight w:val="none"/>
                      <w:lang w:eastAsia="zh-CN"/>
                    </w:rPr>
                    <w:t>其他</w:t>
                  </w:r>
                </w:p>
              </w:tc>
              <w:tc>
                <w:tcPr>
                  <w:tcW w:w="721" w:type="dxa"/>
                  <w:tcBorders>
                    <w:tl2br w:val="nil"/>
                    <w:tr2bl w:val="nil"/>
                  </w:tcBorders>
                  <w:vAlign w:val="center"/>
                </w:tcPr>
                <w:p>
                  <w:pPr>
                    <w:jc w:val="center"/>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w:t>
                  </w:r>
                </w:p>
              </w:tc>
              <w:tc>
                <w:tcPr>
                  <w:tcW w:w="2268" w:type="dxa"/>
                  <w:tcBorders>
                    <w:tl2br w:val="nil"/>
                    <w:tr2bl w:val="nil"/>
                  </w:tcBorders>
                  <w:vAlign w:val="center"/>
                </w:tcPr>
                <w:p>
                  <w:pPr>
                    <w:jc w:val="center"/>
                    <w:rPr>
                      <w:rFonts w:ascii="宋体" w:hAnsi="宋体"/>
                      <w:bCs/>
                      <w:color w:val="auto"/>
                      <w:szCs w:val="21"/>
                      <w:highlight w:val="none"/>
                    </w:rPr>
                  </w:pPr>
                  <w:r>
                    <w:rPr>
                      <w:rFonts w:hint="eastAsia" w:ascii="宋体" w:hAnsi="宋体"/>
                      <w:bCs/>
                      <w:color w:val="auto"/>
                      <w:szCs w:val="21"/>
                      <w:highlight w:val="none"/>
                    </w:rPr>
                    <w:t>项</w:t>
                  </w:r>
                  <w:r>
                    <w:rPr>
                      <w:rFonts w:hint="default" w:ascii="Times New Roman" w:hAnsi="Times New Roman" w:cs="Times New Roman"/>
                      <w:bCs/>
                      <w:color w:val="auto"/>
                      <w:szCs w:val="21"/>
                      <w:highlight w:val="none"/>
                    </w:rPr>
                    <w:t>目主要从事</w:t>
                  </w:r>
                  <w:r>
                    <w:rPr>
                      <w:rFonts w:hint="default" w:ascii="Times New Roman" w:hAnsi="Times New Roman" w:cs="Times New Roman"/>
                      <w:color w:val="auto"/>
                      <w:szCs w:val="21"/>
                      <w:highlight w:val="none"/>
                      <w:lang w:eastAsia="zh-CN"/>
                    </w:rPr>
                    <w:t>五金卫浴配件</w:t>
                  </w:r>
                  <w:r>
                    <w:rPr>
                      <w:rFonts w:hint="default" w:ascii="Times New Roman" w:hAnsi="Times New Roman" w:cs="Times New Roman"/>
                      <w:bCs/>
                      <w:color w:val="auto"/>
                      <w:szCs w:val="21"/>
                      <w:highlight w:val="none"/>
                    </w:rPr>
                    <w:t>的加工生产，</w:t>
                  </w:r>
                  <w:r>
                    <w:rPr>
                      <w:rFonts w:hint="default" w:ascii="Times New Roman" w:hAnsi="Times New Roman" w:eastAsia="宋体" w:cs="Times New Roman"/>
                      <w:color w:val="auto"/>
                      <w:kern w:val="2"/>
                      <w:sz w:val="21"/>
                      <w:szCs w:val="21"/>
                      <w:highlight w:val="none"/>
                    </w:rPr>
                    <w:t>属于金属制品行业</w:t>
                  </w: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不涉及</w:t>
                  </w:r>
                  <w:r>
                    <w:rPr>
                      <w:rFonts w:hint="default" w:ascii="Times New Roman" w:hAnsi="Times New Roman" w:cs="Times New Roman"/>
                      <w:color w:val="auto"/>
                      <w:kern w:val="0"/>
                      <w:sz w:val="21"/>
                      <w:szCs w:val="21"/>
                      <w:highlight w:val="none"/>
                      <w:lang w:val="en-US" w:eastAsia="zh-CN"/>
                    </w:rPr>
                    <w:t>I类和II类的工艺，</w:t>
                  </w:r>
                  <w:r>
                    <w:rPr>
                      <w:rFonts w:hint="default" w:ascii="Times New Roman" w:hAnsi="Times New Roman" w:eastAsia="宋体" w:cs="Times New Roman"/>
                      <w:color w:val="auto"/>
                      <w:kern w:val="0"/>
                      <w:sz w:val="21"/>
                      <w:szCs w:val="21"/>
                      <w:highlight w:val="none"/>
                    </w:rPr>
                    <w:t>故项目为</w:t>
                  </w:r>
                  <w:r>
                    <w:rPr>
                      <w:rFonts w:hint="default" w:ascii="Times New Roman" w:hAnsi="Times New Roman" w:eastAsia="宋体" w:cs="Times New Roman"/>
                      <w:color w:val="auto"/>
                      <w:kern w:val="2"/>
                      <w:sz w:val="21"/>
                      <w:szCs w:val="21"/>
                      <w:highlight w:val="none"/>
                    </w:rPr>
                    <w:t>Ⅲ类项目</w:t>
                  </w:r>
                  <w:r>
                    <w:rPr>
                      <w:rFonts w:hint="eastAsia" w:ascii="宋体" w:hAnsi="宋体"/>
                      <w:bCs/>
                      <w:color w:val="auto"/>
                      <w:szCs w:val="21"/>
                      <w:highlight w:val="none"/>
                    </w:rPr>
                    <w:t>，</w:t>
                  </w:r>
                </w:p>
              </w:tc>
            </w:tr>
          </w:tbl>
          <w:p>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（4）评价等级</w:t>
            </w:r>
          </w:p>
          <w:p>
            <w:pPr>
              <w:widowControl/>
              <w:tabs>
                <w:tab w:val="left" w:pos="420"/>
              </w:tabs>
              <w:adjustRightInd w:val="0"/>
              <w:snapToGrid w:val="0"/>
              <w:spacing w:line="360" w:lineRule="auto"/>
              <w:jc w:val="center"/>
              <w:rPr>
                <w:b/>
                <w:color w:val="auto"/>
                <w:kern w:val="0"/>
                <w:szCs w:val="21"/>
                <w:highlight w:val="none"/>
              </w:rPr>
            </w:pPr>
            <w:r>
              <w:rPr>
                <w:rFonts w:hint="eastAsia"/>
                <w:b/>
                <w:color w:val="auto"/>
                <w:kern w:val="0"/>
                <w:szCs w:val="21"/>
                <w:highlight w:val="none"/>
              </w:rPr>
              <w:t>7</w:t>
            </w:r>
            <w:r>
              <w:rPr>
                <w:b/>
                <w:color w:val="auto"/>
                <w:kern w:val="0"/>
                <w:szCs w:val="21"/>
                <w:highlight w:val="none"/>
              </w:rPr>
              <w:t>-1</w:t>
            </w:r>
            <w:r>
              <w:rPr>
                <w:rFonts w:hint="eastAsia"/>
                <w:b/>
                <w:color w:val="auto"/>
                <w:kern w:val="0"/>
                <w:szCs w:val="21"/>
                <w:highlight w:val="none"/>
                <w:lang w:val="en-US" w:eastAsia="zh-CN"/>
              </w:rPr>
              <w:t>8</w:t>
            </w:r>
            <w:r>
              <w:rPr>
                <w:b/>
                <w:color w:val="auto"/>
                <w:kern w:val="0"/>
                <w:szCs w:val="21"/>
                <w:highlight w:val="none"/>
              </w:rPr>
              <w:t xml:space="preserve"> </w:t>
            </w:r>
            <w:r>
              <w:rPr>
                <w:rFonts w:hint="eastAsia"/>
                <w:b/>
                <w:color w:val="auto"/>
                <w:kern w:val="0"/>
                <w:szCs w:val="21"/>
                <w:highlight w:val="none"/>
              </w:rPr>
              <w:t>污染影响型评价工作等级划分表</w:t>
            </w:r>
          </w:p>
          <w:tbl>
            <w:tblPr>
              <w:tblStyle w:val="34"/>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769"/>
              <w:gridCol w:w="836"/>
              <w:gridCol w:w="837"/>
              <w:gridCol w:w="838"/>
              <w:gridCol w:w="838"/>
              <w:gridCol w:w="837"/>
              <w:gridCol w:w="837"/>
              <w:gridCol w:w="838"/>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restart"/>
                  <w:tcBorders>
                    <w:tl2br w:val="nil"/>
                    <w:tr2bl w:val="nil"/>
                  </w:tcBorders>
                </w:tcPr>
                <w:p>
                  <w:pPr>
                    <w:jc w:val="center"/>
                    <w:rPr>
                      <w:rFonts w:ascii="宋体" w:hAnsi="宋体"/>
                      <w:b/>
                      <w:color w:val="auto"/>
                      <w:szCs w:val="21"/>
                      <w:highlight w:val="none"/>
                    </w:rPr>
                  </w:pPr>
                  <w:r>
                    <w:rPr>
                      <w:rFonts w:hint="eastAsia" w:ascii="宋体" w:hAnsi="宋体"/>
                      <w:b/>
                      <w:color w:val="auto"/>
                      <w:szCs w:val="21"/>
                      <w:highlight w:val="none"/>
                    </w:rPr>
                    <w:t>占地规模</w:t>
                  </w:r>
                </w:p>
                <w:p>
                  <w:pPr>
                    <w:jc w:val="center"/>
                    <w:rPr>
                      <w:rFonts w:ascii="宋体" w:hAnsi="宋体"/>
                      <w:b/>
                      <w:color w:val="auto"/>
                      <w:szCs w:val="21"/>
                      <w:highlight w:val="none"/>
                    </w:rPr>
                  </w:pPr>
                  <w:r>
                    <w:rPr>
                      <w:rFonts w:hint="eastAsia" w:ascii="宋体" w:hAnsi="宋体"/>
                      <w:b/>
                      <w:color w:val="auto"/>
                      <w:szCs w:val="21"/>
                      <w:highlight w:val="none"/>
                    </w:rPr>
                    <w:t>评价工作等级</w:t>
                  </w:r>
                </w:p>
                <w:p>
                  <w:pPr>
                    <w:jc w:val="center"/>
                    <w:rPr>
                      <w:rFonts w:ascii="宋体" w:hAnsi="宋体"/>
                      <w:b/>
                      <w:color w:val="auto"/>
                      <w:szCs w:val="21"/>
                      <w:highlight w:val="none"/>
                    </w:rPr>
                  </w:pPr>
                  <w:r>
                    <w:rPr>
                      <w:rFonts w:hint="eastAsia" w:ascii="宋体" w:hAnsi="宋体"/>
                      <w:b/>
                      <w:color w:val="auto"/>
                      <w:szCs w:val="21"/>
                      <w:highlight w:val="none"/>
                    </w:rPr>
                    <w:t>敏感程度</w:t>
                  </w:r>
                </w:p>
              </w:tc>
              <w:tc>
                <w:tcPr>
                  <w:tcW w:w="2442" w:type="dxa"/>
                  <w:gridSpan w:val="3"/>
                  <w:tcBorders>
                    <w:tl2br w:val="nil"/>
                    <w:tr2bl w:val="nil"/>
                  </w:tcBorders>
                </w:tcPr>
                <w:p>
                  <w:pPr>
                    <w:jc w:val="center"/>
                    <w:rPr>
                      <w:rFonts w:ascii="宋体" w:hAnsi="宋体"/>
                      <w:b/>
                      <w:color w:val="auto"/>
                      <w:szCs w:val="21"/>
                      <w:highlight w:val="none"/>
                    </w:rPr>
                  </w:pPr>
                  <w:r>
                    <w:rPr>
                      <w:rFonts w:hint="eastAsia" w:ascii="宋体" w:hAnsi="宋体"/>
                      <w:b/>
                      <w:color w:val="auto"/>
                      <w:szCs w:val="21"/>
                      <w:highlight w:val="none"/>
                    </w:rPr>
                    <w:t>Ⅰ类</w:t>
                  </w:r>
                </w:p>
              </w:tc>
              <w:tc>
                <w:tcPr>
                  <w:tcW w:w="2513" w:type="dxa"/>
                  <w:gridSpan w:val="3"/>
                  <w:tcBorders>
                    <w:tl2br w:val="nil"/>
                    <w:tr2bl w:val="nil"/>
                  </w:tcBorders>
                </w:tcPr>
                <w:p>
                  <w:pPr>
                    <w:jc w:val="center"/>
                    <w:rPr>
                      <w:rFonts w:ascii="宋体" w:hAnsi="宋体"/>
                      <w:b/>
                      <w:color w:val="auto"/>
                      <w:szCs w:val="21"/>
                      <w:highlight w:val="none"/>
                    </w:rPr>
                  </w:pPr>
                  <w:r>
                    <w:rPr>
                      <w:rFonts w:hint="eastAsia" w:ascii="宋体" w:hAnsi="宋体"/>
                      <w:b/>
                      <w:color w:val="auto"/>
                      <w:szCs w:val="21"/>
                      <w:highlight w:val="none"/>
                    </w:rPr>
                    <w:t>Ⅱ类</w:t>
                  </w:r>
                </w:p>
              </w:tc>
              <w:tc>
                <w:tcPr>
                  <w:tcW w:w="2513" w:type="dxa"/>
                  <w:gridSpan w:val="3"/>
                  <w:tcBorders>
                    <w:tl2br w:val="nil"/>
                    <w:tr2bl w:val="nil"/>
                  </w:tcBorders>
                </w:tcPr>
                <w:p>
                  <w:pPr>
                    <w:jc w:val="center"/>
                    <w:rPr>
                      <w:rFonts w:ascii="宋体" w:hAnsi="宋体"/>
                      <w:b/>
                      <w:color w:val="auto"/>
                      <w:szCs w:val="21"/>
                      <w:highlight w:val="none"/>
                    </w:rPr>
                  </w:pPr>
                  <w:r>
                    <w:rPr>
                      <w:rFonts w:hint="eastAsia" w:ascii="宋体" w:hAnsi="宋体"/>
                      <w:b/>
                      <w:color w:val="auto"/>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6" w:type="dxa"/>
                  <w:vMerge w:val="continue"/>
                  <w:tcBorders>
                    <w:tl2br w:val="nil"/>
                    <w:tr2bl w:val="nil"/>
                  </w:tcBorders>
                </w:tcPr>
                <w:p>
                  <w:pPr>
                    <w:jc w:val="center"/>
                    <w:rPr>
                      <w:rFonts w:ascii="宋体" w:hAnsi="宋体"/>
                      <w:b/>
                      <w:color w:val="auto"/>
                      <w:szCs w:val="21"/>
                      <w:highlight w:val="none"/>
                    </w:rPr>
                  </w:pPr>
                </w:p>
              </w:tc>
              <w:tc>
                <w:tcPr>
                  <w:tcW w:w="769"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大</w:t>
                  </w:r>
                </w:p>
              </w:tc>
              <w:tc>
                <w:tcPr>
                  <w:tcW w:w="836"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中</w:t>
                  </w:r>
                </w:p>
              </w:tc>
              <w:tc>
                <w:tcPr>
                  <w:tcW w:w="83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小</w:t>
                  </w:r>
                </w:p>
              </w:tc>
              <w:tc>
                <w:tcPr>
                  <w:tcW w:w="83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大</w:t>
                  </w:r>
                </w:p>
              </w:tc>
              <w:tc>
                <w:tcPr>
                  <w:tcW w:w="83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中</w:t>
                  </w:r>
                </w:p>
              </w:tc>
              <w:tc>
                <w:tcPr>
                  <w:tcW w:w="83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小</w:t>
                  </w:r>
                </w:p>
              </w:tc>
              <w:tc>
                <w:tcPr>
                  <w:tcW w:w="837"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大</w:t>
                  </w:r>
                </w:p>
              </w:tc>
              <w:tc>
                <w:tcPr>
                  <w:tcW w:w="83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中</w:t>
                  </w:r>
                </w:p>
              </w:tc>
              <w:tc>
                <w:tcPr>
                  <w:tcW w:w="83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敏感</w:t>
                  </w:r>
                </w:p>
              </w:tc>
              <w:tc>
                <w:tcPr>
                  <w:tcW w:w="769"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6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较敏感</w:t>
                  </w:r>
                </w:p>
              </w:tc>
              <w:tc>
                <w:tcPr>
                  <w:tcW w:w="769"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不敏感</w:t>
                  </w:r>
                </w:p>
              </w:tc>
              <w:tc>
                <w:tcPr>
                  <w:tcW w:w="769"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一级</w:t>
                  </w:r>
                </w:p>
              </w:tc>
              <w:tc>
                <w:tcPr>
                  <w:tcW w:w="836"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二级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7"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三级</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w:t>
                  </w:r>
                </w:p>
              </w:tc>
              <w:tc>
                <w:tcPr>
                  <w:tcW w:w="838" w:type="dxa"/>
                  <w:tcBorders>
                    <w:tl2br w:val="nil"/>
                    <w:tr2bl w:val="nil"/>
                  </w:tcBorders>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104" w:type="dxa"/>
                  <w:gridSpan w:val="10"/>
                  <w:tcBorders>
                    <w:tl2br w:val="nil"/>
                    <w:tr2bl w:val="nil"/>
                  </w:tcBorders>
                </w:tcPr>
                <w:p>
                  <w:pPr>
                    <w:jc w:val="left"/>
                    <w:rPr>
                      <w:rFonts w:ascii="宋体" w:hAnsi="宋体"/>
                      <w:color w:val="auto"/>
                      <w:szCs w:val="21"/>
                      <w:highlight w:val="none"/>
                    </w:rPr>
                  </w:pPr>
                  <w:r>
                    <w:rPr>
                      <w:rFonts w:hint="eastAsia" w:ascii="宋体" w:cs="宋体"/>
                      <w:color w:val="auto"/>
                      <w:kern w:val="0"/>
                      <w:sz w:val="18"/>
                      <w:szCs w:val="18"/>
                      <w:highlight w:val="none"/>
                    </w:rPr>
                    <w:t>注：“</w:t>
                  </w:r>
                  <w:r>
                    <w:rPr>
                      <w:rFonts w:ascii="宋体" w:cs="宋体"/>
                      <w:color w:val="auto"/>
                      <w:kern w:val="0"/>
                      <w:sz w:val="18"/>
                      <w:szCs w:val="18"/>
                      <w:highlight w:val="none"/>
                    </w:rPr>
                    <w:t>-</w:t>
                  </w:r>
                  <w:r>
                    <w:rPr>
                      <w:rFonts w:hint="eastAsia" w:ascii="宋体" w:cs="宋体"/>
                      <w:color w:val="auto"/>
                      <w:kern w:val="0"/>
                      <w:sz w:val="18"/>
                      <w:szCs w:val="18"/>
                      <w:highlight w:val="none"/>
                    </w:rPr>
                    <w:t>”表示可不开展土壤环境影响评价工作。</w:t>
                  </w:r>
                </w:p>
              </w:tc>
            </w:tr>
          </w:tbl>
          <w:p>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根据项目情况，项目占地规格为小型，敏感程度为不敏感，项目类别为Ⅲ类，因此，项目未列入评价工作等级中，可不开展土壤环境影响评价工作。</w:t>
            </w:r>
          </w:p>
          <w:p>
            <w:pPr>
              <w:spacing w:line="360" w:lineRule="auto"/>
              <w:ind w:firstLine="482" w:firstLineChars="200"/>
              <w:rPr>
                <w:rFonts w:ascii="Times New Roman" w:hAnsi="Times New Roman"/>
                <w:b/>
                <w:color w:val="auto"/>
                <w:sz w:val="24"/>
                <w:highlight w:val="none"/>
              </w:rPr>
            </w:pPr>
            <w:r>
              <w:rPr>
                <w:rFonts w:hint="eastAsia"/>
                <w:b/>
                <w:color w:val="auto"/>
                <w:sz w:val="24"/>
                <w:highlight w:val="none"/>
                <w:lang w:val="en-US" w:eastAsia="zh-CN"/>
              </w:rPr>
              <w:t>6、</w:t>
            </w:r>
            <w:r>
              <w:rPr>
                <w:rFonts w:hint="eastAsia" w:ascii="Times New Roman" w:hAnsi="Times New Roman"/>
                <w:b/>
                <w:color w:val="auto"/>
                <w:sz w:val="24"/>
                <w:highlight w:val="none"/>
              </w:rPr>
              <w:t>环境风险影响分析</w:t>
            </w:r>
            <w:bookmarkEnd w:id="74"/>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bookmarkStart w:id="75" w:name="_Toc2100"/>
            <w:bookmarkStart w:id="76" w:name="_Toc8147"/>
            <w:bookmarkStart w:id="77" w:name="_Toc7743"/>
            <w:r>
              <w:rPr>
                <w:rFonts w:ascii="Times New Roman" w:hAnsi="Times New Roman" w:eastAsia="宋体" w:cs="Times New Roman"/>
                <w:color w:val="auto"/>
                <w:kern w:val="2"/>
                <w:sz w:val="24"/>
                <w:szCs w:val="24"/>
                <w:highlight w:val="none"/>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widowControl w:val="0"/>
              <w:spacing w:after="0" w:line="360" w:lineRule="auto"/>
              <w:ind w:firstLine="480" w:firstLineChars="200"/>
              <w:jc w:val="both"/>
              <w:rPr>
                <w:rFonts w:ascii="Times New Roman" w:hAnsi="Times New Roman" w:eastAsia="宋体" w:cs="Times New Roman"/>
                <w:color w:val="auto"/>
                <w:kern w:val="0"/>
                <w:sz w:val="24"/>
                <w:szCs w:val="24"/>
                <w:highlight w:val="none"/>
              </w:rPr>
            </w:pPr>
            <w:bookmarkStart w:id="78" w:name="_Toc5681"/>
            <w:bookmarkStart w:id="79" w:name="_Toc2791"/>
            <w:bookmarkStart w:id="80" w:name="_Toc26501"/>
            <w:bookmarkStart w:id="81" w:name="_Toc32585"/>
            <w:bookmarkStart w:id="82" w:name="_Toc4390"/>
            <w:bookmarkStart w:id="83" w:name="_Toc28577"/>
            <w:bookmarkStart w:id="84" w:name="_Toc909"/>
            <w:bookmarkStart w:id="85" w:name="_Toc28157"/>
            <w:bookmarkStart w:id="86" w:name="_Toc1185"/>
            <w:bookmarkStart w:id="87" w:name="_Toc1698"/>
            <w:bookmarkStart w:id="88" w:name="_Toc419969485"/>
            <w:bookmarkStart w:id="89" w:name="_Toc21432"/>
            <w:bookmarkStart w:id="90" w:name="_Toc20313"/>
            <w:bookmarkStart w:id="91" w:name="_Toc30266"/>
            <w:r>
              <w:rPr>
                <w:rFonts w:hint="eastAsia" w:ascii="Times New Roman" w:hAnsi="Times New Roman" w:eastAsia="宋体" w:cs="Times New Roman"/>
                <w:color w:val="auto"/>
                <w:kern w:val="0"/>
                <w:sz w:val="24"/>
                <w:szCs w:val="24"/>
                <w:highlight w:val="none"/>
              </w:rPr>
              <w:t>（一）评价工作等级</w:t>
            </w:r>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ascii="Times New Roman" w:hAnsi="Times New Roman" w:eastAsia="宋体" w:cs="Times New Roman"/>
                <w:color w:val="auto"/>
                <w:kern w:val="0"/>
                <w:sz w:val="24"/>
                <w:szCs w:val="24"/>
                <w:highlight w:val="none"/>
              </w:rPr>
              <w:t xml:space="preserve"> </w:t>
            </w:r>
          </w:p>
          <w:p>
            <w:pPr>
              <w:widowControl w:val="0"/>
              <w:spacing w:after="0" w:line="360" w:lineRule="auto"/>
              <w:ind w:firstLine="480" w:firstLineChars="200"/>
              <w:jc w:val="both"/>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 xml:space="preserve">1、划分依据 </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0"/>
                <w:sz w:val="24"/>
                <w:szCs w:val="24"/>
                <w:highlight w:val="none"/>
              </w:rPr>
              <w:t>根据建设项目涉及的</w:t>
            </w:r>
            <w:r>
              <w:rPr>
                <w:rFonts w:hint="eastAsia" w:ascii="Times New Roman" w:hAnsi="Times New Roman" w:eastAsia="宋体" w:cs="Times New Roman"/>
                <w:color w:val="auto"/>
                <w:kern w:val="2"/>
                <w:sz w:val="24"/>
                <w:szCs w:val="24"/>
                <w:highlight w:val="none"/>
              </w:rPr>
              <w:t>物质及工艺系统危险性和所在地的环境敏感性确定环境风险潜势，按照下表确定工作等级。风险潜势为</w:t>
            </w:r>
            <w:r>
              <w:rPr>
                <w:rFonts w:hint="eastAsia" w:ascii="宋体" w:hAnsi="宋体" w:eastAsia="宋体" w:cs="宋体"/>
                <w:color w:val="auto"/>
                <w:kern w:val="2"/>
                <w:sz w:val="24"/>
                <w:szCs w:val="24"/>
                <w:highlight w:val="none"/>
              </w:rPr>
              <w:t>Ⅳ</w:t>
            </w:r>
            <w:r>
              <w:rPr>
                <w:rFonts w:hint="eastAsia" w:ascii="Times New Roman" w:hAnsi="Times New Roman" w:eastAsia="宋体" w:cs="Times New Roman"/>
                <w:color w:val="auto"/>
                <w:kern w:val="2"/>
                <w:sz w:val="24"/>
                <w:szCs w:val="24"/>
                <w:highlight w:val="none"/>
              </w:rPr>
              <w:t>及以上，进行一级评级；风险潜势为</w:t>
            </w:r>
            <w:r>
              <w:rPr>
                <w:rFonts w:hint="eastAsia" w:ascii="宋体" w:hAnsi="宋体" w:eastAsia="宋体" w:cs="宋体"/>
                <w:color w:val="auto"/>
                <w:kern w:val="2"/>
                <w:sz w:val="24"/>
                <w:szCs w:val="24"/>
                <w:highlight w:val="none"/>
              </w:rPr>
              <w:t>Ⅲ</w:t>
            </w:r>
            <w:r>
              <w:rPr>
                <w:rFonts w:hint="eastAsia" w:ascii="Times New Roman" w:hAnsi="Times New Roman" w:eastAsia="宋体" w:cs="Times New Roman"/>
                <w:color w:val="auto"/>
                <w:kern w:val="2"/>
                <w:sz w:val="24"/>
                <w:szCs w:val="24"/>
                <w:highlight w:val="none"/>
              </w:rPr>
              <w:t>，进行二级评价；风险潜势为</w:t>
            </w:r>
            <w:r>
              <w:rPr>
                <w:rFonts w:hint="eastAsia" w:ascii="微软雅黑" w:hAnsi="微软雅黑" w:eastAsia="微软雅黑" w:cs="微软雅黑"/>
                <w:color w:val="auto"/>
                <w:kern w:val="2"/>
                <w:sz w:val="24"/>
                <w:szCs w:val="24"/>
                <w:highlight w:val="none"/>
              </w:rPr>
              <w:t>Ⅱ</w:t>
            </w:r>
            <w:r>
              <w:rPr>
                <w:rFonts w:hint="eastAsia" w:ascii="Times New Roman" w:hAnsi="Times New Roman" w:eastAsia="宋体" w:cs="Times New Roman"/>
                <w:color w:val="auto"/>
                <w:kern w:val="2"/>
                <w:sz w:val="24"/>
                <w:szCs w:val="24"/>
                <w:highlight w:val="none"/>
              </w:rPr>
              <w:t>，进行三级评价；风险潜势为</w:t>
            </w:r>
            <w:r>
              <w:rPr>
                <w:rFonts w:hint="eastAsia" w:ascii="微软雅黑" w:hAnsi="微软雅黑" w:eastAsia="微软雅黑" w:cs="微软雅黑"/>
                <w:color w:val="auto"/>
                <w:kern w:val="2"/>
                <w:sz w:val="24"/>
                <w:szCs w:val="24"/>
                <w:highlight w:val="none"/>
              </w:rPr>
              <w:t>Ⅰ</w:t>
            </w:r>
            <w:r>
              <w:rPr>
                <w:rFonts w:hint="eastAsia" w:ascii="Times New Roman" w:hAnsi="Times New Roman" w:eastAsia="宋体" w:cs="Times New Roman"/>
                <w:color w:val="auto"/>
                <w:kern w:val="2"/>
                <w:sz w:val="24"/>
                <w:szCs w:val="24"/>
                <w:highlight w:val="none"/>
              </w:rPr>
              <w:t>，可开展简单分析。</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表7-19  </w:t>
            </w:r>
            <w:r>
              <w:rPr>
                <w:rFonts w:hint="eastAsia" w:ascii="Times New Roman" w:hAnsi="Times New Roman" w:eastAsia="宋体" w:cs="Times New Roman"/>
                <w:b/>
                <w:color w:val="auto"/>
                <w:kern w:val="0"/>
                <w:sz w:val="21"/>
                <w:szCs w:val="21"/>
                <w:highlight w:val="none"/>
                <w:lang w:val="en-US" w:eastAsia="zh-CN" w:bidi="ar-SA"/>
              </w:rPr>
              <w:t>评价工作等级划分</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0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环境风险潜势</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Ⅳ、Ⅳ</w:t>
                  </w:r>
                  <w:r>
                    <w:rPr>
                      <w:rFonts w:ascii="Times New Roman" w:hAnsi="Times New Roman" w:eastAsia="宋体" w:cs="Times New Roman"/>
                      <w:color w:val="auto"/>
                      <w:kern w:val="2"/>
                      <w:sz w:val="21"/>
                      <w:szCs w:val="21"/>
                      <w:highlight w:val="none"/>
                      <w:vertAlign w:val="superscript"/>
                    </w:rPr>
                    <w:t>+</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微软雅黑" w:cs="Times New Roman"/>
                      <w:color w:val="auto"/>
                      <w:kern w:val="2"/>
                      <w:sz w:val="21"/>
                      <w:szCs w:val="21"/>
                      <w:highlight w:val="none"/>
                    </w:rPr>
                    <w:t>Ⅱ</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微软雅黑" w:cs="Times New Roman"/>
                      <w:color w:val="auto"/>
                      <w:kern w:val="2"/>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0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评价工作等级</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一</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二</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三</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简单分析</w:t>
                  </w:r>
                </w:p>
              </w:tc>
            </w:tr>
          </w:tbl>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（二）环境风险潜势初判</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1、环境风险潜势划分</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4"/>
                <w:szCs w:val="24"/>
                <w:highlight w:val="none"/>
              </w:rPr>
              <w:t>根据建设项目涉及的物质和工艺系统的危险性及其所在地的环境敏感程度，结合事故情形下环境影响途径，对建设项目潜在环境危害程度进行概化分析，按照下表确定环境风险潜势。</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表7-20  </w:t>
            </w:r>
            <w:r>
              <w:rPr>
                <w:rFonts w:ascii="Times New Roman" w:hAnsi="Times New Roman" w:eastAsia="宋体" w:cs="Times New Roman"/>
                <w:b/>
                <w:color w:val="auto"/>
                <w:kern w:val="0"/>
                <w:sz w:val="21"/>
                <w:szCs w:val="21"/>
                <w:highlight w:val="none"/>
                <w:lang w:val="en-US" w:eastAsia="zh-CN" w:bidi="ar-SA"/>
              </w:rPr>
              <w:t>建设项目环境风险潜势划分</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restart"/>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环境敏感程度（E）</w:t>
                  </w:r>
                </w:p>
              </w:tc>
              <w:tc>
                <w:tcPr>
                  <w:tcW w:w="6804" w:type="dxa"/>
                  <w:gridSpan w:val="4"/>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Merge w:val="continue"/>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极高危害（P1）</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高度危害（P2）</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中度危害（P3）</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环境高度敏感区（E1）</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Ⅳ</w:t>
                  </w:r>
                  <w:r>
                    <w:rPr>
                      <w:rFonts w:ascii="Times New Roman" w:hAnsi="Times New Roman" w:eastAsia="宋体" w:cs="Times New Roman"/>
                      <w:color w:val="auto"/>
                      <w:kern w:val="2"/>
                      <w:sz w:val="21"/>
                      <w:szCs w:val="21"/>
                      <w:highlight w:val="none"/>
                      <w:vertAlign w:val="superscript"/>
                    </w:rPr>
                    <w:t>+</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Ⅳ</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环境中度敏感区（E2）</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Ⅳ</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环境低度敏感区（E3）</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Ⅲ</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Ⅱ</w:t>
                  </w:r>
                </w:p>
              </w:tc>
              <w:tc>
                <w:tcPr>
                  <w:tcW w:w="1701" w:type="dxa"/>
                  <w:tcBorders>
                    <w:tl2br w:val="nil"/>
                    <w:tr2bl w:val="nil"/>
                  </w:tcBorders>
                  <w:vAlign w:val="center"/>
                </w:tcPr>
                <w:p>
                  <w:pPr>
                    <w:widowControl w:val="0"/>
                    <w:autoSpaceDE w:val="0"/>
                    <w:autoSpaceDN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5"/>
                  <w:tcBorders>
                    <w:tl2br w:val="nil"/>
                    <w:tr2bl w:val="nil"/>
                  </w:tcBorders>
                  <w:vAlign w:val="center"/>
                </w:tcPr>
                <w:p>
                  <w:pPr>
                    <w:widowControl w:val="0"/>
                    <w:autoSpaceDE w:val="0"/>
                    <w:autoSpaceDN w:val="0"/>
                    <w:spacing w:after="0" w:line="240" w:lineRule="auto"/>
                    <w:jc w:val="left"/>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注：</w:t>
                  </w:r>
                  <w:r>
                    <w:rPr>
                      <w:rFonts w:ascii="Times New Roman" w:hAnsi="Times New Roman" w:eastAsia="宋体" w:cs="Times New Roman"/>
                      <w:color w:val="auto"/>
                      <w:kern w:val="2"/>
                      <w:sz w:val="21"/>
                      <w:szCs w:val="21"/>
                      <w:highlight w:val="none"/>
                    </w:rPr>
                    <w:t>Ⅳ</w:t>
                  </w:r>
                  <w:r>
                    <w:rPr>
                      <w:rFonts w:ascii="Times New Roman" w:hAnsi="Times New Roman" w:eastAsia="宋体" w:cs="Times New Roman"/>
                      <w:color w:val="auto"/>
                      <w:kern w:val="2"/>
                      <w:sz w:val="21"/>
                      <w:szCs w:val="21"/>
                      <w:highlight w:val="none"/>
                      <w:vertAlign w:val="superscript"/>
                    </w:rPr>
                    <w:t>+</w:t>
                  </w:r>
                  <w:r>
                    <w:rPr>
                      <w:rFonts w:hint="eastAsia" w:ascii="Times New Roman" w:hAnsi="Times New Roman" w:eastAsia="宋体" w:cs="Times New Roman"/>
                      <w:color w:val="auto"/>
                      <w:kern w:val="2"/>
                      <w:sz w:val="21"/>
                      <w:szCs w:val="21"/>
                      <w:highlight w:val="none"/>
                    </w:rPr>
                    <w:t>为极高环境风险。</w:t>
                  </w:r>
                </w:p>
              </w:tc>
            </w:tr>
          </w:tbl>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2、P的分级确定</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定量分析危险物质数量与临界量的比值（Q）和所属行业及生产工艺特点（M），对危险物质及工艺系统危险性（P）等级进行判断。</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计算所涉及的每种危险物质在厂界内的最大存在总量与其在</w:t>
            </w:r>
            <w:r>
              <w:rPr>
                <w:rFonts w:ascii="Times New Roman" w:hAnsi="Times New Roman" w:eastAsia="宋体" w:cs="Times New Roman"/>
                <w:color w:val="auto"/>
                <w:kern w:val="2"/>
                <w:sz w:val="24"/>
                <w:szCs w:val="24"/>
                <w:highlight w:val="none"/>
              </w:rPr>
              <w:t>《建设项目环境风险评价技术导则》（</w:t>
            </w:r>
            <w:r>
              <w:rPr>
                <w:rFonts w:hint="eastAsia" w:ascii="Times New Roman" w:hAnsi="Times New Roman" w:eastAsia="宋体" w:cs="Times New Roman"/>
                <w:color w:val="auto"/>
                <w:kern w:val="2"/>
                <w:sz w:val="24"/>
                <w:szCs w:val="24"/>
                <w:highlight w:val="none"/>
              </w:rPr>
              <w:t>HJ 169-2018</w: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附录B中对应临界量的比值Q。在不同厂区的同一种物质，按其在厂界内的最大存在总量计算。对于长输管线项目，按照两个截断阀室之间管段危险物质最大存在总量计算。</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当只涉及一种危险物质时，计算该物质的总量与其临界量比值，即为Q；</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当存在多种危险物质时，则按下式计算物质总量与其临界量比值Q：</w:t>
            </w:r>
          </w:p>
          <w:p>
            <w:pPr>
              <w:widowControl w:val="0"/>
              <w:autoSpaceDE w:val="0"/>
              <w:autoSpaceDN w:val="0"/>
              <w:spacing w:after="0" w:line="360" w:lineRule="auto"/>
              <w:ind w:firstLine="480" w:firstLineChars="200"/>
              <w:jc w:val="center"/>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position w:val="-30"/>
                <w:sz w:val="24"/>
                <w:szCs w:val="24"/>
                <w:highlight w:val="none"/>
              </w:rPr>
              <w:object>
                <v:shape id="_x0000_i1027" o:spt="75" type="#_x0000_t75" style="height:33.5pt;width:117.2pt;" o:ole="t" filled="f" o:preferrelative="t" stroked="f" coordsize="21600,21600">
                  <v:path/>
                  <v:fill on="f" focussize="0,0"/>
                  <v:stroke on="f"/>
                  <v:imagedata r:id="rId36" o:title=""/>
                  <o:lock v:ext="edit" aspectratio="t"/>
                  <w10:wrap type="none"/>
                  <w10:anchorlock/>
                </v:shape>
                <o:OLEObject Type="Embed" ProgID="Equation.3" ShapeID="_x0000_i1027" DrawAspect="Content" ObjectID="_1468075727" r:id="rId35">
                  <o:LockedField>false</o:LockedField>
                </o:OLEObject>
              </w:objec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式中：</w:t>
            </w:r>
            <w:r>
              <w:rPr>
                <w:rFonts w:ascii="Times New Roman" w:hAnsi="Times New Roman" w:eastAsia="宋体" w:cs="Times New Roman"/>
                <w:color w:val="auto"/>
                <w:kern w:val="2"/>
                <w:position w:val="-10"/>
                <w:sz w:val="24"/>
                <w:szCs w:val="24"/>
                <w:highlight w:val="none"/>
              </w:rPr>
              <w:object>
                <v:shape id="_x0000_i1028" o:spt="75" type="#_x0000_t75" style="height:17.6pt;width:11.7pt;" o:ole="t" filled="f" o:preferrelative="t" stroked="f" coordsize="21600,21600">
                  <v:path/>
                  <v:fill on="f" focussize="0,0"/>
                  <v:stroke on="f"/>
                  <v:imagedata r:id="rId38" o:title=""/>
                  <o:lock v:ext="edit" aspectratio="t"/>
                  <w10:wrap type="none"/>
                  <w10:anchorlock/>
                </v:shape>
                <o:OLEObject Type="Embed" ProgID="Equation.3" ShapeID="_x0000_i1028" DrawAspect="Content" ObjectID="_1468075728" r:id="rId37">
                  <o:LockedField>false</o:LockedField>
                </o:OLEObject>
              </w:object>
            </w:r>
            <w:r>
              <w:rPr>
                <w:rFonts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position w:val="-10"/>
                <w:sz w:val="24"/>
                <w:szCs w:val="24"/>
                <w:highlight w:val="none"/>
              </w:rPr>
              <w:object>
                <v:shape id="_x0000_i1029" o:spt="75" type="#_x0000_t75" style="height:17.6pt;width:14.25pt;" o:ole="t" filled="f" o:preferrelative="t" stroked="f" coordsize="21600,21600">
                  <v:path/>
                  <v:fill on="f" focussize="0,0"/>
                  <v:stroke on="f"/>
                  <v:imagedata r:id="rId40" o:title=""/>
                  <o:lock v:ext="edit" aspectratio="t"/>
                  <w10:wrap type="none"/>
                  <w10:anchorlock/>
                </v:shape>
                <o:OLEObject Type="Embed" ProgID="Equation.3" ShapeID="_x0000_i1029" DrawAspect="Content" ObjectID="_1468075729" r:id="rId39">
                  <o:LockedField>false</o:LockedField>
                </o:OLEObject>
              </w:object>
            </w:r>
            <w:r>
              <w:rPr>
                <w:rFonts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position w:val="-12"/>
                <w:sz w:val="24"/>
                <w:szCs w:val="24"/>
                <w:highlight w:val="none"/>
              </w:rPr>
              <w:object>
                <v:shape id="_x0000_i1030" o:spt="75" type="#_x0000_t75" style="height:18.4pt;width:14.25pt;" o:ole="t" filled="f" o:preferrelative="t" stroked="f" coordsize="21600,21600">
                  <v:path/>
                  <v:fill on="f" focussize="0,0"/>
                  <v:stroke on="f"/>
                  <v:imagedata r:id="rId42" o:title=""/>
                  <o:lock v:ext="edit" aspectratio="t"/>
                  <w10:wrap type="none"/>
                  <w10:anchorlock/>
                </v:shape>
                <o:OLEObject Type="Embed" ProgID="Equation.3" ShapeID="_x0000_i1030" DrawAspect="Content" ObjectID="_1468075730" r:id="rId41">
                  <o:LockedField>false</o:LockedField>
                </o:OLEObject>
              </w:object>
            </w:r>
            <w:r>
              <w:rPr>
                <w:rFonts w:hint="eastAsia"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每种危险物品的</w:t>
            </w:r>
            <w:r>
              <w:rPr>
                <w:rFonts w:hint="eastAsia" w:ascii="Times New Roman" w:hAnsi="Times New Roman" w:eastAsia="宋体" w:cs="Times New Roman"/>
                <w:color w:val="auto"/>
                <w:kern w:val="2"/>
                <w:sz w:val="24"/>
                <w:szCs w:val="24"/>
                <w:highlight w:val="none"/>
              </w:rPr>
              <w:t>最大存在总量，</w:t>
            </w:r>
            <w:r>
              <w:rPr>
                <w:rFonts w:ascii="Times New Roman" w:hAnsi="Times New Roman" w:eastAsia="宋体" w:cs="Times New Roman"/>
                <w:color w:val="auto"/>
                <w:kern w:val="2"/>
                <w:sz w:val="24"/>
                <w:szCs w:val="24"/>
                <w:highlight w:val="none"/>
              </w:rPr>
              <w:t>t；</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 xml:space="preserve">      </w:t>
            </w:r>
            <w:r>
              <w:rPr>
                <w:rFonts w:ascii="Times New Roman" w:hAnsi="Times New Roman" w:eastAsia="宋体" w:cs="Times New Roman"/>
                <w:color w:val="auto"/>
                <w:kern w:val="2"/>
                <w:position w:val="-10"/>
                <w:sz w:val="24"/>
                <w:szCs w:val="24"/>
                <w:highlight w:val="none"/>
              </w:rPr>
              <w:object>
                <v:shape id="_x0000_i1031" o:spt="75" type="#_x0000_t75" style="height:17.6pt;width:14.25pt;" o:ole="t" filled="f" o:preferrelative="t" stroked="f" coordsize="21600,21600">
                  <v:path/>
                  <v:fill on="f" focussize="0,0"/>
                  <v:stroke on="f"/>
                  <v:imagedata r:id="rId44" o:title=""/>
                  <o:lock v:ext="edit" aspectratio="t"/>
                  <w10:wrap type="none"/>
                  <w10:anchorlock/>
                </v:shape>
                <o:OLEObject Type="Embed" ProgID="Equation.3" ShapeID="_x0000_i1031" DrawAspect="Content" ObjectID="_1468075731" r:id="rId43">
                  <o:LockedField>false</o:LockedField>
                </o:OLEObject>
              </w:object>
            </w:r>
            <w:r>
              <w:rPr>
                <w:rFonts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position w:val="-10"/>
                <w:sz w:val="24"/>
                <w:szCs w:val="24"/>
                <w:highlight w:val="none"/>
              </w:rPr>
              <w:object>
                <v:shape id="_x0000_i1032" o:spt="75" type="#_x0000_t75" style="height:17.6pt;width:15.9pt;" o:ole="t" filled="f" o:preferrelative="t" stroked="f" coordsize="21600,21600">
                  <v:path/>
                  <v:fill on="f" focussize="0,0"/>
                  <v:stroke on="f"/>
                  <v:imagedata r:id="rId46" o:title=""/>
                  <o:lock v:ext="edit" aspectratio="t"/>
                  <w10:wrap type="none"/>
                  <w10:anchorlock/>
                </v:shape>
                <o:OLEObject Type="Embed" ProgID="Equation.3" ShapeID="_x0000_i1032" DrawAspect="Content" ObjectID="_1468075732" r:id="rId45">
                  <o:LockedField>false</o:LockedField>
                </o:OLEObject>
              </w:object>
            </w:r>
            <w:r>
              <w:rPr>
                <w:rFonts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position w:val="-12"/>
                <w:sz w:val="24"/>
                <w:szCs w:val="24"/>
                <w:highlight w:val="none"/>
              </w:rPr>
              <w:object>
                <v:shape id="_x0000_i1033" o:spt="75" type="#_x0000_t75" style="height:18.4pt;width:15.9pt;" o:ole="t" filled="f" o:preferrelative="t" stroked="f" coordsize="21600,21600">
                  <v:path/>
                  <v:fill on="f" focussize="0,0"/>
                  <v:stroke on="f"/>
                  <v:imagedata r:id="rId48" o:title=""/>
                  <o:lock v:ext="edit" aspectratio="t"/>
                  <w10:wrap type="none"/>
                  <w10:anchorlock/>
                </v:shape>
                <o:OLEObject Type="Embed" ProgID="Equation.3" ShapeID="_x0000_i1033" DrawAspect="Content" ObjectID="_1468075733" r:id="rId47">
                  <o:LockedField>false</o:LockedField>
                </o:OLEObject>
              </w:object>
            </w:r>
            <w:r>
              <w:rPr>
                <w:rFonts w:hint="eastAsia" w:ascii="Times New Roman" w:hAnsi="Times New Roman" w:eastAsia="宋体" w:cs="Times New Roman"/>
                <w:color w:val="auto"/>
                <w:kern w:val="2"/>
                <w:sz w:val="24"/>
                <w:szCs w:val="24"/>
                <w:highlight w:val="none"/>
              </w:rPr>
              <w:t>——每种危险物质的临界量，</w:t>
            </w:r>
            <w:r>
              <w:rPr>
                <w:rFonts w:ascii="Times New Roman" w:hAnsi="Times New Roman" w:eastAsia="宋体" w:cs="Times New Roman"/>
                <w:color w:val="auto"/>
                <w:kern w:val="2"/>
                <w:sz w:val="24"/>
                <w:szCs w:val="24"/>
                <w:highlight w:val="none"/>
              </w:rPr>
              <w:t>t。</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当Q&lt;1时，该项目环境风险潜势为</w:t>
            </w:r>
            <w:r>
              <w:rPr>
                <w:rFonts w:hint="eastAsia" w:ascii="微软雅黑" w:hAnsi="微软雅黑" w:eastAsia="微软雅黑" w:cs="微软雅黑"/>
                <w:color w:val="auto"/>
                <w:kern w:val="2"/>
                <w:sz w:val="24"/>
                <w:szCs w:val="24"/>
                <w:highlight w:val="none"/>
              </w:rPr>
              <w:t>Ⅰ</w:t>
            </w:r>
            <w:r>
              <w:rPr>
                <w:rFonts w:hint="eastAsia" w:ascii="Times New Roman" w:hAnsi="Times New Roman" w:eastAsia="宋体" w:cs="Times New Roman"/>
                <w:color w:val="auto"/>
                <w:kern w:val="2"/>
                <w:sz w:val="24"/>
                <w:szCs w:val="24"/>
                <w:highlight w:val="none"/>
              </w:rPr>
              <w:t>。</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当Q</w:t>
            </w:r>
            <w:r>
              <w:rPr>
                <w:rFonts w:ascii="Arial" w:hAnsi="Arial" w:eastAsia="宋体" w:cs="Arial"/>
                <w:color w:val="auto"/>
                <w:kern w:val="2"/>
                <w:sz w:val="24"/>
                <w:szCs w:val="24"/>
                <w:highlight w:val="none"/>
              </w:rPr>
              <w:t>≥</w:t>
            </w:r>
            <w:r>
              <w:rPr>
                <w:rFonts w:hint="eastAsia" w:ascii="Times New Roman" w:hAnsi="Times New Roman" w:eastAsia="宋体" w:cs="Times New Roman"/>
                <w:color w:val="auto"/>
                <w:kern w:val="2"/>
                <w:sz w:val="24"/>
                <w:szCs w:val="24"/>
                <w:highlight w:val="none"/>
              </w:rPr>
              <w:t>1时，将Q值划分为：（1）1</w:t>
            </w:r>
            <w:r>
              <w:rPr>
                <w:rFonts w:ascii="Arial" w:hAnsi="Arial" w:eastAsia="宋体" w:cs="Arial"/>
                <w:color w:val="auto"/>
                <w:kern w:val="2"/>
                <w:sz w:val="24"/>
                <w:szCs w:val="24"/>
                <w:highlight w:val="none"/>
              </w:rPr>
              <w:t>≤</w:t>
            </w:r>
            <w:r>
              <w:rPr>
                <w:rFonts w:hint="eastAsia" w:ascii="Times New Roman" w:hAnsi="Times New Roman" w:eastAsia="宋体" w:cs="Times New Roman"/>
                <w:color w:val="auto"/>
                <w:kern w:val="2"/>
                <w:sz w:val="24"/>
                <w:szCs w:val="24"/>
                <w:highlight w:val="none"/>
              </w:rPr>
              <w:t>Q&lt;10；（2）10</w:t>
            </w:r>
            <w:r>
              <w:rPr>
                <w:rFonts w:ascii="Arial" w:hAnsi="Arial" w:eastAsia="宋体" w:cs="Arial"/>
                <w:color w:val="auto"/>
                <w:kern w:val="2"/>
                <w:sz w:val="24"/>
                <w:szCs w:val="24"/>
                <w:highlight w:val="none"/>
              </w:rPr>
              <w:t>≤</w:t>
            </w:r>
            <w:r>
              <w:rPr>
                <w:rFonts w:hint="eastAsia" w:ascii="Times New Roman" w:hAnsi="Times New Roman" w:eastAsia="宋体" w:cs="Times New Roman"/>
                <w:color w:val="auto"/>
                <w:kern w:val="2"/>
                <w:sz w:val="24"/>
                <w:szCs w:val="24"/>
                <w:highlight w:val="none"/>
              </w:rPr>
              <w:t>Q&lt;100；（3）Q</w:t>
            </w:r>
            <w:r>
              <w:rPr>
                <w:rFonts w:ascii="Arial" w:hAnsi="Arial" w:eastAsia="宋体" w:cs="Arial"/>
                <w:color w:val="auto"/>
                <w:kern w:val="2"/>
                <w:sz w:val="24"/>
                <w:szCs w:val="24"/>
                <w:highlight w:val="none"/>
              </w:rPr>
              <w:t>≥</w:t>
            </w:r>
            <w:r>
              <w:rPr>
                <w:rFonts w:hint="eastAsia" w:ascii="Times New Roman" w:hAnsi="Times New Roman" w:eastAsia="宋体" w:cs="Times New Roman"/>
                <w:color w:val="auto"/>
                <w:kern w:val="2"/>
                <w:sz w:val="24"/>
                <w:szCs w:val="24"/>
                <w:highlight w:val="none"/>
              </w:rPr>
              <w:t>100。</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本项目建设项目</w:t>
            </w:r>
            <w:r>
              <w:rPr>
                <w:rFonts w:hint="eastAsia" w:ascii="Times New Roman" w:hAnsi="Times New Roman" w:eastAsia="宋体" w:cs="Times New Roman"/>
                <w:color w:val="auto"/>
                <w:kern w:val="2"/>
                <w:sz w:val="24"/>
                <w:szCs w:val="24"/>
                <w:highlight w:val="none"/>
              </w:rPr>
              <w:object>
                <v:shape id="_x0000_i1034" o:spt="75" type="#_x0000_t75" style="height:15.9pt;width:11.7pt;" o:ole="t" filled="f" o:preferrelative="t" stroked="f" coordsize="21600,21600">
                  <v:path/>
                  <v:fill on="f" focussize="0,0"/>
                  <v:stroke on="f"/>
                  <v:imagedata r:id="rId50" o:title=""/>
                  <o:lock v:ext="edit" aspectratio="t"/>
                  <w10:wrap type="none"/>
                  <w10:anchorlock/>
                </v:shape>
                <o:OLEObject Type="Embed" ProgID="Equation.3" ShapeID="_x0000_i1034" DrawAspect="Content" ObjectID="_1468075734" r:id="rId49">
                  <o:LockedField>false</o:LockedField>
                </o:OLEObject>
              </w:object>
            </w:r>
            <w:r>
              <w:rPr>
                <w:rFonts w:hint="eastAsia" w:ascii="Times New Roman" w:hAnsi="Times New Roman" w:eastAsia="宋体" w:cs="Times New Roman"/>
                <w:color w:val="auto"/>
                <w:kern w:val="2"/>
                <w:sz w:val="24"/>
                <w:szCs w:val="24"/>
                <w:highlight w:val="none"/>
              </w:rPr>
              <w:t>值计算见下表。</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表7-21  </w:t>
            </w:r>
            <w:r>
              <w:rPr>
                <w:rFonts w:hint="eastAsia" w:ascii="Times New Roman" w:hAnsi="Times New Roman" w:eastAsia="宋体" w:cs="Times New Roman"/>
                <w:b/>
                <w:color w:val="auto"/>
                <w:kern w:val="0"/>
                <w:sz w:val="21"/>
                <w:szCs w:val="21"/>
                <w:highlight w:val="none"/>
                <w:lang w:val="en-US" w:eastAsia="zh-CN" w:bidi="ar-SA"/>
              </w:rPr>
              <w:t>建设项目</w:t>
            </w:r>
            <w:r>
              <w:rPr>
                <w:rFonts w:hint="eastAsia" w:ascii="Times New Roman" w:hAnsi="Times New Roman" w:eastAsia="宋体" w:cs="Times New Roman"/>
                <w:b/>
                <w:color w:val="auto"/>
                <w:kern w:val="0"/>
                <w:sz w:val="21"/>
                <w:szCs w:val="21"/>
                <w:highlight w:val="none"/>
                <w:lang w:val="en-US" w:eastAsia="zh-CN" w:bidi="ar-SA"/>
              </w:rPr>
              <w:object>
                <v:shape id="_x0000_i1035" o:spt="75" type="#_x0000_t75" style="height:15.9pt;width:11.7pt;" o:ole="t" filled="f" o:preferrelative="t" stroked="f" coordsize="21600,21600">
                  <v:path/>
                  <v:fill on="f" focussize="0,0"/>
                  <v:stroke on="f"/>
                  <v:imagedata r:id="rId50" o:title=""/>
                  <o:lock v:ext="edit" aspectratio="t"/>
                  <w10:wrap type="none"/>
                  <w10:anchorlock/>
                </v:shape>
                <o:OLEObject Type="Embed" ProgID="Equation.3" ShapeID="_x0000_i1035" DrawAspect="Content" ObjectID="_1468075735" r:id="rId51">
                  <o:LockedField>false</o:LockedField>
                </o:OLEObject>
              </w:object>
            </w:r>
            <w:r>
              <w:rPr>
                <w:rFonts w:hint="eastAsia" w:ascii="Times New Roman" w:hAnsi="Times New Roman" w:eastAsia="宋体" w:cs="Times New Roman"/>
                <w:b/>
                <w:color w:val="auto"/>
                <w:kern w:val="0"/>
                <w:sz w:val="21"/>
                <w:szCs w:val="21"/>
                <w:highlight w:val="none"/>
                <w:lang w:val="en-US" w:eastAsia="zh-CN" w:bidi="ar-SA"/>
              </w:rPr>
              <w:t>值确定表</w:t>
            </w:r>
          </w:p>
          <w:p>
            <w:pPr>
              <w:widowControl w:val="0"/>
              <w:autoSpaceDE w:val="0"/>
              <w:autoSpaceDN w:val="0"/>
              <w:spacing w:before="1" w:after="0" w:line="30" w:lineRule="exact"/>
              <w:jc w:val="both"/>
              <w:rPr>
                <w:rFonts w:ascii="Times New Roman" w:hAnsi="Times New Roman" w:eastAsia="宋体" w:cs="Times New Roman"/>
                <w:b/>
                <w:bCs/>
                <w:color w:val="auto"/>
                <w:kern w:val="2"/>
                <w:sz w:val="21"/>
                <w:szCs w:val="24"/>
                <w:highlight w:val="none"/>
              </w:rPr>
            </w:pPr>
          </w:p>
          <w:tbl>
            <w:tblPr>
              <w:tblStyle w:val="34"/>
              <w:tblW w:w="90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1004"/>
              <w:gridCol w:w="2745"/>
              <w:gridCol w:w="1725"/>
              <w:gridCol w:w="2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486"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物质名称</w:t>
                  </w:r>
                </w:p>
              </w:tc>
              <w:tc>
                <w:tcPr>
                  <w:tcW w:w="1004"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CAS号</w:t>
                  </w:r>
                </w:p>
              </w:tc>
              <w:tc>
                <w:tcPr>
                  <w:tcW w:w="2745"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最大存在总量（</w:t>
                  </w:r>
                  <w:r>
                    <w:rPr>
                      <w:rFonts w:ascii="Times New Roman" w:hAnsi="Times New Roman" w:eastAsia="宋体" w:cs="Times New Roman"/>
                      <w:b/>
                      <w:color w:val="auto"/>
                      <w:kern w:val="2"/>
                      <w:position w:val="-12"/>
                      <w:sz w:val="21"/>
                      <w:szCs w:val="21"/>
                      <w:highlight w:val="none"/>
                    </w:rPr>
                    <w:object>
                      <v:shape id="_x0000_i1036" o:spt="75" type="#_x0000_t75" style="height:18.4pt;width:14.25pt;" o:ole="t" filled="f" o:preferrelative="t" stroked="f" coordsize="21600,21600">
                        <v:path/>
                        <v:fill on="f" focussize="0,0"/>
                        <v:stroke on="f"/>
                        <v:imagedata r:id="rId53" o:title=""/>
                        <o:lock v:ext="edit" aspectratio="t"/>
                        <w10:wrap type="none"/>
                        <w10:anchorlock/>
                      </v:shape>
                      <o:OLEObject Type="Embed" ProgID="Equation.3" ShapeID="_x0000_i1036" DrawAspect="Content" ObjectID="_1468075736" r:id="rId52">
                        <o:LockedField>false</o:LockedField>
                      </o:OLEObject>
                    </w:object>
                  </w:r>
                  <w:r>
                    <w:rPr>
                      <w:rFonts w:ascii="Times New Roman" w:hAnsi="Times New Roman" w:eastAsia="宋体" w:cs="Times New Roman"/>
                      <w:b/>
                      <w:color w:val="auto"/>
                      <w:kern w:val="2"/>
                      <w:sz w:val="21"/>
                      <w:szCs w:val="21"/>
                      <w:highlight w:val="none"/>
                    </w:rPr>
                    <w:t>），t</w:t>
                  </w:r>
                </w:p>
              </w:tc>
              <w:tc>
                <w:tcPr>
                  <w:tcW w:w="1725"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临界量(</w:t>
                  </w:r>
                  <w:r>
                    <w:rPr>
                      <w:rFonts w:ascii="Times New Roman" w:hAnsi="Times New Roman" w:eastAsia="宋体" w:cs="Times New Roman"/>
                      <w:b/>
                      <w:color w:val="auto"/>
                      <w:kern w:val="2"/>
                      <w:position w:val="-12"/>
                      <w:sz w:val="21"/>
                      <w:szCs w:val="21"/>
                      <w:highlight w:val="none"/>
                    </w:rPr>
                    <w:object>
                      <v:shape id="_x0000_i1037" o:spt="75" type="#_x0000_t75" style="height:18.4pt;width:15.9pt;" o:ole="t" filled="f" o:preferrelative="t" stroked="f" coordsize="21600,21600">
                        <v:path/>
                        <v:fill on="f" focussize="0,0"/>
                        <v:stroke on="f"/>
                        <v:imagedata r:id="rId55" o:title=""/>
                        <o:lock v:ext="edit" aspectratio="t"/>
                        <w10:wrap type="none"/>
                        <w10:anchorlock/>
                      </v:shape>
                      <o:OLEObject Type="Embed" ProgID="Equation.3" ShapeID="_x0000_i1037" DrawAspect="Content" ObjectID="_1468075737" r:id="rId54">
                        <o:LockedField>false</o:LockedField>
                      </o:OLEObject>
                    </w:object>
                  </w:r>
                  <w:r>
                    <w:rPr>
                      <w:rFonts w:ascii="Times New Roman" w:hAnsi="Times New Roman" w:eastAsia="宋体" w:cs="Times New Roman"/>
                      <w:b/>
                      <w:color w:val="auto"/>
                      <w:kern w:val="2"/>
                      <w:sz w:val="21"/>
                      <w:szCs w:val="21"/>
                      <w:highlight w:val="none"/>
                    </w:rPr>
                    <w:t>)，t</w:t>
                  </w:r>
                </w:p>
              </w:tc>
              <w:tc>
                <w:tcPr>
                  <w:tcW w:w="2056"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该种危险物质</w:t>
                  </w:r>
                  <w:r>
                    <w:rPr>
                      <w:rFonts w:ascii="Times New Roman" w:hAnsi="Times New Roman" w:eastAsia="宋体" w:cs="Times New Roman"/>
                      <w:b/>
                      <w:bCs/>
                      <w:color w:val="auto"/>
                      <w:spacing w:val="1"/>
                      <w:kern w:val="2"/>
                      <w:position w:val="-10"/>
                      <w:sz w:val="21"/>
                      <w:szCs w:val="21"/>
                      <w:highlight w:val="none"/>
                    </w:rPr>
                    <w:object>
                      <v:shape id="_x0000_i1038" o:spt="75" type="#_x0000_t75" style="height:15.9pt;width:11.7pt;" o:ole="t" filled="f" o:preferrelative="t" stroked="f" coordsize="21600,21600">
                        <v:path/>
                        <v:fill on="f" focussize="0,0"/>
                        <v:stroke on="f"/>
                        <v:imagedata r:id="rId50" o:title=""/>
                        <o:lock v:ext="edit" aspectratio="t"/>
                        <w10:wrap type="none"/>
                        <w10:anchorlock/>
                      </v:shape>
                      <o:OLEObject Type="Embed" ProgID="Equation.3" ShapeID="_x0000_i1038" DrawAspect="Content" ObjectID="_1468075738" r:id="rId56">
                        <o:LockedField>false</o:LockedField>
                      </o:OLEObject>
                    </w:object>
                  </w:r>
                  <w:r>
                    <w:rPr>
                      <w:rFonts w:ascii="Times New Roman" w:hAnsi="Times New Roman" w:eastAsia="宋体" w:cs="Times New Roman"/>
                      <w:b/>
                      <w:bCs/>
                      <w:color w:val="auto"/>
                      <w:spacing w:val="1"/>
                      <w:kern w:val="2"/>
                      <w:position w:val="-1"/>
                      <w:sz w:val="21"/>
                      <w:szCs w:val="21"/>
                      <w:highlight w:val="none"/>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486" w:type="dxa"/>
                  <w:tcBorders>
                    <w:tl2br w:val="nil"/>
                    <w:tr2bl w:val="nil"/>
                  </w:tcBorders>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润滑油</w:t>
                  </w:r>
                </w:p>
              </w:tc>
              <w:tc>
                <w:tcPr>
                  <w:tcW w:w="1004"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tc>
              <w:tc>
                <w:tcPr>
                  <w:tcW w:w="2745" w:type="dxa"/>
                  <w:tcBorders>
                    <w:tl2br w:val="nil"/>
                    <w:tr2bl w:val="nil"/>
                  </w:tcBorders>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1</w:t>
                  </w:r>
                </w:p>
              </w:tc>
              <w:tc>
                <w:tcPr>
                  <w:tcW w:w="1725" w:type="dxa"/>
                  <w:tcBorders>
                    <w:tl2br w:val="nil"/>
                    <w:tr2bl w:val="nil"/>
                  </w:tcBorders>
                  <w:vAlign w:val="center"/>
                </w:tcPr>
                <w:p>
                  <w:pPr>
                    <w:widowControl w:val="0"/>
                    <w:adjustRightInd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2500</w:t>
                  </w:r>
                </w:p>
              </w:tc>
              <w:tc>
                <w:tcPr>
                  <w:tcW w:w="2056"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486" w:type="dxa"/>
                  <w:tcBorders>
                    <w:tl2br w:val="nil"/>
                    <w:tr2bl w:val="nil"/>
                  </w:tcBorders>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天然气（甲烷）</w:t>
                  </w:r>
                </w:p>
              </w:tc>
              <w:tc>
                <w:tcPr>
                  <w:tcW w:w="1004" w:type="dxa"/>
                  <w:tcBorders>
                    <w:tl2br w:val="nil"/>
                    <w:tr2bl w:val="nil"/>
                  </w:tcBorders>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74-82-8</w:t>
                  </w:r>
                </w:p>
              </w:tc>
              <w:tc>
                <w:tcPr>
                  <w:tcW w:w="2745" w:type="dxa"/>
                  <w:tcBorders>
                    <w:tl2br w:val="nil"/>
                    <w:tr2bl w:val="nil"/>
                  </w:tcBorders>
                  <w:vAlign w:val="center"/>
                </w:tcPr>
                <w:p>
                  <w:pPr>
                    <w:spacing w:line="36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w:t>
                  </w:r>
                </w:p>
              </w:tc>
              <w:tc>
                <w:tcPr>
                  <w:tcW w:w="1725" w:type="dxa"/>
                  <w:tcBorders>
                    <w:tl2br w:val="nil"/>
                    <w:tr2bl w:val="nil"/>
                  </w:tcBorders>
                  <w:vAlign w:val="center"/>
                </w:tcPr>
                <w:p>
                  <w:pPr>
                    <w:widowControl w:val="0"/>
                    <w:adjustRightInd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10</w:t>
                  </w:r>
                </w:p>
              </w:tc>
              <w:tc>
                <w:tcPr>
                  <w:tcW w:w="2056" w:type="dxa"/>
                  <w:tcBorders>
                    <w:tl2br w:val="nil"/>
                    <w:tr2bl w:val="nil"/>
                  </w:tcBorders>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0.01</w:t>
                  </w:r>
                </w:p>
              </w:tc>
            </w:tr>
          </w:tbl>
          <w:p>
            <w:pPr>
              <w:spacing w:line="240" w:lineRule="auto"/>
              <w:ind w:firstLine="422" w:firstLineChars="200"/>
              <w:rPr>
                <w:b/>
                <w:bCs/>
                <w:color w:val="auto"/>
                <w:szCs w:val="21"/>
                <w:highlight w:val="none"/>
              </w:rPr>
            </w:pPr>
            <w:r>
              <w:rPr>
                <w:rFonts w:hint="eastAsia"/>
                <w:b/>
                <w:bCs/>
                <w:color w:val="auto"/>
                <w:szCs w:val="21"/>
                <w:highlight w:val="none"/>
              </w:rPr>
              <w:t>说明：项目锻压所用燃料为天然气，主要成分为甲烷，</w:t>
            </w:r>
            <w:r>
              <w:rPr>
                <w:rFonts w:hint="eastAsia"/>
                <w:b/>
                <w:color w:val="auto"/>
                <w:szCs w:val="21"/>
                <w:highlight w:val="none"/>
              </w:rPr>
              <w:t>设</w:t>
            </w:r>
            <w:r>
              <w:rPr>
                <w:b/>
                <w:color w:val="auto"/>
                <w:szCs w:val="21"/>
                <w:highlight w:val="none"/>
              </w:rPr>
              <w:t>有2瓶天然气储罐，50kg/瓶，最大储存量为</w:t>
            </w:r>
            <w:r>
              <w:rPr>
                <w:rFonts w:hint="eastAsia"/>
                <w:b/>
                <w:color w:val="auto"/>
                <w:szCs w:val="21"/>
                <w:highlight w:val="none"/>
              </w:rPr>
              <w:t>0.1吨</w:t>
            </w:r>
            <w:r>
              <w:rPr>
                <w:rFonts w:hint="eastAsia"/>
                <w:b/>
                <w:bCs/>
                <w:color w:val="auto"/>
                <w:szCs w:val="21"/>
                <w:highlight w:val="none"/>
              </w:rPr>
              <w:t>。</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经计算，</w:t>
            </w:r>
            <w:r>
              <w:rPr>
                <w:rFonts w:ascii="Times New Roman" w:hAnsi="Times New Roman" w:eastAsia="宋体" w:cs="Times New Roman"/>
                <w:color w:val="auto"/>
                <w:kern w:val="2"/>
                <w:position w:val="-30"/>
                <w:sz w:val="24"/>
                <w:szCs w:val="24"/>
                <w:highlight w:val="none"/>
              </w:rPr>
              <w:object>
                <v:shape id="_x0000_i1039" o:spt="75" type="#_x0000_t75" style="height:32.65pt;width:95.6pt;" o:ole="t" filled="f" o:preferrelative="t" stroked="f" coordsize="21600,21600">
                  <v:path/>
                  <v:fill on="f" focussize="0,0"/>
                  <v:stroke on="f"/>
                  <v:imagedata r:id="rId58" o:title=""/>
                  <o:lock v:ext="edit" aspectratio="t"/>
                  <w10:wrap type="none"/>
                  <w10:anchorlock/>
                </v:shape>
                <o:OLEObject Type="Embed" ProgID="Equation.3" ShapeID="_x0000_i1039" DrawAspect="Content" ObjectID="_1468075739" r:id="rId57">
                  <o:LockedField>false</o:LockedField>
                </o:OLEObject>
              </w:object>
            </w: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项目环境风险潜势为</w:t>
            </w:r>
            <w:r>
              <w:rPr>
                <w:rFonts w:hint="eastAsia" w:ascii="微软雅黑" w:hAnsi="微软雅黑" w:eastAsia="微软雅黑" w:cs="微软雅黑"/>
                <w:color w:val="auto"/>
                <w:kern w:val="2"/>
                <w:sz w:val="24"/>
                <w:szCs w:val="24"/>
                <w:highlight w:val="none"/>
              </w:rPr>
              <w:t>Ⅰ</w:t>
            </w:r>
            <w:r>
              <w:rPr>
                <w:rFonts w:ascii="Times New Roman" w:hAnsi="Times New Roman" w:eastAsia="宋体" w:cs="Times New Roman"/>
                <w:color w:val="auto"/>
                <w:kern w:val="2"/>
                <w:sz w:val="24"/>
                <w:szCs w:val="24"/>
                <w:highlight w:val="none"/>
              </w:rPr>
              <w:t>。</w:t>
            </w:r>
          </w:p>
          <w:p>
            <w:pPr>
              <w:widowControl w:val="0"/>
              <w:autoSpaceDE w:val="0"/>
              <w:autoSpaceDN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3、</w:t>
            </w:r>
            <w:r>
              <w:rPr>
                <w:rFonts w:ascii="Times New Roman" w:hAnsi="Times New Roman" w:eastAsia="宋体" w:cs="Times New Roman"/>
                <w:color w:val="auto"/>
                <w:kern w:val="2"/>
                <w:sz w:val="24"/>
                <w:szCs w:val="24"/>
                <w:highlight w:val="none"/>
              </w:rPr>
              <w:t xml:space="preserve">评价工作等级 </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根据《建设项目环境风险评价技术导则》（HJ169-2018），风险潜势为Ⅰ，可开展简单分析。因此本报告对本项目开展环境风险简单分析。</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三</w:t>
            </w:r>
            <w:r>
              <w:rPr>
                <w:rFonts w:ascii="Times New Roman" w:hAnsi="Times New Roman" w:eastAsia="宋体" w:cs="Times New Roman"/>
                <w:color w:val="auto"/>
                <w:kern w:val="2"/>
                <w:sz w:val="24"/>
                <w:szCs w:val="24"/>
                <w:highlight w:val="none"/>
              </w:rPr>
              <w:t>）生产过程风险识别</w:t>
            </w:r>
          </w:p>
          <w:p>
            <w:pPr>
              <w:widowControl w:val="0"/>
              <w:spacing w:after="0" w:line="24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本项目主要为危险废物储存点、仓库和废气处理设施存在环境风险，识别如下表所示：</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表7-22  </w:t>
            </w:r>
            <w:r>
              <w:rPr>
                <w:rFonts w:ascii="Times New Roman" w:hAnsi="Times New Roman" w:eastAsia="宋体" w:cs="Times New Roman"/>
                <w:b/>
                <w:color w:val="auto"/>
                <w:kern w:val="0"/>
                <w:sz w:val="21"/>
                <w:szCs w:val="21"/>
                <w:highlight w:val="none"/>
                <w:lang w:val="en-US" w:eastAsia="zh-CN" w:bidi="ar-SA"/>
              </w:rPr>
              <w:t>生产过程风险源识别</w:t>
            </w:r>
          </w:p>
          <w:tbl>
            <w:tblPr>
              <w:tblStyle w:val="35"/>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159"/>
              <w:gridCol w:w="3341"/>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widowControl w:val="0"/>
                    <w:spacing w:after="0" w:line="276"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危险目标</w:t>
                  </w:r>
                </w:p>
              </w:tc>
              <w:tc>
                <w:tcPr>
                  <w:tcW w:w="1159" w:type="dxa"/>
                  <w:vAlign w:val="center"/>
                </w:tcPr>
                <w:p>
                  <w:pPr>
                    <w:widowControl w:val="0"/>
                    <w:spacing w:after="0" w:line="276"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事故类型</w:t>
                  </w:r>
                </w:p>
              </w:tc>
              <w:tc>
                <w:tcPr>
                  <w:tcW w:w="3341" w:type="dxa"/>
                  <w:vAlign w:val="center"/>
                </w:tcPr>
                <w:p>
                  <w:pPr>
                    <w:widowControl w:val="0"/>
                    <w:spacing w:after="0" w:line="276"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事故引发可能原因及后果</w:t>
                  </w:r>
                </w:p>
              </w:tc>
              <w:tc>
                <w:tcPr>
                  <w:tcW w:w="2725" w:type="dxa"/>
                  <w:vAlign w:val="center"/>
                </w:tcPr>
                <w:p>
                  <w:pPr>
                    <w:widowControl w:val="0"/>
                    <w:spacing w:after="0" w:line="276"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危险废物暂存点</w:t>
                  </w:r>
                </w:p>
              </w:tc>
              <w:tc>
                <w:tcPr>
                  <w:tcW w:w="1159"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泄漏</w:t>
                  </w:r>
                </w:p>
              </w:tc>
              <w:tc>
                <w:tcPr>
                  <w:tcW w:w="334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危险废物</w:t>
                  </w:r>
                  <w:r>
                    <w:rPr>
                      <w:rFonts w:hint="eastAsia" w:ascii="Times New Roman" w:hAnsi="Times New Roman" w:eastAsia="宋体" w:cs="Times New Roman"/>
                      <w:color w:val="auto"/>
                      <w:kern w:val="2"/>
                      <w:sz w:val="21"/>
                      <w:szCs w:val="21"/>
                      <w:highlight w:val="none"/>
                      <w:lang w:eastAsia="zh-CN"/>
                    </w:rPr>
                    <w:t>在</w:t>
                  </w:r>
                  <w:r>
                    <w:rPr>
                      <w:rFonts w:ascii="Times New Roman" w:hAnsi="Times New Roman" w:eastAsia="宋体" w:cs="Times New Roman"/>
                      <w:color w:val="auto"/>
                      <w:kern w:val="2"/>
                      <w:sz w:val="21"/>
                      <w:szCs w:val="21"/>
                      <w:highlight w:val="none"/>
                    </w:rPr>
                    <w:t>装卸或存储过程中可能会发生泄漏可能污染地下水，或可能由于恶劣天气影响，导致雨水渗入等</w:t>
                  </w:r>
                </w:p>
              </w:tc>
              <w:tc>
                <w:tcPr>
                  <w:tcW w:w="27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储存危险废物必须严实包装，储存场地硬底化，设置漫坡围堰，储存场地选择室内或设置遮雨措施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仓库</w:t>
                  </w:r>
                </w:p>
              </w:tc>
              <w:tc>
                <w:tcPr>
                  <w:tcW w:w="1159"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泄漏</w:t>
                  </w:r>
                </w:p>
              </w:tc>
              <w:tc>
                <w:tcPr>
                  <w:tcW w:w="334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化学品在</w:t>
                  </w:r>
                  <w:r>
                    <w:rPr>
                      <w:rFonts w:ascii="Times New Roman" w:hAnsi="Times New Roman" w:eastAsia="宋体" w:cs="Times New Roman"/>
                      <w:color w:val="auto"/>
                      <w:kern w:val="2"/>
                      <w:sz w:val="21"/>
                      <w:szCs w:val="21"/>
                      <w:highlight w:val="none"/>
                    </w:rPr>
                    <w:t>装卸或存储过程中可能会发生泄漏可能污染地下水，或可能由于恶劣天气影响，导致雨水渗入等</w:t>
                  </w:r>
                </w:p>
              </w:tc>
              <w:tc>
                <w:tcPr>
                  <w:tcW w:w="27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储存化学品必须严实包装，储存场地硬底化，设置漫坡围堰，储存场地选择室内或设置遮雨措施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废气收集排放系</w:t>
                  </w:r>
                </w:p>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统</w:t>
                  </w:r>
                </w:p>
              </w:tc>
              <w:tc>
                <w:tcPr>
                  <w:tcW w:w="1159"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废气事故排放</w:t>
                  </w:r>
                </w:p>
              </w:tc>
              <w:tc>
                <w:tcPr>
                  <w:tcW w:w="3341"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设备故障，或管道损坏，会导致</w:t>
                  </w:r>
                </w:p>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废气未经有效收集处理直接排</w:t>
                  </w:r>
                </w:p>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放，影响周边大气环境</w:t>
                  </w:r>
                </w:p>
              </w:tc>
              <w:tc>
                <w:tcPr>
                  <w:tcW w:w="27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加强检修维护，确保废气收集系统的正常运行</w:t>
                  </w:r>
                </w:p>
              </w:tc>
            </w:tr>
          </w:tbl>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四</w:t>
            </w:r>
            <w:r>
              <w:rPr>
                <w:rFonts w:ascii="Times New Roman" w:hAnsi="Times New Roman" w:eastAsia="宋体" w:cs="Times New Roman"/>
                <w:color w:val="auto"/>
                <w:kern w:val="2"/>
                <w:sz w:val="24"/>
                <w:szCs w:val="24"/>
                <w:highlight w:val="none"/>
              </w:rPr>
              <w:t>）源项分析</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风险事故类型分为火灾、爆炸和泄漏三种。结合本项目的工程特征，潜在的风险事故可以分为</w:t>
            </w:r>
            <w:r>
              <w:rPr>
                <w:rFonts w:hint="eastAsia" w:ascii="Times New Roman" w:hAnsi="Times New Roman" w:eastAsia="宋体" w:cs="Times New Roman"/>
                <w:color w:val="auto"/>
                <w:kern w:val="2"/>
                <w:sz w:val="24"/>
                <w:szCs w:val="24"/>
                <w:highlight w:val="none"/>
              </w:rPr>
              <w:t>四</w:t>
            </w:r>
            <w:r>
              <w:rPr>
                <w:rFonts w:ascii="Times New Roman" w:hAnsi="Times New Roman" w:eastAsia="宋体" w:cs="Times New Roman"/>
                <w:color w:val="auto"/>
                <w:kern w:val="2"/>
                <w:sz w:val="24"/>
                <w:szCs w:val="24"/>
                <w:highlight w:val="none"/>
              </w:rPr>
              <w:t>大类：一是有化学品的泄漏，造成环境污染；二是</w:t>
            </w:r>
            <w:r>
              <w:rPr>
                <w:rFonts w:hint="eastAsia" w:ascii="Times New Roman" w:hAnsi="Times New Roman" w:eastAsia="宋体" w:cs="Times New Roman"/>
                <w:color w:val="auto"/>
                <w:kern w:val="2"/>
                <w:sz w:val="24"/>
                <w:szCs w:val="24"/>
                <w:highlight w:val="none"/>
              </w:rPr>
              <w:t>大</w:t>
            </w:r>
            <w:r>
              <w:rPr>
                <w:rFonts w:ascii="Times New Roman" w:hAnsi="Times New Roman" w:eastAsia="宋体" w:cs="Times New Roman"/>
                <w:color w:val="auto"/>
                <w:kern w:val="2"/>
                <w:sz w:val="24"/>
                <w:szCs w:val="24"/>
                <w:highlight w:val="none"/>
              </w:rPr>
              <w:t>气污染物发生风险事故排放，造成环境污染事故；三是危险废物贮存不当引起的污染；四是因</w:t>
            </w:r>
            <w:r>
              <w:rPr>
                <w:rFonts w:hint="eastAsia" w:ascii="Times New Roman" w:hAnsi="Times New Roman" w:cs="Times New Roman"/>
                <w:color w:val="auto"/>
                <w:kern w:val="2"/>
                <w:sz w:val="24"/>
                <w:szCs w:val="24"/>
                <w:highlight w:val="none"/>
                <w:lang w:eastAsia="zh-CN"/>
              </w:rPr>
              <w:t>润滑油、天然气</w:t>
            </w:r>
            <w:r>
              <w:rPr>
                <w:rFonts w:ascii="Times New Roman" w:hAnsi="Times New Roman" w:eastAsia="宋体" w:cs="Times New Roman"/>
                <w:color w:val="auto"/>
                <w:kern w:val="2"/>
                <w:sz w:val="24"/>
                <w:szCs w:val="24"/>
                <w:highlight w:val="none"/>
              </w:rPr>
              <w:t>泄漏引起火灾，随消防废水进入市政管网或周边水体。</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五</w:t>
            </w:r>
            <w:r>
              <w:rPr>
                <w:rFonts w:ascii="Times New Roman" w:hAnsi="Times New Roman" w:eastAsia="宋体" w:cs="Times New Roman"/>
                <w:color w:val="auto"/>
                <w:kern w:val="2"/>
                <w:sz w:val="24"/>
                <w:szCs w:val="24"/>
                <w:highlight w:val="none"/>
              </w:rPr>
              <w:t>）风险防范措施</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①公司应当定期对废气收集排放系统定期进行检修维护。</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②储存化学品必须严实包装，储存场地硬底化，设置漫坡围堰，储存场地选择室内或设置遮雨措施</w:t>
            </w:r>
            <w:r>
              <w:rPr>
                <w:rFonts w:hint="eastAsia" w:ascii="Times New Roman" w:hAnsi="Times New Roman" w:eastAsia="宋体" w:cs="Times New Roman"/>
                <w:color w:val="auto"/>
                <w:kern w:val="2"/>
                <w:sz w:val="24"/>
                <w:szCs w:val="24"/>
                <w:highlight w:val="none"/>
              </w:rPr>
              <w:t>。</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hint="eastAsia" w:ascii="Times New Roman" w:hAnsi="Times New Roman" w:eastAsia="宋体" w:cs="Times New Roman"/>
                <w:color w:val="auto"/>
                <w:kern w:val="2"/>
                <w:sz w:val="24"/>
                <w:szCs w:val="24"/>
                <w:highlight w:val="none"/>
              </w:rPr>
              <w:t>③</w:t>
            </w:r>
            <w:r>
              <w:rPr>
                <w:rFonts w:ascii="Times New Roman" w:hAnsi="Times New Roman" w:eastAsia="宋体" w:cs="Times New Roman"/>
                <w:color w:val="auto"/>
                <w:kern w:val="2"/>
                <w:sz w:val="24"/>
                <w:szCs w:val="24"/>
                <w:highlight w:val="none"/>
              </w:rPr>
              <w:t>按照《危险废物贮存污染控制标准》（（GB18597-2001）及2013年修改单）对危险废物暂存场进行设计和建设，同时将危险废物交有相关资质单位处理，做好供应商的管理。同时严格按《危险废物转移联单管理办法》做好转移记录。</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六</w:t>
            </w:r>
            <w:r>
              <w:rPr>
                <w:rFonts w:ascii="Times New Roman" w:hAnsi="Times New Roman" w:eastAsia="宋体" w:cs="Times New Roman"/>
                <w:color w:val="auto"/>
                <w:kern w:val="2"/>
                <w:sz w:val="24"/>
                <w:szCs w:val="24"/>
                <w:highlight w:val="none"/>
              </w:rPr>
              <w:t>）评价小结</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项目物质不构成重大危险源</w:t>
            </w:r>
            <w:r>
              <w:rPr>
                <w:rFonts w:hint="eastAsia" w:ascii="Times New Roman" w:hAnsi="Times New Roman"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企业在落实相应风险防范和控制措施的情况下，总体环境风险可控。</w:t>
            </w:r>
          </w:p>
          <w:p>
            <w:pPr>
              <w:widowControl w:val="0"/>
              <w:spacing w:after="0" w:line="360" w:lineRule="auto"/>
              <w:ind w:firstLine="480" w:firstLineChars="200"/>
              <w:jc w:val="both"/>
              <w:rPr>
                <w:rFonts w:ascii="Times New Roman" w:hAnsi="Times New Roman" w:eastAsia="宋体" w:cs="Times New Roman"/>
                <w:color w:val="auto"/>
                <w:kern w:val="2"/>
                <w:sz w:val="24"/>
                <w:szCs w:val="24"/>
                <w:highlight w:val="none"/>
              </w:rPr>
            </w:pPr>
            <w:r>
              <w:rPr>
                <w:rFonts w:ascii="Times New Roman" w:hAnsi="Times New Roman" w:eastAsia="宋体" w:cs="Times New Roman"/>
                <w:color w:val="auto"/>
                <w:kern w:val="2"/>
                <w:sz w:val="24"/>
                <w:szCs w:val="24"/>
                <w:highlight w:val="none"/>
              </w:rPr>
              <w:t>（</w:t>
            </w:r>
            <w:r>
              <w:rPr>
                <w:rFonts w:hint="eastAsia" w:ascii="Times New Roman" w:hAnsi="Times New Roman" w:eastAsia="宋体" w:cs="Times New Roman"/>
                <w:color w:val="auto"/>
                <w:kern w:val="2"/>
                <w:sz w:val="24"/>
                <w:szCs w:val="24"/>
                <w:highlight w:val="none"/>
              </w:rPr>
              <w:t>七</w:t>
            </w:r>
            <w:r>
              <w:rPr>
                <w:rFonts w:ascii="Times New Roman" w:hAnsi="Times New Roman" w:eastAsia="宋体" w:cs="Times New Roman"/>
                <w:color w:val="auto"/>
                <w:kern w:val="2"/>
                <w:sz w:val="24"/>
                <w:szCs w:val="24"/>
                <w:highlight w:val="none"/>
              </w:rPr>
              <w:t>）建设项目环境风险简单分析内容表</w:t>
            </w:r>
          </w:p>
          <w:p>
            <w:pPr>
              <w:widowControl/>
              <w:numPr>
                <w:ilvl w:val="0"/>
                <w:numId w:val="0"/>
              </w:numPr>
              <w:tabs>
                <w:tab w:val="left" w:pos="420"/>
              </w:tabs>
              <w:adjustRightInd w:val="0"/>
              <w:snapToGrid w:val="0"/>
              <w:spacing w:after="200" w:line="240" w:lineRule="auto"/>
              <w:ind w:left="471" w:leftChars="0"/>
              <w:jc w:val="center"/>
              <w:rPr>
                <w:rFonts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 xml:space="preserve">表7-23  </w:t>
            </w:r>
            <w:r>
              <w:rPr>
                <w:rFonts w:ascii="Times New Roman" w:hAnsi="Times New Roman" w:eastAsia="宋体" w:cs="Times New Roman"/>
                <w:b/>
                <w:color w:val="auto"/>
                <w:kern w:val="0"/>
                <w:sz w:val="21"/>
                <w:szCs w:val="21"/>
                <w:highlight w:val="none"/>
                <w:lang w:val="en-US" w:eastAsia="zh-CN" w:bidi="ar-SA"/>
              </w:rPr>
              <w:t>项目环境风险简单分析内容表</w:t>
            </w:r>
          </w:p>
          <w:tbl>
            <w:tblPr>
              <w:tblStyle w:val="35"/>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1447"/>
              <w:gridCol w:w="1735"/>
              <w:gridCol w:w="1736"/>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建设项目名称</w:t>
                  </w:r>
                </w:p>
              </w:tc>
              <w:tc>
                <w:tcPr>
                  <w:tcW w:w="6654" w:type="dxa"/>
                  <w:gridSpan w:val="4"/>
                  <w:vAlign w:val="center"/>
                </w:tcPr>
                <w:p>
                  <w:pPr>
                    <w:spacing w:line="240" w:lineRule="atLeast"/>
                    <w:jc w:val="center"/>
                    <w:rPr>
                      <w:rFonts w:hint="eastAsia" w:ascii="Times New Roman" w:hAnsi="Times New Roman" w:eastAsia="宋体" w:cs="Times New Roman"/>
                      <w:color w:val="auto"/>
                      <w:kern w:val="2"/>
                      <w:sz w:val="21"/>
                      <w:szCs w:val="21"/>
                      <w:highlight w:val="none"/>
                      <w:lang w:eastAsia="zh-CN"/>
                    </w:rPr>
                  </w:pPr>
                  <w:r>
                    <w:rPr>
                      <w:rFonts w:hint="eastAsia"/>
                      <w:color w:val="auto"/>
                      <w:sz w:val="21"/>
                      <w:szCs w:val="21"/>
                      <w:highlight w:val="none"/>
                      <w:lang w:eastAsia="zh-CN"/>
                    </w:rPr>
                    <w:t>开平市水口镇海旺五金制品厂年产五金卫浴配件30吨项目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建设地点</w:t>
                  </w:r>
                </w:p>
              </w:tc>
              <w:tc>
                <w:tcPr>
                  <w:tcW w:w="6654" w:type="dxa"/>
                  <w:gridSpan w:val="4"/>
                  <w:vAlign w:val="center"/>
                </w:tcPr>
                <w:p>
                  <w:pPr>
                    <w:spacing w:line="240" w:lineRule="atLeast"/>
                    <w:jc w:val="center"/>
                    <w:rPr>
                      <w:rFonts w:ascii="Times New Roman" w:hAnsi="Times New Roman" w:eastAsia="宋体" w:cs="Times New Roman"/>
                      <w:color w:val="auto"/>
                      <w:kern w:val="2"/>
                      <w:sz w:val="21"/>
                      <w:szCs w:val="21"/>
                      <w:highlight w:val="none"/>
                    </w:rPr>
                  </w:pPr>
                  <w:r>
                    <w:rPr>
                      <w:rFonts w:hint="eastAsia"/>
                      <w:color w:val="auto"/>
                      <w:sz w:val="21"/>
                      <w:szCs w:val="21"/>
                      <w:highlight w:val="none"/>
                      <w:lang w:eastAsia="zh-CN"/>
                    </w:rPr>
                    <w:t>开平市水口镇海旺五金制品厂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地理坐标</w:t>
                  </w:r>
                </w:p>
              </w:tc>
              <w:tc>
                <w:tcPr>
                  <w:tcW w:w="1447" w:type="dxa"/>
                  <w:vAlign w:val="center"/>
                </w:tcPr>
                <w:p>
                  <w:pPr>
                    <w:pStyle w:val="86"/>
                    <w:autoSpaceDE w:val="0"/>
                    <w:autoSpaceDN w:val="0"/>
                    <w:spacing w:line="408" w:lineRule="auto"/>
                    <w:ind w:firstLine="0" w:firstLineChars="0"/>
                    <w:jc w:val="center"/>
                    <w:rPr>
                      <w:rFonts w:ascii="Times New Roman" w:hAnsi="Times New Roman" w:eastAsia="宋体" w:cs="Times New Roman"/>
                      <w:color w:val="auto"/>
                      <w:kern w:val="2"/>
                      <w:sz w:val="21"/>
                      <w:szCs w:val="21"/>
                      <w:highlight w:val="none"/>
                    </w:rPr>
                  </w:pPr>
                  <w:r>
                    <w:rPr>
                      <w:rFonts w:hint="eastAsia" w:ascii="Times New Roman" w:hAnsi="Times New Roman"/>
                      <w:color w:val="auto"/>
                      <w:kern w:val="0"/>
                      <w:sz w:val="21"/>
                      <w:szCs w:val="21"/>
                      <w:highlight w:val="none"/>
                    </w:rPr>
                    <w:t>经度</w:t>
                  </w:r>
                </w:p>
              </w:tc>
              <w:tc>
                <w:tcPr>
                  <w:tcW w:w="1735" w:type="dxa"/>
                  <w:vAlign w:val="center"/>
                </w:tcPr>
                <w:p>
                  <w:pPr>
                    <w:pStyle w:val="86"/>
                    <w:autoSpaceDE w:val="0"/>
                    <w:autoSpaceDN w:val="0"/>
                    <w:spacing w:line="408" w:lineRule="auto"/>
                    <w:ind w:firstLine="0" w:firstLineChars="0"/>
                    <w:jc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eastAsia="zh-CN"/>
                    </w:rPr>
                    <w:t>112°57'43.</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p>
              </w:tc>
              <w:tc>
                <w:tcPr>
                  <w:tcW w:w="1736" w:type="dxa"/>
                  <w:vAlign w:val="center"/>
                </w:tcPr>
                <w:p>
                  <w:pPr>
                    <w:pStyle w:val="86"/>
                    <w:autoSpaceDE w:val="0"/>
                    <w:autoSpaceDN w:val="0"/>
                    <w:spacing w:line="408" w:lineRule="auto"/>
                    <w:ind w:firstLine="0" w:firstLineChars="0"/>
                    <w:jc w:val="center"/>
                    <w:rPr>
                      <w:rFonts w:ascii="Times New Roman" w:hAnsi="Times New Roman" w:eastAsia="宋体" w:cs="Times New Roman"/>
                      <w:color w:val="auto"/>
                      <w:kern w:val="2"/>
                      <w:sz w:val="21"/>
                      <w:szCs w:val="21"/>
                      <w:highlight w:val="none"/>
                    </w:rPr>
                  </w:pPr>
                  <w:r>
                    <w:rPr>
                      <w:rFonts w:hint="eastAsia" w:ascii="Times New Roman" w:hAnsi="Times New Roman"/>
                      <w:color w:val="auto"/>
                      <w:kern w:val="0"/>
                      <w:sz w:val="21"/>
                      <w:szCs w:val="21"/>
                      <w:highlight w:val="none"/>
                    </w:rPr>
                    <w:t>纬度</w:t>
                  </w:r>
                </w:p>
              </w:tc>
              <w:tc>
                <w:tcPr>
                  <w:tcW w:w="1736" w:type="dxa"/>
                  <w:vAlign w:val="center"/>
                </w:tcPr>
                <w:p>
                  <w:pPr>
                    <w:pStyle w:val="86"/>
                    <w:autoSpaceDE w:val="0"/>
                    <w:autoSpaceDN w:val="0"/>
                    <w:spacing w:line="408" w:lineRule="auto"/>
                    <w:ind w:firstLine="0" w:firstLineChars="0"/>
                    <w:jc w:val="center"/>
                    <w:rPr>
                      <w:rFonts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eastAsia="zh-CN"/>
                    </w:rPr>
                    <w:t>22°58'1.</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主要危险物质分布</w:t>
                  </w:r>
                </w:p>
              </w:tc>
              <w:tc>
                <w:tcPr>
                  <w:tcW w:w="6654" w:type="dxa"/>
                  <w:gridSpan w:val="4"/>
                  <w:vAlign w:val="center"/>
                </w:tcPr>
                <w:p>
                  <w:pPr>
                    <w:widowControl w:val="0"/>
                    <w:spacing w:after="0" w:line="276"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eastAsia="zh-CN"/>
                    </w:rPr>
                    <w:t>润滑油</w:t>
                  </w:r>
                  <w:r>
                    <w:rPr>
                      <w:rFonts w:hint="eastAsia" w:cs="Times New Roman"/>
                      <w:color w:val="auto"/>
                      <w:kern w:val="2"/>
                      <w:sz w:val="21"/>
                      <w:szCs w:val="21"/>
                      <w:highlight w:val="none"/>
                      <w:lang w:eastAsia="zh-CN"/>
                    </w:rPr>
                    <w:t>、天然气位于仓库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环境影响途径及危害后果（大气、地表水、地下水等）</w:t>
                  </w:r>
                </w:p>
              </w:tc>
              <w:tc>
                <w:tcPr>
                  <w:tcW w:w="6654" w:type="dxa"/>
                  <w:gridSpan w:val="4"/>
                  <w:vAlign w:val="center"/>
                </w:tcPr>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①危险废物</w:t>
                  </w:r>
                  <w:r>
                    <w:rPr>
                      <w:rFonts w:hint="eastAsia" w:ascii="Times New Roman" w:hAnsi="Times New Roman" w:eastAsia="宋体" w:cs="Times New Roman"/>
                      <w:color w:val="auto"/>
                      <w:kern w:val="2"/>
                      <w:sz w:val="21"/>
                      <w:szCs w:val="21"/>
                      <w:highlight w:val="none"/>
                      <w:lang w:eastAsia="zh-CN"/>
                    </w:rPr>
                    <w:t>在</w:t>
                  </w:r>
                  <w:r>
                    <w:rPr>
                      <w:rFonts w:ascii="Times New Roman" w:hAnsi="Times New Roman" w:eastAsia="宋体" w:cs="Times New Roman"/>
                      <w:color w:val="auto"/>
                      <w:kern w:val="2"/>
                      <w:sz w:val="21"/>
                      <w:szCs w:val="21"/>
                      <w:highlight w:val="none"/>
                    </w:rPr>
                    <w:t>装卸或存储过程中可能会发生泄漏可能污染地下水，或可能由于恶劣天气影响，导致雨水渗入等</w:t>
                  </w:r>
                  <w:r>
                    <w:rPr>
                      <w:rFonts w:hint="eastAsia" w:ascii="Times New Roman" w:hAnsi="Times New Roman" w:eastAsia="宋体" w:cs="Times New Roman"/>
                      <w:color w:val="auto"/>
                      <w:kern w:val="2"/>
                      <w:sz w:val="21"/>
                      <w:szCs w:val="21"/>
                      <w:highlight w:val="none"/>
                    </w:rPr>
                    <w:t>；</w:t>
                  </w:r>
                </w:p>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②</w:t>
                  </w:r>
                  <w:r>
                    <w:rPr>
                      <w:rFonts w:hint="eastAsia" w:ascii="Times New Roman" w:hAnsi="Times New Roman" w:eastAsia="宋体" w:cs="Times New Roman"/>
                      <w:color w:val="auto"/>
                      <w:kern w:val="2"/>
                      <w:sz w:val="21"/>
                      <w:szCs w:val="21"/>
                      <w:highlight w:val="none"/>
                    </w:rPr>
                    <w:t>化学品在装卸或存储过程中</w:t>
                  </w:r>
                  <w:r>
                    <w:rPr>
                      <w:rFonts w:ascii="Times New Roman" w:hAnsi="Times New Roman" w:eastAsia="宋体" w:cs="Times New Roman"/>
                      <w:color w:val="auto"/>
                      <w:kern w:val="2"/>
                      <w:sz w:val="21"/>
                      <w:szCs w:val="21"/>
                      <w:highlight w:val="none"/>
                    </w:rPr>
                    <w:t>可能会发生泄漏可能污染地下水，或可能由于恶劣天气影响，导致雨水渗入等</w:t>
                  </w:r>
                  <w:r>
                    <w:rPr>
                      <w:rFonts w:hint="eastAsia" w:ascii="Times New Roman" w:hAnsi="Times New Roman" w:eastAsia="宋体" w:cs="Times New Roman"/>
                      <w:color w:val="auto"/>
                      <w:kern w:val="2"/>
                      <w:sz w:val="21"/>
                      <w:szCs w:val="21"/>
                      <w:highlight w:val="none"/>
                    </w:rPr>
                    <w:t>；</w:t>
                  </w:r>
                </w:p>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③设备故障，或管道损坏，会导致废气未经有效收集处理直接排放，影响周边大气环境</w:t>
                  </w:r>
                  <w:r>
                    <w:rPr>
                      <w:rFonts w:hint="eastAsia" w:ascii="Times New Roman" w:hAnsi="Times New Roman" w:eastAsia="宋体" w:cs="Times New Roman"/>
                      <w:color w:val="auto"/>
                      <w:kern w:val="2"/>
                      <w:sz w:val="21"/>
                      <w:szCs w:val="21"/>
                      <w:highlight w:val="none"/>
                    </w:rPr>
                    <w:t>；</w:t>
                  </w:r>
                </w:p>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④因</w:t>
                  </w:r>
                  <w:r>
                    <w:rPr>
                      <w:rFonts w:hint="eastAsia" w:ascii="Times New Roman" w:hAnsi="Times New Roman" w:cs="Times New Roman"/>
                      <w:color w:val="auto"/>
                      <w:kern w:val="2"/>
                      <w:sz w:val="21"/>
                      <w:szCs w:val="21"/>
                      <w:highlight w:val="none"/>
                      <w:lang w:eastAsia="zh-CN"/>
                    </w:rPr>
                    <w:t>润滑油、天然气</w:t>
                  </w:r>
                  <w:r>
                    <w:rPr>
                      <w:rFonts w:ascii="Times New Roman" w:hAnsi="Times New Roman" w:eastAsia="宋体" w:cs="Times New Roman"/>
                      <w:color w:val="auto"/>
                      <w:kern w:val="2"/>
                      <w:sz w:val="21"/>
                      <w:szCs w:val="21"/>
                      <w:highlight w:val="none"/>
                    </w:rPr>
                    <w:t>泄漏引起火灾，随消防废水进入市政管网或周边水体。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风险防范措施要求</w:t>
                  </w:r>
                </w:p>
              </w:tc>
              <w:tc>
                <w:tcPr>
                  <w:tcW w:w="6654" w:type="dxa"/>
                  <w:gridSpan w:val="4"/>
                  <w:vAlign w:val="center"/>
                </w:tcPr>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①储存危险废物必须严实包装，储存场地硬底化，设置漫坡围堰，储存场地选择室内或设置遮雨措施</w:t>
                  </w:r>
                </w:p>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②储存化学品必须严实包装，储存场地硬底化，设置漫坡围堰，储存场地选择室内或设置遮雨措施</w:t>
                  </w:r>
                </w:p>
                <w:p>
                  <w:pPr>
                    <w:widowControl w:val="0"/>
                    <w:spacing w:after="0" w:line="276"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③加强检修维护，确保废气收集系统的正常运行。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225"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填表说明（列出项目相关信息及评价说明）</w:t>
                  </w:r>
                </w:p>
              </w:tc>
              <w:tc>
                <w:tcPr>
                  <w:tcW w:w="6654" w:type="dxa"/>
                  <w:gridSpan w:val="4"/>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tc>
            </w:tr>
          </w:tbl>
          <w:p>
            <w:pPr>
              <w:autoSpaceDE w:val="0"/>
              <w:autoSpaceDN w:val="0"/>
              <w:adjustRightInd w:val="0"/>
              <w:spacing w:line="360" w:lineRule="auto"/>
              <w:ind w:left="420" w:leftChars="200"/>
              <w:jc w:val="left"/>
              <w:rPr>
                <w:rFonts w:ascii="Times New Roman" w:hAnsi="Times New Roman"/>
                <w:b/>
                <w:bCs/>
                <w:color w:val="auto"/>
                <w:sz w:val="24"/>
                <w:highlight w:val="none"/>
              </w:rPr>
            </w:pPr>
            <w:r>
              <w:rPr>
                <w:rFonts w:hint="eastAsia"/>
                <w:b/>
                <w:bCs/>
                <w:color w:val="auto"/>
                <w:sz w:val="24"/>
                <w:highlight w:val="none"/>
                <w:lang w:val="en-US" w:eastAsia="zh-CN"/>
              </w:rPr>
              <w:t>7</w:t>
            </w:r>
            <w:r>
              <w:rPr>
                <w:rFonts w:hint="eastAsia" w:ascii="Times New Roman" w:hAnsi="Times New Roman"/>
                <w:b/>
                <w:bCs/>
                <w:color w:val="auto"/>
                <w:sz w:val="24"/>
                <w:highlight w:val="none"/>
              </w:rPr>
              <w:t>、环境监测计划</w:t>
            </w:r>
          </w:p>
          <w:p>
            <w:pPr>
              <w:widowControl w:val="0"/>
              <w:spacing w:after="0" w:line="360" w:lineRule="auto"/>
              <w:ind w:firstLine="480" w:firstLineChars="200"/>
              <w:jc w:val="left"/>
              <w:rPr>
                <w:rFonts w:ascii="Times New Roman" w:hAnsi="Times New Roman" w:eastAsia="宋体" w:cs="Times New Roman"/>
                <w:color w:val="auto"/>
                <w:kern w:val="2"/>
                <w:sz w:val="21"/>
                <w:szCs w:val="24"/>
                <w:highlight w:val="none"/>
              </w:rPr>
            </w:pPr>
            <w:r>
              <w:rPr>
                <w:rFonts w:ascii="Times New Roman" w:hAnsi="Times New Roman" w:eastAsia="宋体" w:cs="Times New Roman"/>
                <w:color w:val="auto"/>
                <w:kern w:val="2"/>
                <w:sz w:val="24"/>
                <w:szCs w:val="24"/>
                <w:highlight w:val="none"/>
              </w:rPr>
              <w:t>为了及时反映企业排污状况，提供环境管理和污染防治的依据，必须认真落实环境监测工作。开展此工作的环境监测机构，除环保行政主管部门的环境监测站对项目的排污状况和处理设施进行监督性监测、技术指导和考核外，建设单位应设立人员负责开展常规性的工作。根据《排污单位自行监测技术指南总则》（HJ819-2017）相关要求以及针对本项目的特点和环境管理的要求，对气、声等环境要素分别制订出环境监测计划。</w:t>
            </w:r>
          </w:p>
          <w:p>
            <w:pPr>
              <w:widowControl/>
              <w:numPr>
                <w:ilvl w:val="0"/>
                <w:numId w:val="0"/>
              </w:numPr>
              <w:tabs>
                <w:tab w:val="left" w:pos="420"/>
              </w:tabs>
              <w:adjustRightInd w:val="0"/>
              <w:snapToGrid w:val="0"/>
              <w:spacing w:after="0" w:line="360" w:lineRule="auto"/>
              <w:ind w:left="471" w:leftChars="0"/>
              <w:jc w:val="center"/>
              <w:rPr>
                <w:rFonts w:ascii="Times New Roman" w:hAnsi="Times New Roman" w:eastAsia="宋体" w:cs="Times New Roman"/>
                <w:b/>
                <w:bCs/>
                <w:color w:val="auto"/>
                <w:kern w:val="0"/>
                <w:sz w:val="21"/>
                <w:szCs w:val="21"/>
                <w:highlight w:val="none"/>
              </w:rPr>
            </w:pPr>
            <w:r>
              <w:rPr>
                <w:rFonts w:hint="eastAsia" w:cs="Times New Roman"/>
                <w:b/>
                <w:bCs/>
                <w:color w:val="auto"/>
                <w:kern w:val="0"/>
                <w:sz w:val="21"/>
                <w:szCs w:val="21"/>
                <w:highlight w:val="none"/>
                <w:lang w:eastAsia="zh-CN"/>
              </w:rPr>
              <w:t>表</w:t>
            </w:r>
            <w:r>
              <w:rPr>
                <w:rFonts w:hint="eastAsia" w:cs="Times New Roman"/>
                <w:b/>
                <w:bCs/>
                <w:color w:val="auto"/>
                <w:kern w:val="0"/>
                <w:sz w:val="21"/>
                <w:szCs w:val="21"/>
                <w:highlight w:val="none"/>
                <w:lang w:val="en-US" w:eastAsia="zh-CN"/>
              </w:rPr>
              <w:t xml:space="preserve">7-24  </w:t>
            </w:r>
            <w:r>
              <w:rPr>
                <w:rFonts w:ascii="Times New Roman" w:hAnsi="Times New Roman" w:eastAsia="宋体" w:cs="Times New Roman"/>
                <w:b/>
                <w:bCs/>
                <w:color w:val="auto"/>
                <w:kern w:val="0"/>
                <w:sz w:val="21"/>
                <w:szCs w:val="21"/>
                <w:highlight w:val="none"/>
              </w:rPr>
              <w:t>环境监测计划及记录信息表</w:t>
            </w:r>
          </w:p>
          <w:tbl>
            <w:tblPr>
              <w:tblStyle w:val="34"/>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448"/>
              <w:gridCol w:w="1466"/>
              <w:gridCol w:w="1350"/>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污染物</w:t>
                  </w:r>
                </w:p>
              </w:tc>
              <w:tc>
                <w:tcPr>
                  <w:tcW w:w="1448"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监测点位</w:t>
                  </w:r>
                </w:p>
              </w:tc>
              <w:tc>
                <w:tcPr>
                  <w:tcW w:w="1466"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检测指标</w:t>
                  </w:r>
                </w:p>
              </w:tc>
              <w:tc>
                <w:tcPr>
                  <w:tcW w:w="1350"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监测频次</w:t>
                  </w:r>
                </w:p>
              </w:tc>
              <w:tc>
                <w:tcPr>
                  <w:tcW w:w="3967"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废气</w:t>
                  </w:r>
                </w:p>
              </w:tc>
              <w:tc>
                <w:tcPr>
                  <w:tcW w:w="1448" w:type="dxa"/>
                  <w:shd w:val="clear" w:color="auto" w:fill="auto"/>
                  <w:vAlign w:val="center"/>
                </w:tcPr>
                <w:p>
                  <w:pPr>
                    <w:widowControl w:val="0"/>
                    <w:autoSpaceDE w:val="0"/>
                    <w:autoSpaceDN w:val="0"/>
                    <w:adjustRightInd w:val="0"/>
                    <w:spacing w:after="200" w:line="276"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G1</w:t>
                  </w:r>
                  <w:r>
                    <w:rPr>
                      <w:rFonts w:hint="eastAsia" w:cs="Times New Roman"/>
                      <w:color w:val="auto"/>
                      <w:kern w:val="2"/>
                      <w:sz w:val="21"/>
                      <w:szCs w:val="21"/>
                      <w:highlight w:val="none"/>
                      <w:lang w:val="en-US" w:eastAsia="zh-CN" w:bidi="ar-SA"/>
                    </w:rPr>
                    <w:t>锻压</w:t>
                  </w:r>
                  <w:r>
                    <w:rPr>
                      <w:rFonts w:ascii="Times New Roman" w:hAnsi="Times New Roman" w:eastAsia="宋体" w:cs="Times New Roman"/>
                      <w:color w:val="auto"/>
                      <w:kern w:val="2"/>
                      <w:sz w:val="21"/>
                      <w:szCs w:val="21"/>
                      <w:highlight w:val="none"/>
                      <w:lang w:val="en-US" w:eastAsia="zh-CN" w:bidi="ar-SA"/>
                    </w:rPr>
                    <w:t>工序排气口</w:t>
                  </w:r>
                </w:p>
              </w:tc>
              <w:tc>
                <w:tcPr>
                  <w:tcW w:w="1466"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w:t>
                  </w:r>
                </w:p>
              </w:tc>
              <w:tc>
                <w:tcPr>
                  <w:tcW w:w="1350"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每年一次</w:t>
                  </w:r>
                </w:p>
              </w:tc>
              <w:tc>
                <w:tcPr>
                  <w:tcW w:w="3967"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广东省地方标准《大气污染物排放限值》（DB44/27-2001）中第二时段二级标准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p>
              </w:tc>
              <w:tc>
                <w:tcPr>
                  <w:tcW w:w="1448" w:type="dxa"/>
                  <w:shd w:val="clear" w:color="auto" w:fill="auto"/>
                  <w:vAlign w:val="center"/>
                </w:tcPr>
                <w:p>
                  <w:pPr>
                    <w:widowControl/>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G2</w:t>
                  </w:r>
                  <w:r>
                    <w:rPr>
                      <w:rFonts w:ascii="Times New Roman" w:hAnsi="Times New Roman" w:eastAsia="宋体" w:cs="Times New Roman"/>
                      <w:color w:val="auto"/>
                      <w:kern w:val="24"/>
                      <w:sz w:val="21"/>
                      <w:szCs w:val="21"/>
                      <w:highlight w:val="none"/>
                    </w:rPr>
                    <w:t>燃料废气排气口</w:t>
                  </w:r>
                </w:p>
              </w:tc>
              <w:tc>
                <w:tcPr>
                  <w:tcW w:w="1466" w:type="dxa"/>
                  <w:shd w:val="clear" w:color="auto" w:fill="auto"/>
                  <w:vAlign w:val="center"/>
                </w:tcPr>
                <w:p>
                  <w:pPr>
                    <w:widowControl w:val="0"/>
                    <w:spacing w:after="0" w:line="276" w:lineRule="auto"/>
                    <w:jc w:val="center"/>
                    <w:rPr>
                      <w:rFonts w:hint="default" w:ascii="Times New Roman" w:hAnsi="Times New Roman" w:eastAsia="宋体" w:cs="Times New Roman"/>
                      <w:color w:val="auto"/>
                      <w:kern w:val="2"/>
                      <w:sz w:val="21"/>
                      <w:szCs w:val="21"/>
                      <w:highlight w:val="none"/>
                      <w:lang w:val="en-US" w:eastAsia="zh-CN"/>
                    </w:rPr>
                  </w:pPr>
                  <w:r>
                    <w:rPr>
                      <w:rFonts w:ascii="Times New Roman" w:hAnsi="Times New Roman" w:eastAsia="宋体" w:cs="Times New Roman"/>
                      <w:color w:val="auto"/>
                      <w:kern w:val="24"/>
                      <w:sz w:val="21"/>
                      <w:szCs w:val="21"/>
                      <w:highlight w:val="none"/>
                    </w:rPr>
                    <w:t>SO</w:t>
                  </w:r>
                  <w:r>
                    <w:rPr>
                      <w:rFonts w:ascii="Times New Roman" w:hAnsi="Times New Roman" w:eastAsia="宋体" w:cs="Times New Roman"/>
                      <w:color w:val="auto"/>
                      <w:kern w:val="24"/>
                      <w:sz w:val="21"/>
                      <w:szCs w:val="21"/>
                      <w:highlight w:val="none"/>
                      <w:vertAlign w:val="subscript"/>
                    </w:rPr>
                    <w:t>2</w:t>
                  </w:r>
                  <w:r>
                    <w:rPr>
                      <w:rFonts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4"/>
                      <w:sz w:val="21"/>
                      <w:szCs w:val="21"/>
                      <w:highlight w:val="none"/>
                    </w:rPr>
                    <w:t>NO</w:t>
                  </w:r>
                  <w:r>
                    <w:rPr>
                      <w:rFonts w:ascii="Times New Roman" w:hAnsi="Times New Roman" w:eastAsia="宋体" w:cs="Times New Roman"/>
                      <w:color w:val="auto"/>
                      <w:kern w:val="2"/>
                      <w:sz w:val="21"/>
                      <w:szCs w:val="21"/>
                      <w:highlight w:val="none"/>
                    </w:rPr>
                    <w:t>x、</w:t>
                  </w:r>
                  <w:r>
                    <w:rPr>
                      <w:rFonts w:hint="eastAsia" w:cs="Times New Roman"/>
                      <w:color w:val="auto"/>
                      <w:kern w:val="24"/>
                      <w:sz w:val="21"/>
                      <w:szCs w:val="21"/>
                      <w:highlight w:val="none"/>
                      <w:lang w:val="en-US" w:eastAsia="zh-CN"/>
                    </w:rPr>
                    <w:t>PM</w:t>
                  </w:r>
                  <w:r>
                    <w:rPr>
                      <w:rFonts w:hint="eastAsia" w:cs="Times New Roman"/>
                      <w:color w:val="auto"/>
                      <w:kern w:val="24"/>
                      <w:sz w:val="21"/>
                      <w:szCs w:val="21"/>
                      <w:highlight w:val="none"/>
                      <w:vertAlign w:val="subscript"/>
                      <w:lang w:val="en-US" w:eastAsia="zh-CN"/>
                    </w:rPr>
                    <w:t>10</w:t>
                  </w:r>
                </w:p>
              </w:tc>
              <w:tc>
                <w:tcPr>
                  <w:tcW w:w="1350"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每年一次</w:t>
                  </w:r>
                </w:p>
              </w:tc>
              <w:tc>
                <w:tcPr>
                  <w:tcW w:w="3967" w:type="dxa"/>
                  <w:shd w:val="clear" w:color="auto" w:fill="auto"/>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ascii="Times New Roman" w:hAnsi="Times New Roman" w:eastAsia="宋体" w:cs="Times New Roman"/>
                      <w:color w:val="auto"/>
                      <w:kern w:val="24"/>
                      <w:sz w:val="21"/>
                      <w:szCs w:val="21"/>
                      <w:highlight w:val="none"/>
                    </w:rPr>
                    <w:t>SO</w:t>
                  </w:r>
                  <w:r>
                    <w:rPr>
                      <w:rFonts w:ascii="Times New Roman" w:hAnsi="Times New Roman" w:eastAsia="宋体" w:cs="Times New Roman"/>
                      <w:color w:val="auto"/>
                      <w:kern w:val="24"/>
                      <w:sz w:val="21"/>
                      <w:szCs w:val="21"/>
                      <w:highlight w:val="none"/>
                      <w:vertAlign w:val="subscript"/>
                    </w:rPr>
                    <w:t>2</w:t>
                  </w:r>
                  <w:r>
                    <w:rPr>
                      <w:rFonts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4"/>
                      <w:sz w:val="21"/>
                      <w:szCs w:val="21"/>
                      <w:highlight w:val="none"/>
                    </w:rPr>
                    <w:t>NO</w:t>
                  </w:r>
                  <w:r>
                    <w:rPr>
                      <w:rFonts w:ascii="Times New Roman" w:hAnsi="Times New Roman" w:eastAsia="宋体" w:cs="Times New Roman"/>
                      <w:color w:val="auto"/>
                      <w:kern w:val="2"/>
                      <w:sz w:val="21"/>
                      <w:szCs w:val="21"/>
                      <w:highlight w:val="none"/>
                    </w:rPr>
                    <w:t>x</w:t>
                  </w:r>
                  <w:r>
                    <w:rPr>
                      <w:rFonts w:hint="eastAsia" w:cs="Times New Roman"/>
                      <w:color w:val="auto"/>
                      <w:kern w:val="2"/>
                      <w:sz w:val="21"/>
                      <w:szCs w:val="21"/>
                      <w:highlight w:val="none"/>
                      <w:lang w:eastAsia="zh-CN"/>
                    </w:rPr>
                    <w:t>执行</w:t>
                  </w:r>
                  <w:r>
                    <w:rPr>
                      <w:rFonts w:ascii="Times New Roman" w:hAnsi="Times New Roman" w:eastAsia="宋体" w:cs="Times New Roman"/>
                      <w:color w:val="auto"/>
                      <w:kern w:val="2"/>
                      <w:sz w:val="21"/>
                      <w:szCs w:val="21"/>
                      <w:highlight w:val="none"/>
                    </w:rPr>
                    <w:t>广东省地方标准《大气污染物排放限值》（DB44/27-2001）中第二时段二级标准</w:t>
                  </w:r>
                  <w:r>
                    <w:rPr>
                      <w:rFonts w:hint="eastAsia" w:cs="Times New Roman"/>
                      <w:color w:val="auto"/>
                      <w:kern w:val="2"/>
                      <w:sz w:val="21"/>
                      <w:szCs w:val="21"/>
                      <w:highlight w:val="none"/>
                      <w:lang w:eastAsia="zh-CN"/>
                    </w:rPr>
                    <w:t>、烟尘执行《工业炉窑大气污染物排放标准》表2</w:t>
                  </w:r>
                  <w:r>
                    <w:rPr>
                      <w:rFonts w:hint="eastAsia" w:cs="Times New Roman"/>
                      <w:color w:val="auto"/>
                      <w:kern w:val="2"/>
                      <w:sz w:val="21"/>
                      <w:szCs w:val="21"/>
                      <w:highlight w:val="none"/>
                      <w:lang w:val="en-US" w:eastAsia="zh-CN"/>
                    </w:rPr>
                    <w:t>“</w:t>
                  </w:r>
                  <w:r>
                    <w:rPr>
                      <w:rFonts w:hint="eastAsia" w:cs="Times New Roman"/>
                      <w:color w:val="auto"/>
                      <w:kern w:val="2"/>
                      <w:sz w:val="21"/>
                      <w:szCs w:val="21"/>
                      <w:highlight w:val="none"/>
                      <w:lang w:eastAsia="zh-CN"/>
                    </w:rPr>
                    <w:t>金属压延、锻造加热炉</w:t>
                  </w:r>
                  <w:r>
                    <w:rPr>
                      <w:rFonts w:hint="eastAsia" w:cs="Times New Roman"/>
                      <w:color w:val="auto"/>
                      <w:kern w:val="2"/>
                      <w:sz w:val="21"/>
                      <w:szCs w:val="21"/>
                      <w:highlight w:val="none"/>
                      <w:lang w:val="en-US" w:eastAsia="zh-CN"/>
                    </w:rPr>
                    <w:t>”</w:t>
                  </w:r>
                  <w:r>
                    <w:rPr>
                      <w:rFonts w:hint="eastAsia" w:cs="Times New Roman"/>
                      <w:color w:val="auto"/>
                      <w:kern w:val="2"/>
                      <w:sz w:val="21"/>
                      <w:szCs w:val="21"/>
                      <w:highlight w:val="none"/>
                      <w:lang w:eastAsia="zh-CN"/>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p>
              </w:tc>
              <w:tc>
                <w:tcPr>
                  <w:tcW w:w="1448"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厂界上风向1个，下风向3个</w:t>
                  </w:r>
                </w:p>
              </w:tc>
              <w:tc>
                <w:tcPr>
                  <w:tcW w:w="1466"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非甲烷总烃、TSP</w:t>
                  </w:r>
                </w:p>
              </w:tc>
              <w:tc>
                <w:tcPr>
                  <w:tcW w:w="1350"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每年一次</w:t>
                  </w:r>
                </w:p>
              </w:tc>
              <w:tc>
                <w:tcPr>
                  <w:tcW w:w="3967"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广东省地方标准《大气污染物排放限值》（DB44/ 27-2001）第二时段无组织排放监控浓度限值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67" w:type="dxa"/>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废水</w:t>
                  </w:r>
                </w:p>
              </w:tc>
              <w:tc>
                <w:tcPr>
                  <w:tcW w:w="1448"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生活污水处理设施出口</w:t>
                  </w:r>
                </w:p>
              </w:tc>
              <w:tc>
                <w:tcPr>
                  <w:tcW w:w="1466"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COD</w:t>
                  </w:r>
                  <w:r>
                    <w:rPr>
                      <w:rFonts w:ascii="Times New Roman" w:hAnsi="Times New Roman" w:eastAsia="宋体" w:cs="Times New Roman"/>
                      <w:color w:val="auto"/>
                      <w:kern w:val="2"/>
                      <w:sz w:val="21"/>
                      <w:szCs w:val="21"/>
                      <w:highlight w:val="none"/>
                      <w:vertAlign w:val="subscript"/>
                    </w:rPr>
                    <w:t>cr</w:t>
                  </w:r>
                  <w:r>
                    <w:rPr>
                      <w:rFonts w:ascii="Times New Roman" w:hAnsi="Times New Roman" w:eastAsia="宋体" w:cs="Times New Roman"/>
                      <w:color w:val="auto"/>
                      <w:kern w:val="2"/>
                      <w:sz w:val="21"/>
                      <w:szCs w:val="21"/>
                      <w:highlight w:val="none"/>
                    </w:rPr>
                    <w:t>、BOD</w:t>
                  </w:r>
                  <w:r>
                    <w:rPr>
                      <w:rFonts w:ascii="Times New Roman" w:hAnsi="Times New Roman" w:eastAsia="宋体" w:cs="Times New Roman"/>
                      <w:color w:val="auto"/>
                      <w:kern w:val="2"/>
                      <w:sz w:val="21"/>
                      <w:szCs w:val="21"/>
                      <w:highlight w:val="none"/>
                      <w:vertAlign w:val="subscript"/>
                    </w:rPr>
                    <w:t>5</w:t>
                  </w:r>
                  <w:r>
                    <w:rPr>
                      <w:rFonts w:ascii="Times New Roman" w:hAnsi="Times New Roman" w:eastAsia="宋体" w:cs="Times New Roman"/>
                      <w:color w:val="auto"/>
                      <w:kern w:val="2"/>
                      <w:sz w:val="21"/>
                      <w:szCs w:val="21"/>
                      <w:highlight w:val="none"/>
                    </w:rPr>
                    <w:t>、SS、NH</w:t>
                  </w:r>
                  <w:r>
                    <w:rPr>
                      <w:rFonts w:ascii="Times New Roman" w:hAnsi="Times New Roman" w:eastAsia="宋体" w:cs="Times New Roman"/>
                      <w:color w:val="auto"/>
                      <w:kern w:val="2"/>
                      <w:sz w:val="21"/>
                      <w:szCs w:val="21"/>
                      <w:highlight w:val="none"/>
                      <w:vertAlign w:val="subscript"/>
                    </w:rPr>
                    <w:t>3</w:t>
                  </w:r>
                  <w:r>
                    <w:rPr>
                      <w:rFonts w:ascii="Times New Roman" w:hAnsi="Times New Roman" w:eastAsia="宋体" w:cs="Times New Roman"/>
                      <w:color w:val="auto"/>
                      <w:kern w:val="2"/>
                      <w:sz w:val="21"/>
                      <w:szCs w:val="21"/>
                      <w:highlight w:val="none"/>
                    </w:rPr>
                    <w:t>-N</w:t>
                  </w:r>
                </w:p>
              </w:tc>
              <w:tc>
                <w:tcPr>
                  <w:tcW w:w="1350"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每年一次</w:t>
                  </w:r>
                </w:p>
              </w:tc>
              <w:tc>
                <w:tcPr>
                  <w:tcW w:w="3967" w:type="dxa"/>
                  <w:shd w:val="clear" w:color="auto" w:fill="auto"/>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广东省地方标准《水污染物排放限值》（DB44/26-2001）第二时段三级标准和</w:t>
                  </w:r>
                  <w:r>
                    <w:rPr>
                      <w:rFonts w:hint="eastAsia" w:ascii="Times New Roman" w:hAnsi="Times New Roman" w:eastAsia="宋体" w:cs="Times New Roman"/>
                      <w:color w:val="auto"/>
                      <w:kern w:val="2"/>
                      <w:sz w:val="21"/>
                      <w:szCs w:val="21"/>
                      <w:highlight w:val="none"/>
                      <w:lang w:eastAsia="zh-CN"/>
                    </w:rPr>
                    <w:t>《污水排入城镇下水道水质标准》(GB/T31962-2015 )B级标准</w:t>
                  </w:r>
                  <w:r>
                    <w:rPr>
                      <w:rFonts w:ascii="Times New Roman" w:hAnsi="Times New Roman" w:eastAsia="宋体" w:cs="Times New Roman"/>
                      <w:color w:val="auto"/>
                      <w:kern w:val="2"/>
                      <w:sz w:val="21"/>
                      <w:szCs w:val="21"/>
                      <w:highlight w:val="none"/>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噪声</w:t>
                  </w:r>
                </w:p>
              </w:tc>
              <w:tc>
                <w:tcPr>
                  <w:tcW w:w="1448"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厂界四周</w:t>
                  </w:r>
                </w:p>
              </w:tc>
              <w:tc>
                <w:tcPr>
                  <w:tcW w:w="1466"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等效连续A声级</w:t>
                  </w:r>
                </w:p>
              </w:tc>
              <w:tc>
                <w:tcPr>
                  <w:tcW w:w="1350"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每年一次</w:t>
                  </w:r>
                </w:p>
              </w:tc>
              <w:tc>
                <w:tcPr>
                  <w:tcW w:w="3967" w:type="dxa"/>
                  <w:shd w:val="clear" w:color="auto" w:fill="auto"/>
                  <w:vAlign w:val="center"/>
                </w:tcPr>
                <w:p>
                  <w:pPr>
                    <w:widowControl w:val="0"/>
                    <w:spacing w:after="0" w:line="27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《工业企业厂界环境噪声排放标准》(GB12348</w:t>
                  </w:r>
                  <w:r>
                    <w:rPr>
                      <w:rFonts w:hint="eastAsia"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
                      <w:sz w:val="21"/>
                      <w:szCs w:val="21"/>
                      <w:highlight w:val="none"/>
                    </w:rPr>
                    <w:t>2008)</w:t>
                  </w:r>
                  <w:r>
                    <w:rPr>
                      <w:rFonts w:hint="eastAsia" w:cs="Times New Roman"/>
                      <w:color w:val="auto"/>
                      <w:kern w:val="2"/>
                      <w:sz w:val="21"/>
                      <w:szCs w:val="21"/>
                      <w:highlight w:val="none"/>
                      <w:lang w:val="en-US" w:eastAsia="zh-CN"/>
                    </w:rPr>
                    <w:t>2</w:t>
                  </w:r>
                  <w:r>
                    <w:rPr>
                      <w:rFonts w:hint="eastAsia" w:ascii="Times New Roman" w:hAnsi="Times New Roman" w:cs="Times New Roman"/>
                      <w:color w:val="auto"/>
                      <w:kern w:val="2"/>
                      <w:sz w:val="21"/>
                      <w:szCs w:val="21"/>
                      <w:highlight w:val="none"/>
                      <w:lang w:eastAsia="zh-CN"/>
                    </w:rPr>
                    <w:t>类</w:t>
                  </w:r>
                  <w:r>
                    <w:rPr>
                      <w:rFonts w:ascii="Times New Roman" w:hAnsi="Times New Roman" w:eastAsia="宋体" w:cs="Times New Roman"/>
                      <w:color w:val="auto"/>
                      <w:kern w:val="2"/>
                      <w:sz w:val="21"/>
                      <w:szCs w:val="21"/>
                      <w:highlight w:val="none"/>
                    </w:rPr>
                    <w:t>标准</w:t>
                  </w:r>
                </w:p>
              </w:tc>
            </w:tr>
          </w:tbl>
          <w:p>
            <w:pPr>
              <w:spacing w:line="360" w:lineRule="auto"/>
              <w:ind w:firstLine="482" w:firstLineChars="200"/>
              <w:rPr>
                <w:rFonts w:ascii="Times New Roman" w:hAnsi="Times New Roman"/>
                <w:b/>
                <w:color w:val="auto"/>
                <w:sz w:val="24"/>
                <w:highlight w:val="none"/>
              </w:rPr>
            </w:pPr>
            <w:r>
              <w:rPr>
                <w:rFonts w:hint="eastAsia"/>
                <w:b/>
                <w:color w:val="auto"/>
                <w:sz w:val="24"/>
                <w:highlight w:val="none"/>
                <w:lang w:val="en-US" w:eastAsia="zh-CN"/>
              </w:rPr>
              <w:t>8</w:t>
            </w:r>
            <w:r>
              <w:rPr>
                <w:rFonts w:hint="eastAsia" w:ascii="Times New Roman" w:hAnsi="Times New Roman"/>
                <w:b/>
                <w:color w:val="auto"/>
                <w:sz w:val="24"/>
                <w:highlight w:val="none"/>
              </w:rPr>
              <w:t>、环保措施分析</w:t>
            </w:r>
            <w:bookmarkEnd w:id="75"/>
            <w:bookmarkEnd w:id="76"/>
            <w:bookmarkEnd w:id="77"/>
          </w:p>
          <w:p>
            <w:pPr>
              <w:spacing w:line="520" w:lineRule="exact"/>
              <w:rPr>
                <w:rFonts w:ascii="Times New Roman" w:hAnsi="Times New Roman"/>
                <w:color w:val="auto"/>
                <w:sz w:val="24"/>
                <w:highlight w:val="none"/>
              </w:rPr>
            </w:pPr>
            <w:r>
              <w:rPr>
                <w:rFonts w:hint="eastAsia" w:ascii="Times New Roman" w:hAnsi="Times New Roman"/>
                <w:color w:val="auto"/>
                <w:sz w:val="24"/>
                <w:highlight w:val="none"/>
              </w:rPr>
              <w:t>污染防治设施投资</w:t>
            </w:r>
          </w:p>
          <w:p>
            <w:pPr>
              <w:pStyle w:val="46"/>
              <w:ind w:firstLine="480"/>
              <w:rPr>
                <w:rFonts w:ascii="Times New Roman" w:hAnsi="Times New Roman"/>
                <w:color w:val="auto"/>
                <w:sz w:val="24"/>
                <w:highlight w:val="none"/>
              </w:rPr>
            </w:pPr>
            <w:r>
              <w:rPr>
                <w:rFonts w:hint="eastAsia" w:ascii="Times New Roman" w:hAnsi="Times New Roman"/>
                <w:color w:val="auto"/>
                <w:sz w:val="24"/>
                <w:highlight w:val="none"/>
              </w:rPr>
              <w:t>项目总投资</w:t>
            </w:r>
            <w:r>
              <w:rPr>
                <w:rFonts w:hint="eastAsia"/>
                <w:color w:val="auto"/>
                <w:sz w:val="24"/>
                <w:highlight w:val="none"/>
                <w:lang w:val="en-US" w:eastAsia="zh-CN"/>
              </w:rPr>
              <w:t>50</w:t>
            </w:r>
            <w:r>
              <w:rPr>
                <w:rFonts w:hint="eastAsia" w:ascii="Times New Roman" w:hAnsi="Times New Roman"/>
                <w:color w:val="auto"/>
                <w:sz w:val="24"/>
                <w:highlight w:val="none"/>
              </w:rPr>
              <w:t>万，其中环保投资</w:t>
            </w:r>
            <w:r>
              <w:rPr>
                <w:rFonts w:hint="eastAsia"/>
                <w:color w:val="auto"/>
                <w:sz w:val="24"/>
                <w:highlight w:val="none"/>
                <w:lang w:val="en-US" w:eastAsia="zh-CN"/>
              </w:rPr>
              <w:t>11</w:t>
            </w:r>
            <w:r>
              <w:rPr>
                <w:rFonts w:hint="eastAsia" w:ascii="Times New Roman" w:hAnsi="Times New Roman"/>
                <w:color w:val="auto"/>
                <w:sz w:val="24"/>
                <w:highlight w:val="none"/>
              </w:rPr>
              <w:t>万，投资比例为</w:t>
            </w:r>
            <w:r>
              <w:rPr>
                <w:rFonts w:hint="eastAsia"/>
                <w:color w:val="auto"/>
                <w:sz w:val="24"/>
                <w:highlight w:val="none"/>
                <w:lang w:val="en-US" w:eastAsia="zh-CN"/>
              </w:rPr>
              <w:t>22</w:t>
            </w:r>
            <w:r>
              <w:rPr>
                <w:rFonts w:ascii="Times New Roman" w:hAnsi="Times New Roman"/>
                <w:color w:val="auto"/>
                <w:sz w:val="24"/>
                <w:highlight w:val="none"/>
              </w:rPr>
              <w:t>%</w:t>
            </w:r>
            <w:r>
              <w:rPr>
                <w:rFonts w:hint="eastAsia" w:ascii="Times New Roman" w:hAnsi="Times New Roman"/>
                <w:color w:val="auto"/>
                <w:sz w:val="24"/>
                <w:highlight w:val="none"/>
              </w:rPr>
              <w:t>。环境保护投资包括废水处理、废气收集、固体废物处理等投资，本项目环保投资估算见</w:t>
            </w:r>
            <w:r>
              <w:rPr>
                <w:rFonts w:hint="eastAsia"/>
                <w:color w:val="auto"/>
                <w:sz w:val="24"/>
                <w:highlight w:val="none"/>
                <w:lang w:eastAsia="zh-CN"/>
              </w:rPr>
              <w:t>下表</w:t>
            </w:r>
            <w:r>
              <w:rPr>
                <w:rFonts w:hint="eastAsia" w:ascii="Times New Roman" w:hAnsi="Times New Roman"/>
                <w:color w:val="auto"/>
                <w:sz w:val="24"/>
                <w:highlight w:val="none"/>
              </w:rPr>
              <w:t>。</w:t>
            </w:r>
          </w:p>
          <w:p>
            <w:pPr>
              <w:widowControl/>
              <w:spacing w:line="360" w:lineRule="auto"/>
              <w:ind w:firstLine="422" w:firstLineChars="200"/>
              <w:jc w:val="center"/>
              <w:rPr>
                <w:rFonts w:ascii="Times New Roman" w:hAnsi="Times New Roman"/>
                <w:b/>
                <w:color w:val="auto"/>
                <w:highlight w:val="none"/>
              </w:rPr>
            </w:pPr>
            <w:bookmarkStart w:id="92" w:name="OLE_LINK55"/>
            <w:r>
              <w:rPr>
                <w:rFonts w:hint="eastAsia" w:ascii="Times New Roman" w:hAnsi="Times New Roman"/>
                <w:b/>
                <w:color w:val="auto"/>
                <w:highlight w:val="none"/>
              </w:rPr>
              <w:t>表</w:t>
            </w:r>
            <w:bookmarkEnd w:id="92"/>
            <w:r>
              <w:rPr>
                <w:rFonts w:ascii="Times New Roman" w:hAnsi="Times New Roman"/>
                <w:b/>
                <w:color w:val="auto"/>
                <w:highlight w:val="none"/>
              </w:rPr>
              <w:t>7-</w:t>
            </w:r>
            <w:r>
              <w:rPr>
                <w:rFonts w:hint="eastAsia"/>
                <w:b/>
                <w:color w:val="auto"/>
                <w:highlight w:val="none"/>
                <w:lang w:val="en-US" w:eastAsia="zh-CN"/>
              </w:rPr>
              <w:t>25</w:t>
            </w:r>
            <w:r>
              <w:rPr>
                <w:rFonts w:ascii="Times New Roman" w:hAnsi="Times New Roman"/>
                <w:b/>
                <w:color w:val="auto"/>
                <w:highlight w:val="none"/>
              </w:rPr>
              <w:t xml:space="preserve">  </w:t>
            </w:r>
            <w:r>
              <w:rPr>
                <w:rFonts w:hint="eastAsia" w:ascii="Times New Roman" w:hAnsi="Times New Roman"/>
                <w:b/>
                <w:color w:val="auto"/>
                <w:highlight w:val="none"/>
              </w:rPr>
              <w:t>建设</w:t>
            </w:r>
            <w:bookmarkStart w:id="93" w:name="OLE_LINK56"/>
            <w:r>
              <w:rPr>
                <w:rFonts w:hint="eastAsia" w:ascii="Times New Roman" w:hAnsi="Times New Roman"/>
                <w:b/>
                <w:color w:val="auto"/>
                <w:highlight w:val="none"/>
              </w:rPr>
              <w:t>项目环保投资</w:t>
            </w:r>
            <w:bookmarkEnd w:id="93"/>
            <w:r>
              <w:rPr>
                <w:rFonts w:hint="eastAsia" w:ascii="Times New Roman" w:hAnsi="Times New Roman"/>
                <w:b/>
                <w:color w:val="auto"/>
                <w:highlight w:val="none"/>
              </w:rPr>
              <w:t>一览表</w:t>
            </w:r>
          </w:p>
          <w:tbl>
            <w:tblPr>
              <w:tblStyle w:val="34"/>
              <w:tblW w:w="905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2140"/>
              <w:gridCol w:w="5017"/>
              <w:gridCol w:w="18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项目</w:t>
                  </w:r>
                </w:p>
              </w:tc>
              <w:tc>
                <w:tcPr>
                  <w:tcW w:w="5017" w:type="dxa"/>
                  <w:tcBorders>
                    <w:tl2br w:val="nil"/>
                    <w:tr2bl w:val="nil"/>
                  </w:tcBorders>
                  <w:vAlign w:val="top"/>
                </w:tcPr>
                <w:p>
                  <w:pPr>
                    <w:pStyle w:val="49"/>
                    <w:rPr>
                      <w:rFonts w:ascii="Times New Roman" w:hAnsi="Times New Roman"/>
                      <w:color w:val="auto"/>
                      <w:highlight w:val="none"/>
                    </w:rPr>
                  </w:pPr>
                  <w:r>
                    <w:rPr>
                      <w:rFonts w:hint="eastAsia" w:ascii="Times New Roman" w:hAnsi="Times New Roman"/>
                      <w:color w:val="auto"/>
                      <w:highlight w:val="none"/>
                    </w:rPr>
                    <w:t>具体措施</w:t>
                  </w:r>
                </w:p>
              </w:tc>
              <w:tc>
                <w:tcPr>
                  <w:tcW w:w="1893" w:type="dxa"/>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投资额（万元）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vMerge w:val="restart"/>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废水治理</w:t>
                  </w:r>
                </w:p>
              </w:tc>
              <w:tc>
                <w:tcPr>
                  <w:tcW w:w="5017" w:type="dxa"/>
                  <w:tcBorders>
                    <w:tl2br w:val="nil"/>
                    <w:tr2bl w:val="nil"/>
                  </w:tcBorders>
                  <w:vAlign w:val="top"/>
                </w:tcPr>
                <w:p>
                  <w:pPr>
                    <w:pStyle w:val="49"/>
                    <w:rPr>
                      <w:rFonts w:ascii="Times New Roman" w:hAnsi="Times New Roman"/>
                      <w:color w:val="auto"/>
                      <w:highlight w:val="none"/>
                    </w:rPr>
                  </w:pPr>
                  <w:r>
                    <w:rPr>
                      <w:rFonts w:hint="eastAsia" w:hAnsi="宋体" w:cs="Times New Roman"/>
                      <w:color w:val="auto"/>
                      <w:kern w:val="2"/>
                      <w:sz w:val="21"/>
                      <w:szCs w:val="21"/>
                      <w:highlight w:val="none"/>
                      <w:lang w:eastAsia="zh-CN"/>
                    </w:rPr>
                    <w:t>生活污水</w:t>
                  </w:r>
                  <w:r>
                    <w:rPr>
                      <w:rFonts w:hint="eastAsia" w:ascii="Times New Roman" w:hAnsi="宋体" w:eastAsia="宋体" w:cs="Times New Roman"/>
                      <w:color w:val="auto"/>
                      <w:kern w:val="2"/>
                      <w:sz w:val="21"/>
                      <w:szCs w:val="21"/>
                      <w:highlight w:val="none"/>
                    </w:rPr>
                    <w:t>经</w:t>
                  </w:r>
                  <w:r>
                    <w:rPr>
                      <w:rFonts w:ascii="Times New Roman" w:hAnsi="宋体" w:eastAsia="宋体" w:cs="Times New Roman"/>
                      <w:color w:val="auto"/>
                      <w:kern w:val="2"/>
                      <w:sz w:val="21"/>
                      <w:szCs w:val="21"/>
                      <w:highlight w:val="none"/>
                    </w:rPr>
                    <w:t>三级化粪池</w:t>
                  </w:r>
                  <w:r>
                    <w:rPr>
                      <w:rFonts w:hint="eastAsia" w:ascii="Times New Roman" w:hAnsi="宋体" w:eastAsia="宋体" w:cs="Times New Roman"/>
                      <w:color w:val="auto"/>
                      <w:kern w:val="2"/>
                      <w:sz w:val="21"/>
                      <w:szCs w:val="21"/>
                      <w:highlight w:val="none"/>
                    </w:rPr>
                    <w:t>预</w:t>
                  </w:r>
                  <w:r>
                    <w:rPr>
                      <w:rFonts w:ascii="Times New Roman" w:hAnsi="宋体" w:eastAsia="宋体" w:cs="Times New Roman"/>
                      <w:color w:val="auto"/>
                      <w:kern w:val="2"/>
                      <w:sz w:val="21"/>
                      <w:szCs w:val="21"/>
                      <w:highlight w:val="none"/>
                    </w:rPr>
                    <w:t>处理</w:t>
                  </w:r>
                  <w:r>
                    <w:rPr>
                      <w:rFonts w:hint="eastAsia" w:ascii="Times New Roman" w:hAnsi="宋体" w:eastAsia="宋体" w:cs="Times New Roman"/>
                      <w:color w:val="auto"/>
                      <w:kern w:val="2"/>
                      <w:sz w:val="21"/>
                      <w:szCs w:val="21"/>
                      <w:highlight w:val="none"/>
                    </w:rPr>
                    <w:t>后排入市政污水管网</w:t>
                  </w:r>
                </w:p>
              </w:tc>
              <w:tc>
                <w:tcPr>
                  <w:tcW w:w="1893" w:type="dxa"/>
                  <w:tcBorders>
                    <w:tl2br w:val="nil"/>
                    <w:tr2bl w:val="nil"/>
                  </w:tcBorders>
                  <w:vAlign w:val="center"/>
                </w:tcPr>
                <w:p>
                  <w:pPr>
                    <w:pStyle w:val="49"/>
                    <w:rPr>
                      <w:rFonts w:hint="default" w:ascii="Times New Roman" w:hAnsi="Times New Roman" w:eastAsia="宋体"/>
                      <w:color w:val="auto"/>
                      <w:highlight w:val="none"/>
                      <w:lang w:val="en-US" w:eastAsia="zh-CN"/>
                    </w:rPr>
                  </w:pPr>
                  <w:r>
                    <w:rPr>
                      <w:rFonts w:hint="eastAsia"/>
                      <w:color w:val="auto"/>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vMerge w:val="continue"/>
                  <w:tcBorders>
                    <w:tl2br w:val="nil"/>
                    <w:tr2bl w:val="nil"/>
                  </w:tcBorders>
                  <w:vAlign w:val="center"/>
                </w:tcPr>
                <w:p>
                  <w:pPr>
                    <w:pStyle w:val="49"/>
                    <w:rPr>
                      <w:rFonts w:hint="eastAsia" w:ascii="Times New Roman" w:hAnsi="Times New Roman"/>
                      <w:color w:val="auto"/>
                      <w:highlight w:val="none"/>
                    </w:rPr>
                  </w:pPr>
                </w:p>
              </w:tc>
              <w:tc>
                <w:tcPr>
                  <w:tcW w:w="5017" w:type="dxa"/>
                  <w:tcBorders>
                    <w:tl2br w:val="nil"/>
                    <w:tr2bl w:val="nil"/>
                  </w:tcBorders>
                  <w:vAlign w:val="top"/>
                </w:tcPr>
                <w:p>
                  <w:pPr>
                    <w:pStyle w:val="49"/>
                    <w:rPr>
                      <w:rFonts w:hint="eastAsia" w:ascii="Times New Roman" w:hAnsi="Times New Roman" w:eastAsia="宋体"/>
                      <w:color w:val="auto"/>
                      <w:highlight w:val="none"/>
                      <w:lang w:eastAsia="zh-CN"/>
                    </w:rPr>
                  </w:pPr>
                  <w:r>
                    <w:rPr>
                      <w:rFonts w:hint="eastAsia"/>
                      <w:color w:val="auto"/>
                      <w:highlight w:val="none"/>
                      <w:lang w:eastAsia="zh-CN"/>
                    </w:rPr>
                    <w:t>喷淋废水</w:t>
                  </w:r>
                  <w:r>
                    <w:rPr>
                      <w:rFonts w:hint="eastAsia" w:ascii="Times New Roman" w:hAnsi="宋体" w:eastAsia="宋体" w:cs="Times New Roman"/>
                      <w:color w:val="auto"/>
                      <w:kern w:val="2"/>
                      <w:sz w:val="21"/>
                      <w:szCs w:val="21"/>
                      <w:highlight w:val="none"/>
                    </w:rPr>
                    <w:t>经收集后</w:t>
                  </w:r>
                  <w:r>
                    <w:rPr>
                      <w:rFonts w:hint="eastAsia" w:hAnsi="宋体" w:cs="Times New Roman"/>
                      <w:color w:val="auto"/>
                      <w:kern w:val="2"/>
                      <w:sz w:val="21"/>
                      <w:szCs w:val="21"/>
                      <w:highlight w:val="none"/>
                      <w:lang w:eastAsia="zh-CN"/>
                    </w:rPr>
                    <w:t>定期交具有零星废水处理资质的单位处理，不外排</w:t>
                  </w:r>
                </w:p>
              </w:tc>
              <w:tc>
                <w:tcPr>
                  <w:tcW w:w="1893" w:type="dxa"/>
                  <w:tcBorders>
                    <w:tl2br w:val="nil"/>
                    <w:tr2bl w:val="nil"/>
                  </w:tcBorders>
                  <w:vAlign w:val="center"/>
                </w:tcPr>
                <w:p>
                  <w:pPr>
                    <w:pStyle w:val="49"/>
                    <w:rPr>
                      <w:rFonts w:hint="default"/>
                      <w:color w:val="auto"/>
                      <w:highlight w:val="none"/>
                      <w:lang w:val="en-US" w:eastAsia="zh-CN"/>
                    </w:rPr>
                  </w:pPr>
                  <w:r>
                    <w:rPr>
                      <w:rFonts w:hint="eastAsia"/>
                      <w:color w:val="auto"/>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vMerge w:val="restart"/>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废气治理</w:t>
                  </w:r>
                </w:p>
              </w:tc>
              <w:tc>
                <w:tcPr>
                  <w:tcW w:w="5017" w:type="dxa"/>
                  <w:tcBorders>
                    <w:tl2br w:val="nil"/>
                    <w:tr2bl w:val="nil"/>
                  </w:tcBorders>
                  <w:vAlign w:val="center"/>
                </w:tcPr>
                <w:p>
                  <w:pPr>
                    <w:widowControl w:val="0"/>
                    <w:spacing w:after="0" w:line="240" w:lineRule="auto"/>
                    <w:jc w:val="center"/>
                    <w:rPr>
                      <w:rFonts w:ascii="Times New Roman" w:hAnsi="Times New Roman"/>
                      <w:color w:val="auto"/>
                      <w:highlight w:val="none"/>
                    </w:rPr>
                  </w:pPr>
                  <w:r>
                    <w:rPr>
                      <w:rFonts w:hint="eastAsia" w:cs="Times New Roman"/>
                      <w:color w:val="auto"/>
                      <w:kern w:val="2"/>
                      <w:sz w:val="21"/>
                      <w:szCs w:val="21"/>
                      <w:highlight w:val="none"/>
                      <w:lang w:eastAsia="zh-CN"/>
                    </w:rPr>
                    <w:t>锻压废气设置集气装置将废气进行收集后引至水喷淋塔+等离子油烟净化器处后通过15米排气筒排放</w:t>
                  </w:r>
                </w:p>
              </w:tc>
              <w:tc>
                <w:tcPr>
                  <w:tcW w:w="1893" w:type="dxa"/>
                  <w:tcBorders>
                    <w:tl2br w:val="nil"/>
                    <w:tr2bl w:val="nil"/>
                  </w:tcBorders>
                  <w:vAlign w:val="center"/>
                </w:tcPr>
                <w:p>
                  <w:pPr>
                    <w:pStyle w:val="49"/>
                    <w:rPr>
                      <w:rFonts w:hint="default" w:ascii="Times New Roman" w:hAnsi="Times New Roman" w:eastAsia="宋体"/>
                      <w:color w:val="auto"/>
                      <w:highlight w:val="none"/>
                      <w:lang w:val="en-US" w:eastAsia="zh-CN"/>
                    </w:rPr>
                  </w:pPr>
                  <w:r>
                    <w:rPr>
                      <w:rFonts w:hint="eastAsia"/>
                      <w:color w:val="auto"/>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vMerge w:val="continue"/>
                  <w:tcBorders>
                    <w:tl2br w:val="nil"/>
                    <w:tr2bl w:val="nil"/>
                  </w:tcBorders>
                  <w:vAlign w:val="center"/>
                </w:tcPr>
                <w:p>
                  <w:pPr>
                    <w:pStyle w:val="49"/>
                    <w:rPr>
                      <w:rFonts w:hint="eastAsia" w:ascii="Times New Roman" w:hAnsi="Times New Roman"/>
                      <w:color w:val="auto"/>
                      <w:highlight w:val="none"/>
                    </w:rPr>
                  </w:pPr>
                </w:p>
              </w:tc>
              <w:tc>
                <w:tcPr>
                  <w:tcW w:w="5017" w:type="dxa"/>
                  <w:tcBorders>
                    <w:tl2br w:val="nil"/>
                    <w:tr2bl w:val="nil"/>
                  </w:tcBorders>
                  <w:vAlign w:val="center"/>
                </w:tcPr>
                <w:p>
                  <w:pPr>
                    <w:widowControl w:val="0"/>
                    <w:spacing w:after="0" w:line="240" w:lineRule="auto"/>
                    <w:jc w:val="center"/>
                    <w:rPr>
                      <w:rFonts w:hint="eastAsia" w:eastAsia="宋体" w:cs="Times New Roman"/>
                      <w:color w:val="auto"/>
                      <w:kern w:val="2"/>
                      <w:sz w:val="21"/>
                      <w:szCs w:val="21"/>
                      <w:highlight w:val="none"/>
                      <w:lang w:eastAsia="zh-CN"/>
                    </w:rPr>
                  </w:pPr>
                  <w:r>
                    <w:rPr>
                      <w:rFonts w:hint="eastAsia" w:ascii="宋体" w:hAnsi="宋体" w:cs="Times New Roman"/>
                      <w:color w:val="auto"/>
                      <w:kern w:val="2"/>
                      <w:sz w:val="21"/>
                      <w:szCs w:val="21"/>
                      <w:highlight w:val="none"/>
                      <w:lang w:eastAsia="zh-CN"/>
                    </w:rPr>
                    <w:t>燃料废气设置集气装置收集后</w:t>
                  </w:r>
                  <w:r>
                    <w:rPr>
                      <w:rFonts w:hint="default" w:ascii="Times New Roman" w:hAnsi="Times New Roman" w:cs="Times New Roman"/>
                      <w:color w:val="auto"/>
                      <w:kern w:val="2"/>
                      <w:sz w:val="21"/>
                      <w:szCs w:val="21"/>
                      <w:highlight w:val="none"/>
                      <w:lang w:eastAsia="zh-CN"/>
                    </w:rPr>
                    <w:t>经15米</w:t>
                  </w:r>
                  <w:r>
                    <w:rPr>
                      <w:rFonts w:hint="eastAsia" w:ascii="宋体" w:hAnsi="宋体" w:cs="Times New Roman"/>
                      <w:color w:val="auto"/>
                      <w:kern w:val="2"/>
                      <w:sz w:val="21"/>
                      <w:szCs w:val="21"/>
                      <w:highlight w:val="none"/>
                      <w:lang w:eastAsia="zh-CN"/>
                    </w:rPr>
                    <w:t>排气筒排放</w:t>
                  </w:r>
                </w:p>
              </w:tc>
              <w:tc>
                <w:tcPr>
                  <w:tcW w:w="1893" w:type="dxa"/>
                  <w:tcBorders>
                    <w:tl2br w:val="nil"/>
                    <w:tr2bl w:val="nil"/>
                  </w:tcBorders>
                  <w:vAlign w:val="center"/>
                </w:tcPr>
                <w:p>
                  <w:pPr>
                    <w:pStyle w:val="49"/>
                    <w:rPr>
                      <w:rFonts w:hint="eastAsia"/>
                      <w:color w:val="auto"/>
                      <w:highlight w:val="none"/>
                      <w:lang w:val="en-US" w:eastAsia="zh-CN"/>
                    </w:rPr>
                  </w:pPr>
                  <w:r>
                    <w:rPr>
                      <w:rFonts w:hint="eastAsia"/>
                      <w:color w:val="auto"/>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vMerge w:val="continue"/>
                  <w:tcBorders>
                    <w:tl2br w:val="nil"/>
                    <w:tr2bl w:val="nil"/>
                  </w:tcBorders>
                  <w:vAlign w:val="center"/>
                </w:tcPr>
                <w:p>
                  <w:pPr>
                    <w:pStyle w:val="49"/>
                    <w:rPr>
                      <w:rFonts w:hint="eastAsia" w:ascii="Times New Roman" w:hAnsi="Times New Roman"/>
                      <w:color w:val="auto"/>
                      <w:highlight w:val="none"/>
                    </w:rPr>
                  </w:pPr>
                </w:p>
              </w:tc>
              <w:tc>
                <w:tcPr>
                  <w:tcW w:w="5017" w:type="dxa"/>
                  <w:tcBorders>
                    <w:tl2br w:val="nil"/>
                    <w:tr2bl w:val="nil"/>
                  </w:tcBorders>
                  <w:vAlign w:val="center"/>
                </w:tcPr>
                <w:p>
                  <w:pPr>
                    <w:widowControl w:val="0"/>
                    <w:snapToGrid w:val="0"/>
                    <w:spacing w:after="0" w:line="240" w:lineRule="auto"/>
                    <w:jc w:val="center"/>
                    <w:rPr>
                      <w:rFonts w:hint="eastAsia" w:ascii="Times New Roman" w:hAnsi="Times New Roman"/>
                      <w:color w:val="auto"/>
                      <w:highlight w:val="none"/>
                      <w:lang w:val="en-US" w:eastAsia="zh-CN"/>
                    </w:rPr>
                  </w:pPr>
                  <w:r>
                    <w:rPr>
                      <w:rFonts w:hint="eastAsia" w:cs="Times New Roman"/>
                      <w:color w:val="auto"/>
                      <w:kern w:val="2"/>
                      <w:sz w:val="21"/>
                      <w:szCs w:val="21"/>
                      <w:highlight w:val="none"/>
                      <w:lang w:eastAsia="zh-CN"/>
                    </w:rPr>
                    <w:t>金属粉尘</w:t>
                  </w:r>
                  <w:r>
                    <w:rPr>
                      <w:rFonts w:hint="eastAsia" w:ascii="Times New Roman" w:hAnsi="Times New Roman" w:eastAsia="宋体" w:cs="Times New Roman"/>
                      <w:color w:val="auto"/>
                      <w:kern w:val="2"/>
                      <w:sz w:val="21"/>
                      <w:szCs w:val="21"/>
                      <w:highlight w:val="none"/>
                      <w:lang w:eastAsia="zh-CN"/>
                    </w:rPr>
                    <w:t>加强机械通风措施</w:t>
                  </w:r>
                </w:p>
              </w:tc>
              <w:tc>
                <w:tcPr>
                  <w:tcW w:w="1893" w:type="dxa"/>
                  <w:tcBorders>
                    <w:tl2br w:val="nil"/>
                    <w:tr2bl w:val="nil"/>
                  </w:tcBorders>
                  <w:vAlign w:val="center"/>
                </w:tcPr>
                <w:p>
                  <w:pPr>
                    <w:pStyle w:val="49"/>
                    <w:rPr>
                      <w:rFonts w:hint="default"/>
                      <w:color w:val="auto"/>
                      <w:highlight w:val="none"/>
                      <w:lang w:val="en-US" w:eastAsia="zh-CN"/>
                    </w:rPr>
                  </w:pPr>
                  <w:r>
                    <w:rPr>
                      <w:rFonts w:hint="eastAsia"/>
                      <w:color w:val="auto"/>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451" w:hRule="atLeast"/>
                <w:jc w:val="center"/>
              </w:trPr>
              <w:tc>
                <w:tcPr>
                  <w:tcW w:w="2140" w:type="dxa"/>
                  <w:vMerge w:val="restart"/>
                  <w:tcBorders>
                    <w:tl2br w:val="nil"/>
                    <w:tr2bl w:val="nil"/>
                  </w:tcBorders>
                  <w:vAlign w:val="center"/>
                </w:tcPr>
                <w:p>
                  <w:pPr>
                    <w:pStyle w:val="49"/>
                    <w:rPr>
                      <w:rFonts w:ascii="Times New Roman" w:hAnsi="Times New Roman"/>
                      <w:color w:val="auto"/>
                      <w:highlight w:val="none"/>
                      <w:shd w:val="clear" w:color="auto" w:fill="auto"/>
                    </w:rPr>
                  </w:pPr>
                  <w:r>
                    <w:rPr>
                      <w:rFonts w:hint="eastAsia" w:ascii="Times New Roman" w:hAnsi="Times New Roman"/>
                      <w:color w:val="auto"/>
                      <w:highlight w:val="none"/>
                      <w:shd w:val="clear" w:color="auto" w:fill="auto"/>
                    </w:rPr>
                    <w:t>固体废物处理处置</w:t>
                  </w:r>
                </w:p>
              </w:tc>
              <w:tc>
                <w:tcPr>
                  <w:tcW w:w="5017" w:type="dxa"/>
                  <w:tcBorders>
                    <w:bottom w:val="single" w:color="auto" w:sz="4" w:space="0"/>
                    <w:tl2br w:val="nil"/>
                    <w:tr2bl w:val="nil"/>
                  </w:tcBorders>
                  <w:vAlign w:val="top"/>
                </w:tcPr>
                <w:p>
                  <w:pPr>
                    <w:pStyle w:val="49"/>
                    <w:rPr>
                      <w:rFonts w:hint="eastAsia" w:ascii="Times New Roman" w:hAnsi="Times New Roman" w:eastAsia="宋体"/>
                      <w:color w:val="auto"/>
                      <w:highlight w:val="none"/>
                      <w:shd w:val="clear" w:color="auto" w:fill="auto"/>
                      <w:lang w:eastAsia="zh-CN"/>
                    </w:rPr>
                  </w:pPr>
                  <w:r>
                    <w:rPr>
                      <w:rFonts w:hint="eastAsia" w:ascii="Times New Roman" w:hAnsi="Times New Roman"/>
                      <w:color w:val="auto"/>
                      <w:highlight w:val="none"/>
                      <w:shd w:val="clear" w:color="auto" w:fill="auto"/>
                    </w:rPr>
                    <w:t>生活垃圾</w:t>
                  </w:r>
                  <w:r>
                    <w:rPr>
                      <w:rFonts w:ascii="Times New Roman" w:hAnsi="Times New Roman" w:eastAsia="宋体" w:cs="Times New Roman"/>
                      <w:color w:val="auto"/>
                      <w:kern w:val="0"/>
                      <w:sz w:val="21"/>
                      <w:szCs w:val="21"/>
                      <w:highlight w:val="none"/>
                    </w:rPr>
                    <w:t>交环卫部门处理</w:t>
                  </w:r>
                </w:p>
              </w:tc>
              <w:tc>
                <w:tcPr>
                  <w:tcW w:w="1893" w:type="dxa"/>
                  <w:tcBorders>
                    <w:bottom w:val="single" w:color="auto" w:sz="4" w:space="0"/>
                    <w:tl2br w:val="nil"/>
                    <w:tr2bl w:val="nil"/>
                  </w:tcBorders>
                  <w:vAlign w:val="center"/>
                </w:tcPr>
                <w:p>
                  <w:pPr>
                    <w:pStyle w:val="49"/>
                    <w:rPr>
                      <w:rFonts w:hint="eastAsia" w:ascii="Times New Roman" w:hAnsi="Times New Roman" w:eastAsia="宋体"/>
                      <w:color w:val="auto"/>
                      <w:highlight w:val="none"/>
                      <w:lang w:val="en-US" w:eastAsia="zh-CN"/>
                    </w:rPr>
                  </w:pPr>
                  <w:r>
                    <w:rPr>
                      <w:rFonts w:hint="eastAsia" w:ascii="Times New Roman" w:hAnsi="Times New Roman" w:eastAsia="宋体" w:cs="Times New Roman"/>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2140" w:type="dxa"/>
                  <w:vMerge w:val="continue"/>
                  <w:tcBorders>
                    <w:tl2br w:val="nil"/>
                    <w:tr2bl w:val="nil"/>
                  </w:tcBorders>
                  <w:vAlign w:val="center"/>
                </w:tcPr>
                <w:p>
                  <w:pPr>
                    <w:pStyle w:val="49"/>
                    <w:rPr>
                      <w:rFonts w:hint="eastAsia" w:ascii="Times New Roman" w:hAnsi="Times New Roman"/>
                      <w:color w:val="auto"/>
                      <w:highlight w:val="none"/>
                      <w:shd w:val="clear" w:color="auto" w:fill="auto"/>
                    </w:rPr>
                  </w:pPr>
                </w:p>
              </w:tc>
              <w:tc>
                <w:tcPr>
                  <w:tcW w:w="5017" w:type="dxa"/>
                  <w:tcBorders>
                    <w:top w:val="single" w:color="auto" w:sz="4" w:space="0"/>
                    <w:bottom w:val="single" w:color="auto" w:sz="4" w:space="0"/>
                    <w:tl2br w:val="nil"/>
                    <w:tr2bl w:val="nil"/>
                  </w:tcBorders>
                  <w:vAlign w:val="top"/>
                </w:tcPr>
                <w:p>
                  <w:pPr>
                    <w:pStyle w:val="49"/>
                    <w:rPr>
                      <w:rFonts w:hint="eastAsia" w:ascii="Times New Roman" w:hAnsi="Times New Roman"/>
                      <w:color w:val="auto"/>
                      <w:highlight w:val="none"/>
                      <w:shd w:val="clear" w:color="auto" w:fill="auto"/>
                    </w:rPr>
                  </w:pPr>
                  <w:r>
                    <w:rPr>
                      <w:rFonts w:hint="eastAsia"/>
                      <w:bCs/>
                      <w:color w:val="auto"/>
                      <w:szCs w:val="21"/>
                      <w:highlight w:val="none"/>
                      <w:shd w:val="clear" w:color="auto" w:fill="auto"/>
                      <w:lang w:eastAsia="zh-CN"/>
                    </w:rPr>
                    <w:t>一般工业废物</w:t>
                  </w:r>
                  <w:r>
                    <w:rPr>
                      <w:rFonts w:hint="eastAsia" w:ascii="Times New Roman" w:hAnsi="Times New Roman" w:eastAsia="宋体" w:cs="Times New Roman"/>
                      <w:color w:val="auto"/>
                      <w:kern w:val="2"/>
                      <w:sz w:val="21"/>
                      <w:szCs w:val="21"/>
                      <w:highlight w:val="none"/>
                    </w:rPr>
                    <w:t>交专业公司回收处理</w:t>
                  </w:r>
                </w:p>
              </w:tc>
              <w:tc>
                <w:tcPr>
                  <w:tcW w:w="1893" w:type="dxa"/>
                  <w:tcBorders>
                    <w:top w:val="single" w:color="auto" w:sz="4" w:space="0"/>
                    <w:bottom w:val="single" w:color="auto" w:sz="4" w:space="0"/>
                    <w:tl2br w:val="nil"/>
                    <w:tr2bl w:val="nil"/>
                  </w:tcBorders>
                  <w:vAlign w:val="center"/>
                </w:tcPr>
                <w:p>
                  <w:pPr>
                    <w:pStyle w:val="49"/>
                    <w:rPr>
                      <w:rFonts w:hint="eastAsia"/>
                      <w:color w:val="auto"/>
                      <w:highlight w:val="none"/>
                      <w:lang w:val="en-US" w:eastAsia="zh-CN"/>
                    </w:rPr>
                  </w:pPr>
                  <w:r>
                    <w:rPr>
                      <w:rFonts w:hint="eastAsia" w:ascii="Times New Roman" w:hAnsi="Times New Roman" w:eastAsia="宋体" w:cs="Times New Roman"/>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4" w:hRule="atLeast"/>
                <w:jc w:val="center"/>
              </w:trPr>
              <w:tc>
                <w:tcPr>
                  <w:tcW w:w="2140" w:type="dxa"/>
                  <w:vMerge w:val="continue"/>
                  <w:tcBorders>
                    <w:tl2br w:val="nil"/>
                    <w:tr2bl w:val="nil"/>
                  </w:tcBorders>
                  <w:vAlign w:val="center"/>
                </w:tcPr>
                <w:p>
                  <w:pPr>
                    <w:pStyle w:val="49"/>
                    <w:rPr>
                      <w:rFonts w:hint="eastAsia" w:ascii="Times New Roman" w:hAnsi="Times New Roman"/>
                      <w:color w:val="auto"/>
                      <w:highlight w:val="none"/>
                      <w:shd w:val="clear" w:color="auto" w:fill="auto"/>
                    </w:rPr>
                  </w:pPr>
                </w:p>
              </w:tc>
              <w:tc>
                <w:tcPr>
                  <w:tcW w:w="5017" w:type="dxa"/>
                  <w:tcBorders>
                    <w:top w:val="single" w:color="auto" w:sz="4" w:space="0"/>
                    <w:tl2br w:val="nil"/>
                    <w:tr2bl w:val="nil"/>
                  </w:tcBorders>
                  <w:vAlign w:val="top"/>
                </w:tcPr>
                <w:p>
                  <w:pPr>
                    <w:pStyle w:val="49"/>
                    <w:rPr>
                      <w:rFonts w:hint="eastAsia" w:ascii="Times New Roman" w:hAnsi="Times New Roman"/>
                      <w:color w:val="auto"/>
                      <w:highlight w:val="none"/>
                      <w:shd w:val="clear" w:color="auto" w:fill="auto"/>
                    </w:rPr>
                  </w:pPr>
                  <w:r>
                    <w:rPr>
                      <w:rFonts w:hint="eastAsia" w:cs="Times New Roman"/>
                      <w:color w:val="auto"/>
                      <w:kern w:val="2"/>
                      <w:sz w:val="21"/>
                      <w:szCs w:val="21"/>
                      <w:highlight w:val="none"/>
                      <w:lang w:eastAsia="zh-CN"/>
                    </w:rPr>
                    <w:t>危险废物</w:t>
                  </w:r>
                  <w:r>
                    <w:rPr>
                      <w:rFonts w:hint="eastAsia" w:ascii="Times New Roman" w:hAnsi="Times New Roman" w:eastAsia="宋体" w:cs="Times New Roman"/>
                      <w:color w:val="auto"/>
                      <w:kern w:val="2"/>
                      <w:sz w:val="21"/>
                      <w:szCs w:val="21"/>
                      <w:highlight w:val="none"/>
                    </w:rPr>
                    <w:t>交给有危险废物处置资质单位处置</w:t>
                  </w:r>
                </w:p>
              </w:tc>
              <w:tc>
                <w:tcPr>
                  <w:tcW w:w="1893" w:type="dxa"/>
                  <w:tcBorders>
                    <w:top w:val="single" w:color="auto" w:sz="4" w:space="0"/>
                    <w:tl2br w:val="nil"/>
                    <w:tr2bl w:val="nil"/>
                  </w:tcBorders>
                  <w:vAlign w:val="center"/>
                </w:tcPr>
                <w:p>
                  <w:pPr>
                    <w:pStyle w:val="49"/>
                    <w:rPr>
                      <w:rFonts w:hint="default"/>
                      <w:color w:val="auto"/>
                      <w:highlight w:val="none"/>
                      <w:lang w:val="en-US" w:eastAsia="zh-CN"/>
                    </w:rPr>
                  </w:pPr>
                  <w:r>
                    <w:rPr>
                      <w:rFonts w:hint="eastAsia"/>
                      <w:color w:val="auto"/>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30" w:hRule="atLeast"/>
                <w:jc w:val="center"/>
              </w:trPr>
              <w:tc>
                <w:tcPr>
                  <w:tcW w:w="2140" w:type="dxa"/>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噪声治理</w:t>
                  </w:r>
                </w:p>
              </w:tc>
              <w:tc>
                <w:tcPr>
                  <w:tcW w:w="5017" w:type="dxa"/>
                  <w:tcBorders>
                    <w:tl2br w:val="nil"/>
                    <w:tr2bl w:val="nil"/>
                  </w:tcBorders>
                  <w:vAlign w:val="top"/>
                </w:tcPr>
                <w:p>
                  <w:pPr>
                    <w:pStyle w:val="49"/>
                    <w:rPr>
                      <w:rFonts w:ascii="Times New Roman" w:hAnsi="Times New Roman"/>
                      <w:color w:val="auto"/>
                      <w:highlight w:val="none"/>
                    </w:rPr>
                  </w:pPr>
                  <w:r>
                    <w:rPr>
                      <w:rFonts w:hint="eastAsia" w:ascii="Times New Roman" w:hAnsi="Times New Roman"/>
                      <w:color w:val="auto"/>
                      <w:highlight w:val="none"/>
                    </w:rPr>
                    <w:t>减振、吸声设备等</w:t>
                  </w:r>
                </w:p>
              </w:tc>
              <w:tc>
                <w:tcPr>
                  <w:tcW w:w="1893" w:type="dxa"/>
                  <w:tcBorders>
                    <w:tl2br w:val="nil"/>
                    <w:tr2bl w:val="nil"/>
                  </w:tcBorders>
                  <w:vAlign w:val="center"/>
                </w:tcPr>
                <w:p>
                  <w:pPr>
                    <w:pStyle w:val="49"/>
                    <w:rPr>
                      <w:rFonts w:hint="default" w:ascii="Times New Roman" w:hAnsi="Times New Roman" w:eastAsia="宋体"/>
                      <w:color w:val="auto"/>
                      <w:highlight w:val="none"/>
                      <w:lang w:val="en-US" w:eastAsia="zh-CN"/>
                    </w:rPr>
                  </w:pPr>
                  <w:r>
                    <w:rPr>
                      <w:rFonts w:hint="eastAsia"/>
                      <w:color w:val="auto"/>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2140" w:type="dxa"/>
                  <w:tcBorders>
                    <w:tl2br w:val="nil"/>
                    <w:tr2bl w:val="nil"/>
                  </w:tcBorders>
                  <w:vAlign w:val="center"/>
                </w:tcPr>
                <w:p>
                  <w:pPr>
                    <w:pStyle w:val="49"/>
                    <w:rPr>
                      <w:rFonts w:ascii="Times New Roman" w:hAnsi="Times New Roman"/>
                      <w:color w:val="auto"/>
                      <w:highlight w:val="none"/>
                    </w:rPr>
                  </w:pPr>
                  <w:r>
                    <w:rPr>
                      <w:rFonts w:hint="eastAsia" w:ascii="Times New Roman" w:hAnsi="Times New Roman"/>
                      <w:color w:val="auto"/>
                      <w:highlight w:val="none"/>
                    </w:rPr>
                    <w:t>总投资</w:t>
                  </w:r>
                </w:p>
              </w:tc>
              <w:tc>
                <w:tcPr>
                  <w:tcW w:w="5017" w:type="dxa"/>
                  <w:tcBorders>
                    <w:tl2br w:val="nil"/>
                    <w:tr2bl w:val="nil"/>
                  </w:tcBorders>
                  <w:vAlign w:val="top"/>
                </w:tcPr>
                <w:p>
                  <w:pPr>
                    <w:pStyle w:val="49"/>
                    <w:rPr>
                      <w:rFonts w:ascii="Times New Roman" w:hAnsi="Times New Roman"/>
                      <w:color w:val="auto"/>
                      <w:highlight w:val="none"/>
                    </w:rPr>
                  </w:pPr>
                  <w:r>
                    <w:rPr>
                      <w:rFonts w:ascii="Times New Roman" w:hAnsi="Times New Roman"/>
                      <w:color w:val="auto"/>
                      <w:highlight w:val="none"/>
                    </w:rPr>
                    <w:t>/</w:t>
                  </w:r>
                </w:p>
              </w:tc>
              <w:tc>
                <w:tcPr>
                  <w:tcW w:w="1893" w:type="dxa"/>
                  <w:tcBorders>
                    <w:tl2br w:val="nil"/>
                    <w:tr2bl w:val="nil"/>
                  </w:tcBorders>
                  <w:vAlign w:val="center"/>
                </w:tcPr>
                <w:p>
                  <w:pPr>
                    <w:pStyle w:val="49"/>
                    <w:rPr>
                      <w:rFonts w:hint="default" w:ascii="Times New Roman" w:hAnsi="Times New Roman" w:eastAsia="宋体"/>
                      <w:color w:val="auto"/>
                      <w:highlight w:val="none"/>
                      <w:lang w:val="en-US" w:eastAsia="zh-CN"/>
                    </w:rPr>
                  </w:pPr>
                  <w:r>
                    <w:rPr>
                      <w:rFonts w:hint="eastAsia"/>
                      <w:color w:val="auto"/>
                      <w:highlight w:val="none"/>
                      <w:lang w:val="en-US" w:eastAsia="zh-CN"/>
                    </w:rPr>
                    <w:t>11</w:t>
                  </w:r>
                </w:p>
              </w:tc>
            </w:tr>
          </w:tbl>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Times New Roman" w:hAnsi="Times New Roman"/>
                <w:color w:val="auto"/>
                <w:sz w:val="24"/>
                <w:highlight w:val="none"/>
              </w:rPr>
            </w:pPr>
            <w:bookmarkStart w:id="94" w:name="_Toc395633100"/>
            <w:r>
              <w:rPr>
                <w:rFonts w:ascii="Times New Roman" w:hAnsi="Times New Roman"/>
                <w:color w:val="auto"/>
                <w:sz w:val="24"/>
                <w:highlight w:val="none"/>
              </w:rPr>
              <w:t>“</w:t>
            </w:r>
            <w:r>
              <w:rPr>
                <w:rFonts w:hint="eastAsia" w:ascii="Times New Roman" w:hAnsi="Times New Roman"/>
                <w:color w:val="auto"/>
                <w:sz w:val="24"/>
                <w:highlight w:val="none"/>
              </w:rPr>
              <w:t>三同时</w:t>
            </w:r>
            <w:r>
              <w:rPr>
                <w:rFonts w:ascii="Times New Roman" w:hAnsi="Times New Roman"/>
                <w:color w:val="auto"/>
                <w:sz w:val="24"/>
                <w:highlight w:val="none"/>
              </w:rPr>
              <w:t>”</w:t>
            </w:r>
            <w:r>
              <w:rPr>
                <w:rFonts w:hint="eastAsia" w:ascii="Times New Roman" w:hAnsi="Times New Roman"/>
                <w:color w:val="auto"/>
                <w:sz w:val="24"/>
                <w:highlight w:val="none"/>
              </w:rPr>
              <w:t>验收内容</w:t>
            </w:r>
            <w:bookmarkEnd w:id="94"/>
          </w:p>
          <w:p>
            <w:pPr>
              <w:pStyle w:val="46"/>
              <w:keepNext w:val="0"/>
              <w:keepLines w:val="0"/>
              <w:pageBreakBefore w:val="0"/>
              <w:widowControl w:val="0"/>
              <w:kinsoku/>
              <w:wordWrap/>
              <w:overflowPunct/>
              <w:topLinePunct w:val="0"/>
              <w:autoSpaceDE/>
              <w:autoSpaceDN/>
              <w:bidi w:val="0"/>
              <w:adjustRightInd/>
              <w:snapToGrid/>
              <w:spacing w:line="312" w:lineRule="auto"/>
              <w:ind w:firstLine="480"/>
              <w:textAlignment w:val="auto"/>
              <w:rPr>
                <w:rFonts w:ascii="Times New Roman" w:hAnsi="Times New Roman"/>
                <w:color w:val="auto"/>
                <w:sz w:val="24"/>
                <w:highlight w:val="none"/>
              </w:rPr>
            </w:pPr>
            <w:r>
              <w:rPr>
                <w:rFonts w:hint="eastAsia" w:ascii="Times New Roman" w:hAnsi="Times New Roman"/>
                <w:color w:val="auto"/>
                <w:sz w:val="24"/>
                <w:highlight w:val="none"/>
              </w:rPr>
              <w:t>根据建设单位项目</w:t>
            </w:r>
            <w:r>
              <w:rPr>
                <w:rFonts w:ascii="Times New Roman" w:hAnsi="Times New Roman"/>
                <w:color w:val="auto"/>
                <w:sz w:val="24"/>
                <w:highlight w:val="none"/>
              </w:rPr>
              <w:t>“</w:t>
            </w:r>
            <w:r>
              <w:rPr>
                <w:rFonts w:hint="eastAsia" w:ascii="Times New Roman" w:hAnsi="Times New Roman"/>
                <w:color w:val="auto"/>
                <w:sz w:val="24"/>
                <w:highlight w:val="none"/>
              </w:rPr>
              <w:t>三同时</w:t>
            </w:r>
            <w:r>
              <w:rPr>
                <w:rFonts w:ascii="Times New Roman" w:hAnsi="Times New Roman"/>
                <w:color w:val="auto"/>
                <w:sz w:val="24"/>
                <w:highlight w:val="none"/>
              </w:rPr>
              <w:t>”</w:t>
            </w:r>
            <w:r>
              <w:rPr>
                <w:rFonts w:hint="eastAsia" w:ascii="Times New Roman" w:hAnsi="Times New Roman"/>
                <w:color w:val="auto"/>
                <w:sz w:val="24"/>
                <w:highlight w:val="none"/>
              </w:rPr>
              <w:t>原则，在项目建设过程中，环境污染防治设施应与主体工程同时设计、同时施工、同时投入使用。建项目运营时，应对环保设施进行验收，验收清单见</w:t>
            </w:r>
            <w:r>
              <w:rPr>
                <w:rFonts w:hint="eastAsia"/>
                <w:color w:val="auto"/>
                <w:sz w:val="24"/>
                <w:highlight w:val="none"/>
                <w:lang w:eastAsia="zh-CN"/>
              </w:rPr>
              <w:t>下表</w:t>
            </w:r>
            <w:r>
              <w:rPr>
                <w:rFonts w:hint="eastAsia" w:ascii="Times New Roman" w:hAnsi="Times New Roman"/>
                <w:color w:val="auto"/>
                <w:sz w:val="24"/>
                <w:highlight w:val="none"/>
              </w:rPr>
              <w:t>。</w:t>
            </w:r>
          </w:p>
          <w:p>
            <w:pPr>
              <w:pStyle w:val="46"/>
              <w:ind w:firstLine="422"/>
              <w:jc w:val="center"/>
              <w:rPr>
                <w:rFonts w:ascii="Times New Roman" w:hAnsi="Times New Roman"/>
                <w:b/>
                <w:color w:val="auto"/>
                <w:szCs w:val="20"/>
                <w:highlight w:val="none"/>
              </w:rPr>
            </w:pPr>
            <w:r>
              <w:rPr>
                <w:rFonts w:hint="eastAsia" w:ascii="Times New Roman" w:hAnsi="Times New Roman"/>
                <w:b/>
                <w:color w:val="auto"/>
                <w:szCs w:val="20"/>
                <w:highlight w:val="none"/>
              </w:rPr>
              <w:t>表</w:t>
            </w:r>
            <w:r>
              <w:rPr>
                <w:rFonts w:ascii="Times New Roman" w:hAnsi="Times New Roman"/>
                <w:b/>
                <w:color w:val="auto"/>
                <w:szCs w:val="20"/>
                <w:highlight w:val="none"/>
              </w:rPr>
              <w:t>7-</w:t>
            </w:r>
            <w:r>
              <w:rPr>
                <w:rFonts w:hint="eastAsia"/>
                <w:b/>
                <w:color w:val="auto"/>
                <w:szCs w:val="20"/>
                <w:highlight w:val="none"/>
                <w:lang w:val="en-US" w:eastAsia="zh-CN"/>
              </w:rPr>
              <w:t>26</w:t>
            </w:r>
            <w:r>
              <w:rPr>
                <w:rFonts w:ascii="Times New Roman" w:hAnsi="Times New Roman"/>
                <w:b/>
                <w:color w:val="auto"/>
                <w:szCs w:val="20"/>
                <w:highlight w:val="none"/>
              </w:rPr>
              <w:t xml:space="preserve"> </w:t>
            </w:r>
            <w:r>
              <w:rPr>
                <w:rFonts w:hint="eastAsia"/>
                <w:b/>
                <w:color w:val="auto"/>
                <w:szCs w:val="20"/>
                <w:highlight w:val="none"/>
                <w:lang w:val="en-US" w:eastAsia="zh-CN"/>
              </w:rPr>
              <w:t xml:space="preserve"> </w:t>
            </w:r>
            <w:r>
              <w:rPr>
                <w:rFonts w:hint="eastAsia" w:ascii="Times New Roman" w:hAnsi="Times New Roman"/>
                <w:b/>
                <w:color w:val="auto"/>
                <w:szCs w:val="20"/>
                <w:highlight w:val="none"/>
              </w:rPr>
              <w:t>建设项目环保设施竣工验收清单</w:t>
            </w:r>
          </w:p>
          <w:tbl>
            <w:tblPr>
              <w:tblStyle w:val="3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46"/>
              <w:gridCol w:w="1365"/>
              <w:gridCol w:w="2310"/>
              <w:gridCol w:w="2145"/>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29" w:hRule="atLeast"/>
                <w:jc w:val="center"/>
              </w:trPr>
              <w:tc>
                <w:tcPr>
                  <w:tcW w:w="646" w:type="dxa"/>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项目</w:t>
                  </w:r>
                </w:p>
              </w:tc>
              <w:tc>
                <w:tcPr>
                  <w:tcW w:w="1365" w:type="dxa"/>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污染源</w:t>
                  </w:r>
                </w:p>
              </w:tc>
              <w:tc>
                <w:tcPr>
                  <w:tcW w:w="2310" w:type="dxa"/>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防治措施</w:t>
                  </w:r>
                </w:p>
              </w:tc>
              <w:tc>
                <w:tcPr>
                  <w:tcW w:w="2145" w:type="dxa"/>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规模</w:t>
                  </w:r>
                </w:p>
              </w:tc>
              <w:tc>
                <w:tcPr>
                  <w:tcW w:w="2672" w:type="dxa"/>
                  <w:tcBorders>
                    <w:tl2br w:val="nil"/>
                    <w:tr2bl w:val="nil"/>
                  </w:tcBorders>
                  <w:vAlign w:val="center"/>
                </w:tcPr>
                <w:p>
                  <w:pPr>
                    <w:widowControl w:val="0"/>
                    <w:spacing w:after="0" w:line="240" w:lineRule="auto"/>
                    <w:jc w:val="center"/>
                    <w:rPr>
                      <w:rFonts w:ascii="Times New Roman" w:hAnsi="Times New Roman" w:eastAsia="宋体" w:cs="Times New Roman"/>
                      <w:b/>
                      <w:color w:val="auto"/>
                      <w:kern w:val="2"/>
                      <w:sz w:val="21"/>
                      <w:szCs w:val="21"/>
                      <w:highlight w:val="none"/>
                    </w:rPr>
                  </w:pPr>
                  <w:r>
                    <w:rPr>
                      <w:rFonts w:ascii="Times New Roman" w:hAnsi="Times New Roman" w:eastAsia="宋体" w:cs="Times New Roman"/>
                      <w:b/>
                      <w:color w:val="auto"/>
                      <w:kern w:val="2"/>
                      <w:sz w:val="21"/>
                      <w:szCs w:val="21"/>
                      <w:highlight w:val="none"/>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661" w:hRule="atLeast"/>
                <w:jc w:val="center"/>
              </w:trPr>
              <w:tc>
                <w:tcPr>
                  <w:tcW w:w="646" w:type="dxa"/>
                  <w:vMerge w:val="restart"/>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废气</w:t>
                  </w:r>
                </w:p>
              </w:tc>
              <w:tc>
                <w:tcPr>
                  <w:tcW w:w="1365" w:type="dxa"/>
                  <w:tcBorders>
                    <w:tl2br w:val="nil"/>
                    <w:tr2bl w:val="nil"/>
                  </w:tcBorders>
                  <w:vAlign w:val="center"/>
                </w:tcPr>
                <w:p>
                  <w:pPr>
                    <w:widowControl w:val="0"/>
                    <w:autoSpaceDE w:val="0"/>
                    <w:autoSpaceDN w:val="0"/>
                    <w:adjustRightInd w:val="0"/>
                    <w:jc w:val="center"/>
                    <w:textAlignment w:val="baseline"/>
                    <w:rPr>
                      <w:rFonts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bidi="ar-SA"/>
                    </w:rPr>
                    <w:t>开料、机加工工序</w:t>
                  </w:r>
                </w:p>
              </w:tc>
              <w:tc>
                <w:tcPr>
                  <w:tcW w:w="2310"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加强机械通风措施</w:t>
                  </w:r>
                </w:p>
              </w:tc>
              <w:tc>
                <w:tcPr>
                  <w:tcW w:w="2145"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1"/>
                      <w:szCs w:val="24"/>
                      <w:highlight w:val="none"/>
                      <w:lang w:eastAsia="zh-CN"/>
                    </w:rPr>
                    <w:t>粉尘</w:t>
                  </w:r>
                  <w:r>
                    <w:rPr>
                      <w:rFonts w:hint="eastAsia" w:ascii="Times New Roman" w:hAnsi="Times New Roman" w:eastAsia="宋体" w:cs="Times New Roman"/>
                      <w:color w:val="auto"/>
                      <w:kern w:val="2"/>
                      <w:sz w:val="21"/>
                      <w:szCs w:val="24"/>
                      <w:highlight w:val="none"/>
                    </w:rPr>
                    <w:t>无组织排放，</w:t>
                  </w:r>
                  <w:r>
                    <w:rPr>
                      <w:rFonts w:hint="eastAsia" w:cs="Times New Roman"/>
                      <w:color w:val="auto"/>
                      <w:kern w:val="2"/>
                      <w:sz w:val="21"/>
                      <w:szCs w:val="24"/>
                      <w:highlight w:val="none"/>
                      <w:lang w:val="en-US" w:eastAsia="zh-CN"/>
                    </w:rPr>
                    <w:t>0.0053</w:t>
                  </w:r>
                  <w:r>
                    <w:rPr>
                      <w:rFonts w:hint="eastAsia" w:ascii="Times New Roman" w:hAnsi="Times New Roman" w:eastAsia="宋体" w:cs="Times New Roman"/>
                      <w:color w:val="auto"/>
                      <w:kern w:val="2"/>
                      <w:sz w:val="21"/>
                      <w:szCs w:val="24"/>
                      <w:highlight w:val="none"/>
                    </w:rPr>
                    <w:t>t/a</w:t>
                  </w:r>
                </w:p>
              </w:tc>
              <w:tc>
                <w:tcPr>
                  <w:tcW w:w="2672" w:type="dxa"/>
                  <w:tcBorders>
                    <w:tl2br w:val="nil"/>
                    <w:tr2bl w:val="nil"/>
                  </w:tcBorders>
                  <w:vAlign w:val="center"/>
                </w:tcPr>
                <w:p>
                  <w:pPr>
                    <w:widowControl w:val="0"/>
                    <w:spacing w:after="0" w:line="21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达到广东省地方标准《大气污染物排放限值》（DB44/27-2001）中第二时段无组织排放监控浓度限值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646" w:type="dxa"/>
                  <w:vMerge w:val="continue"/>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p>
              </w:tc>
              <w:tc>
                <w:tcPr>
                  <w:tcW w:w="1365" w:type="dxa"/>
                  <w:tcBorders>
                    <w:tl2br w:val="nil"/>
                    <w:tr2bl w:val="nil"/>
                  </w:tcBorders>
                  <w:vAlign w:val="center"/>
                </w:tcPr>
                <w:p>
                  <w:pPr>
                    <w:widowControl w:val="0"/>
                    <w:autoSpaceDE w:val="0"/>
                    <w:autoSpaceDN w:val="0"/>
                    <w:adjustRightInd w:val="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锻压</w:t>
                  </w:r>
                  <w:r>
                    <w:rPr>
                      <w:rFonts w:ascii="Times New Roman" w:hAnsi="Times New Roman" w:eastAsia="宋体" w:cs="Times New Roman"/>
                      <w:color w:val="auto"/>
                      <w:kern w:val="2"/>
                      <w:sz w:val="21"/>
                      <w:szCs w:val="21"/>
                      <w:highlight w:val="none"/>
                      <w:lang w:val="en-US" w:eastAsia="zh-CN" w:bidi="ar-SA"/>
                    </w:rPr>
                    <w:t>工序</w:t>
                  </w:r>
                </w:p>
              </w:tc>
              <w:tc>
                <w:tcPr>
                  <w:tcW w:w="2310" w:type="dxa"/>
                  <w:tcBorders>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设置集气装置将废气进行收集后引至</w:t>
                  </w:r>
                  <w:r>
                    <w:rPr>
                      <w:rFonts w:hint="eastAsia" w:cs="Times New Roman"/>
                      <w:color w:val="auto"/>
                      <w:kern w:val="0"/>
                      <w:sz w:val="21"/>
                      <w:szCs w:val="21"/>
                      <w:highlight w:val="none"/>
                      <w:lang w:val="en-US" w:eastAsia="zh-CN" w:bidi="ar-SA"/>
                    </w:rPr>
                    <w:t>水喷淋塔+等离子油烟净化器处后</w:t>
                  </w:r>
                  <w:r>
                    <w:rPr>
                      <w:rFonts w:hint="default" w:ascii="Times New Roman" w:hAnsi="Times New Roman" w:eastAsia="宋体" w:cs="Times New Roman"/>
                      <w:color w:val="auto"/>
                      <w:kern w:val="0"/>
                      <w:sz w:val="21"/>
                      <w:szCs w:val="21"/>
                      <w:highlight w:val="none"/>
                      <w:lang w:val="en-US" w:eastAsia="zh-CN" w:bidi="ar-SA"/>
                    </w:rPr>
                    <w:t>通过15米排气筒排放</w:t>
                  </w:r>
                </w:p>
              </w:tc>
              <w:tc>
                <w:tcPr>
                  <w:tcW w:w="2145" w:type="dxa"/>
                  <w:tcBorders>
                    <w:bottom w:val="single" w:color="000000" w:sz="4" w:space="0"/>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1"/>
                      <w:szCs w:val="24"/>
                      <w:highlight w:val="none"/>
                    </w:rPr>
                    <w:t>非甲烷总烃有组织：</w:t>
                  </w:r>
                  <w:r>
                    <w:rPr>
                      <w:rFonts w:hint="eastAsia" w:cs="Times New Roman"/>
                      <w:color w:val="auto"/>
                      <w:kern w:val="2"/>
                      <w:sz w:val="21"/>
                      <w:szCs w:val="24"/>
                      <w:highlight w:val="none"/>
                      <w:lang w:val="en-US" w:eastAsia="zh-CN"/>
                    </w:rPr>
                    <w:t>0.148</w:t>
                  </w:r>
                  <w:r>
                    <w:rPr>
                      <w:rFonts w:hint="eastAsia" w:ascii="Times New Roman" w:hAnsi="Times New Roman" w:eastAsia="宋体" w:cs="Times New Roman"/>
                      <w:color w:val="auto"/>
                      <w:kern w:val="2"/>
                      <w:sz w:val="21"/>
                      <w:szCs w:val="24"/>
                      <w:highlight w:val="none"/>
                    </w:rPr>
                    <w:t>mg/m</w:t>
                  </w:r>
                  <w:r>
                    <w:rPr>
                      <w:rFonts w:hint="eastAsia" w:ascii="Times New Roman" w:hAnsi="Times New Roman" w:eastAsia="宋体" w:cs="Times New Roman"/>
                      <w:color w:val="auto"/>
                      <w:kern w:val="2"/>
                      <w:sz w:val="21"/>
                      <w:szCs w:val="24"/>
                      <w:highlight w:val="none"/>
                      <w:vertAlign w:val="superscript"/>
                    </w:rPr>
                    <w:t>3</w:t>
                  </w:r>
                  <w:r>
                    <w:rPr>
                      <w:rFonts w:hint="eastAsia" w:ascii="Times New Roman" w:hAnsi="Times New Roman" w:eastAsia="宋体" w:cs="Times New Roman"/>
                      <w:color w:val="auto"/>
                      <w:kern w:val="2"/>
                      <w:sz w:val="21"/>
                      <w:szCs w:val="24"/>
                      <w:highlight w:val="none"/>
                      <w:lang w:val="en-US" w:eastAsia="zh-CN"/>
                    </w:rPr>
                    <w:t>、</w:t>
                  </w:r>
                  <w:r>
                    <w:rPr>
                      <w:rFonts w:hint="eastAsia" w:cs="Times New Roman"/>
                      <w:color w:val="auto"/>
                      <w:kern w:val="2"/>
                      <w:sz w:val="21"/>
                      <w:szCs w:val="24"/>
                      <w:highlight w:val="none"/>
                      <w:lang w:val="en-US" w:eastAsia="zh-CN"/>
                    </w:rPr>
                    <w:t>0.003</w:t>
                  </w:r>
                  <w:r>
                    <w:rPr>
                      <w:rFonts w:hint="eastAsia" w:ascii="Times New Roman" w:hAnsi="Times New Roman" w:eastAsia="宋体" w:cs="Times New Roman"/>
                      <w:color w:val="auto"/>
                      <w:kern w:val="2"/>
                      <w:sz w:val="21"/>
                      <w:szCs w:val="24"/>
                      <w:highlight w:val="none"/>
                    </w:rPr>
                    <w:t>t</w:t>
                  </w:r>
                  <w:r>
                    <w:rPr>
                      <w:rFonts w:ascii="Times New Roman" w:hAnsi="Times New Roman" w:eastAsia="宋体" w:cs="Times New Roman"/>
                      <w:color w:val="auto"/>
                      <w:kern w:val="2"/>
                      <w:sz w:val="21"/>
                      <w:szCs w:val="24"/>
                      <w:highlight w:val="none"/>
                    </w:rPr>
                    <w:t>/a</w:t>
                  </w:r>
                </w:p>
                <w:p>
                  <w:pPr>
                    <w:widowControl w:val="0"/>
                    <w:spacing w:after="0" w:line="240" w:lineRule="auto"/>
                    <w:jc w:val="center"/>
                    <w:rPr>
                      <w:rFonts w:hint="eastAsia"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1"/>
                      <w:szCs w:val="24"/>
                      <w:highlight w:val="none"/>
                    </w:rPr>
                    <w:t>无组织：</w:t>
                  </w:r>
                  <w:r>
                    <w:rPr>
                      <w:rFonts w:hint="eastAsia" w:ascii="Times New Roman" w:hAnsi="Times New Roman" w:eastAsia="宋体" w:cs="Times New Roman"/>
                      <w:color w:val="auto"/>
                      <w:kern w:val="2"/>
                      <w:sz w:val="21"/>
                      <w:szCs w:val="24"/>
                      <w:highlight w:val="none"/>
                      <w:lang w:val="en-US" w:eastAsia="zh-CN"/>
                    </w:rPr>
                    <w:t>0.0</w:t>
                  </w:r>
                  <w:r>
                    <w:rPr>
                      <w:rFonts w:hint="eastAsia" w:cs="Times New Roman"/>
                      <w:color w:val="auto"/>
                      <w:kern w:val="2"/>
                      <w:sz w:val="21"/>
                      <w:szCs w:val="24"/>
                      <w:highlight w:val="none"/>
                      <w:lang w:val="en-US" w:eastAsia="zh-CN"/>
                    </w:rPr>
                    <w:t>0</w:t>
                  </w:r>
                  <w:r>
                    <w:rPr>
                      <w:rFonts w:hint="eastAsia" w:ascii="Times New Roman" w:hAnsi="Times New Roman" w:eastAsia="宋体" w:cs="Times New Roman"/>
                      <w:color w:val="auto"/>
                      <w:kern w:val="2"/>
                      <w:sz w:val="21"/>
                      <w:szCs w:val="24"/>
                      <w:highlight w:val="none"/>
                      <w:lang w:val="en-US" w:eastAsia="zh-CN"/>
                    </w:rPr>
                    <w:t>4</w:t>
                  </w:r>
                  <w:r>
                    <w:rPr>
                      <w:rFonts w:hint="eastAsia" w:ascii="Times New Roman" w:hAnsi="Times New Roman" w:eastAsia="宋体" w:cs="Times New Roman"/>
                      <w:color w:val="auto"/>
                      <w:kern w:val="2"/>
                      <w:sz w:val="21"/>
                      <w:szCs w:val="24"/>
                      <w:highlight w:val="none"/>
                    </w:rPr>
                    <w:t>t</w:t>
                  </w:r>
                  <w:r>
                    <w:rPr>
                      <w:rFonts w:ascii="Times New Roman" w:hAnsi="Times New Roman" w:eastAsia="宋体" w:cs="Times New Roman"/>
                      <w:color w:val="auto"/>
                      <w:kern w:val="2"/>
                      <w:sz w:val="21"/>
                      <w:szCs w:val="24"/>
                      <w:highlight w:val="none"/>
                    </w:rPr>
                    <w:t>/a</w:t>
                  </w:r>
                </w:p>
              </w:tc>
              <w:tc>
                <w:tcPr>
                  <w:tcW w:w="2672" w:type="dxa"/>
                  <w:tcBorders>
                    <w:bottom w:val="single" w:color="000000" w:sz="4" w:space="0"/>
                    <w:tl2br w:val="nil"/>
                    <w:tr2bl w:val="nil"/>
                  </w:tcBorders>
                  <w:vAlign w:val="center"/>
                </w:tcPr>
                <w:p>
                  <w:pPr>
                    <w:widowControl w:val="0"/>
                    <w:spacing w:after="0" w:line="216"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达到广东省地方标准《大气污染物排放限值》（DB44/27-2001）中第二时段二级标准和第二时段无组织排放监控浓度限值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93" w:hRule="atLeast"/>
                <w:jc w:val="center"/>
              </w:trPr>
              <w:tc>
                <w:tcPr>
                  <w:tcW w:w="646" w:type="dxa"/>
                  <w:vMerge w:val="continue"/>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p>
              </w:tc>
              <w:tc>
                <w:tcPr>
                  <w:tcW w:w="1365" w:type="dxa"/>
                  <w:tcBorders>
                    <w:tl2br w:val="nil"/>
                    <w:tr2bl w:val="nil"/>
                  </w:tcBorders>
                  <w:vAlign w:val="center"/>
                </w:tcPr>
                <w:p>
                  <w:pPr>
                    <w:widowControl/>
                    <w:autoSpaceDE w:val="0"/>
                    <w:autoSpaceDN w:val="0"/>
                    <w:adjustRightInd w:val="0"/>
                    <w:spacing w:after="0" w:line="240" w:lineRule="auto"/>
                    <w:jc w:val="center"/>
                    <w:textAlignment w:val="baseline"/>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4"/>
                      <w:sz w:val="21"/>
                      <w:szCs w:val="21"/>
                      <w:highlight w:val="none"/>
                    </w:rPr>
                    <w:t>燃料废气</w:t>
                  </w:r>
                </w:p>
              </w:tc>
              <w:tc>
                <w:tcPr>
                  <w:tcW w:w="2310" w:type="dxa"/>
                  <w:tcBorders>
                    <w:tl2br w:val="nil"/>
                    <w:tr2bl w:val="nil"/>
                  </w:tcBorders>
                  <w:vAlign w:val="center"/>
                </w:tcPr>
                <w:p>
                  <w:pPr>
                    <w:widowControl w:val="0"/>
                    <w:snapToGrid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宋体" w:hAnsi="宋体" w:cs="Times New Roman"/>
                      <w:color w:val="auto"/>
                      <w:kern w:val="2"/>
                      <w:sz w:val="21"/>
                      <w:szCs w:val="21"/>
                      <w:highlight w:val="none"/>
                      <w:lang w:eastAsia="zh-CN"/>
                    </w:rPr>
                    <w:t>设置集气装置收集后经</w:t>
                  </w:r>
                  <w:r>
                    <w:rPr>
                      <w:rFonts w:hint="default" w:ascii="Times New Roman" w:hAnsi="Times New Roman" w:cs="Times New Roman"/>
                      <w:color w:val="auto"/>
                      <w:kern w:val="2"/>
                      <w:sz w:val="21"/>
                      <w:szCs w:val="21"/>
                      <w:highlight w:val="none"/>
                      <w:lang w:eastAsia="zh-CN"/>
                    </w:rPr>
                    <w:t>15米排气</w:t>
                  </w:r>
                  <w:r>
                    <w:rPr>
                      <w:rFonts w:hint="eastAsia" w:ascii="宋体" w:hAnsi="宋体" w:cs="Times New Roman"/>
                      <w:color w:val="auto"/>
                      <w:kern w:val="2"/>
                      <w:sz w:val="21"/>
                      <w:szCs w:val="21"/>
                      <w:highlight w:val="none"/>
                      <w:lang w:eastAsia="zh-CN"/>
                    </w:rPr>
                    <w:t>筒排放</w:t>
                  </w:r>
                </w:p>
              </w:tc>
              <w:tc>
                <w:tcPr>
                  <w:tcW w:w="2145" w:type="dxa"/>
                  <w:tcBorders>
                    <w:top w:val="single" w:color="000000" w:sz="4" w:space="0"/>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1"/>
                      <w:szCs w:val="24"/>
                      <w:highlight w:val="none"/>
                    </w:rPr>
                    <w:t>SO</w:t>
                  </w:r>
                  <w:r>
                    <w:rPr>
                      <w:rFonts w:hint="eastAsia" w:ascii="Times New Roman" w:hAnsi="Times New Roman" w:eastAsia="宋体" w:cs="Times New Roman"/>
                      <w:color w:val="auto"/>
                      <w:kern w:val="2"/>
                      <w:sz w:val="21"/>
                      <w:szCs w:val="24"/>
                      <w:highlight w:val="none"/>
                      <w:vertAlign w:val="subscript"/>
                    </w:rPr>
                    <w:t>2</w:t>
                  </w:r>
                  <w:r>
                    <w:rPr>
                      <w:rFonts w:hint="eastAsia" w:ascii="Times New Roman" w:hAnsi="Times New Roman" w:eastAsia="宋体" w:cs="Times New Roman"/>
                      <w:color w:val="auto"/>
                      <w:kern w:val="2"/>
                      <w:sz w:val="21"/>
                      <w:szCs w:val="24"/>
                      <w:highlight w:val="none"/>
                    </w:rPr>
                    <w:t>有组织：</w:t>
                  </w:r>
                  <w:r>
                    <w:rPr>
                      <w:rFonts w:hint="eastAsia" w:ascii="Times New Roman" w:hAnsi="Times New Roman" w:eastAsia="宋体" w:cs="Times New Roman"/>
                      <w:color w:val="auto"/>
                      <w:kern w:val="2"/>
                      <w:sz w:val="21"/>
                      <w:szCs w:val="24"/>
                      <w:highlight w:val="none"/>
                      <w:lang w:val="en-US" w:eastAsia="zh-CN"/>
                    </w:rPr>
                    <w:t>29.356</w:t>
                  </w:r>
                  <w:r>
                    <w:rPr>
                      <w:rFonts w:hint="eastAsia" w:ascii="Times New Roman" w:hAnsi="Times New Roman" w:eastAsia="宋体" w:cs="Times New Roman"/>
                      <w:color w:val="auto"/>
                      <w:kern w:val="2"/>
                      <w:sz w:val="21"/>
                      <w:szCs w:val="24"/>
                      <w:highlight w:val="none"/>
                    </w:rPr>
                    <w:t>mg/m</w:t>
                  </w:r>
                  <w:r>
                    <w:rPr>
                      <w:rFonts w:hint="eastAsia" w:ascii="Times New Roman" w:hAnsi="Times New Roman" w:eastAsia="宋体" w:cs="Times New Roman"/>
                      <w:color w:val="auto"/>
                      <w:kern w:val="2"/>
                      <w:sz w:val="21"/>
                      <w:szCs w:val="24"/>
                      <w:highlight w:val="none"/>
                      <w:vertAlign w:val="superscript"/>
                    </w:rPr>
                    <w:t>3</w:t>
                  </w:r>
                  <w:r>
                    <w:rPr>
                      <w:rFonts w:hint="eastAsia" w:ascii="Times New Roman" w:hAnsi="Times New Roman" w:eastAsia="宋体" w:cs="Times New Roman"/>
                      <w:color w:val="auto"/>
                      <w:kern w:val="2"/>
                      <w:sz w:val="21"/>
                      <w:szCs w:val="24"/>
                      <w:highlight w:val="none"/>
                      <w:lang w:val="en-US" w:eastAsia="zh-CN"/>
                    </w:rPr>
                    <w:t>、</w:t>
                  </w:r>
                </w:p>
                <w:p>
                  <w:pPr>
                    <w:widowControl w:val="0"/>
                    <w:spacing w:after="0" w:line="240" w:lineRule="auto"/>
                    <w:jc w:val="center"/>
                    <w:rPr>
                      <w:rFonts w:hint="eastAsia" w:ascii="Times New Roman" w:hAnsi="Times New Roman" w:eastAsia="宋体" w:cs="Times New Roman"/>
                      <w:color w:val="auto"/>
                      <w:kern w:val="2"/>
                      <w:sz w:val="21"/>
                      <w:szCs w:val="24"/>
                      <w:highlight w:val="none"/>
                      <w:lang w:val="en-US" w:eastAsia="zh-CN"/>
                    </w:rPr>
                  </w:pPr>
                  <w:r>
                    <w:rPr>
                      <w:rFonts w:hint="eastAsia" w:ascii="Times New Roman" w:hAnsi="Times New Roman" w:eastAsia="宋体" w:cs="Times New Roman"/>
                      <w:color w:val="auto"/>
                      <w:kern w:val="2"/>
                      <w:sz w:val="21"/>
                      <w:szCs w:val="24"/>
                      <w:highlight w:val="none"/>
                      <w:lang w:val="en-US" w:eastAsia="zh-CN"/>
                    </w:rPr>
                    <w:t>0.</w:t>
                  </w:r>
                  <w:r>
                    <w:rPr>
                      <w:rFonts w:hint="eastAsia" w:cs="Times New Roman"/>
                      <w:color w:val="auto"/>
                      <w:kern w:val="2"/>
                      <w:sz w:val="21"/>
                      <w:szCs w:val="24"/>
                      <w:highlight w:val="none"/>
                      <w:lang w:val="en-US" w:eastAsia="zh-CN"/>
                    </w:rPr>
                    <w:t>004t</w:t>
                  </w:r>
                  <w:r>
                    <w:rPr>
                      <w:rFonts w:hint="eastAsia" w:ascii="Times New Roman" w:hAnsi="Times New Roman" w:eastAsia="宋体" w:cs="Times New Roman"/>
                      <w:color w:val="auto"/>
                      <w:kern w:val="2"/>
                      <w:sz w:val="21"/>
                      <w:szCs w:val="24"/>
                      <w:highlight w:val="none"/>
                      <w:lang w:val="en-US" w:eastAsia="zh-CN"/>
                    </w:rPr>
                    <w:t>/a；NO</w:t>
                  </w:r>
                  <w:r>
                    <w:rPr>
                      <w:rFonts w:hint="eastAsia" w:ascii="Times New Roman" w:hAnsi="Times New Roman" w:eastAsia="宋体" w:cs="Times New Roman"/>
                      <w:color w:val="auto"/>
                      <w:kern w:val="2"/>
                      <w:sz w:val="21"/>
                      <w:szCs w:val="24"/>
                      <w:highlight w:val="none"/>
                      <w:vertAlign w:val="subscript"/>
                      <w:lang w:val="en-US" w:eastAsia="zh-CN"/>
                    </w:rPr>
                    <w:t>X</w:t>
                  </w:r>
                  <w:r>
                    <w:rPr>
                      <w:rFonts w:hint="eastAsia" w:ascii="Times New Roman" w:hAnsi="Times New Roman" w:eastAsia="宋体" w:cs="Times New Roman"/>
                      <w:color w:val="auto"/>
                      <w:kern w:val="2"/>
                      <w:sz w:val="21"/>
                      <w:szCs w:val="24"/>
                      <w:highlight w:val="none"/>
                      <w:lang w:val="en-US" w:eastAsia="zh-CN"/>
                    </w:rPr>
                    <w:t>有组织：46.235mg/m</w:t>
                  </w:r>
                  <w:r>
                    <w:rPr>
                      <w:rFonts w:hint="eastAsia" w:ascii="Times New Roman" w:hAnsi="Times New Roman" w:eastAsia="宋体" w:cs="Times New Roman"/>
                      <w:color w:val="auto"/>
                      <w:kern w:val="2"/>
                      <w:sz w:val="21"/>
                      <w:szCs w:val="24"/>
                      <w:highlight w:val="none"/>
                      <w:vertAlign w:val="superscript"/>
                      <w:lang w:val="en-US" w:eastAsia="zh-CN"/>
                    </w:rPr>
                    <w:t>3</w:t>
                  </w:r>
                  <w:r>
                    <w:rPr>
                      <w:rFonts w:hint="eastAsia" w:ascii="Times New Roman" w:hAnsi="Times New Roman" w:eastAsia="宋体" w:cs="Times New Roman"/>
                      <w:color w:val="auto"/>
                      <w:kern w:val="2"/>
                      <w:sz w:val="21"/>
                      <w:szCs w:val="24"/>
                      <w:highlight w:val="none"/>
                      <w:lang w:val="en-US" w:eastAsia="zh-CN"/>
                    </w:rPr>
                    <w:t>、</w:t>
                  </w:r>
                  <w:r>
                    <w:rPr>
                      <w:rFonts w:hint="eastAsia" w:cs="Times New Roman"/>
                      <w:color w:val="auto"/>
                      <w:kern w:val="2"/>
                      <w:sz w:val="21"/>
                      <w:szCs w:val="24"/>
                      <w:highlight w:val="none"/>
                      <w:lang w:val="en-US" w:eastAsia="zh-CN"/>
                    </w:rPr>
                    <w:t>0.006</w:t>
                  </w:r>
                  <w:r>
                    <w:rPr>
                      <w:rFonts w:hint="eastAsia" w:ascii="Times New Roman" w:hAnsi="Times New Roman" w:eastAsia="宋体" w:cs="Times New Roman"/>
                      <w:color w:val="auto"/>
                      <w:kern w:val="2"/>
                      <w:sz w:val="21"/>
                      <w:szCs w:val="24"/>
                      <w:highlight w:val="none"/>
                      <w:lang w:val="en-US" w:eastAsia="zh-CN"/>
                    </w:rPr>
                    <w:t>t/a；</w:t>
                  </w:r>
                </w:p>
                <w:p>
                  <w:pPr>
                    <w:widowControl w:val="0"/>
                    <w:spacing w:after="0" w:line="240" w:lineRule="auto"/>
                    <w:jc w:val="center"/>
                    <w:rPr>
                      <w:rFonts w:hint="eastAsia" w:ascii="Times New Roman" w:hAnsi="Times New Roman" w:eastAsia="宋体" w:cs="Times New Roman"/>
                      <w:color w:val="auto"/>
                      <w:kern w:val="2"/>
                      <w:sz w:val="21"/>
                      <w:szCs w:val="24"/>
                      <w:highlight w:val="none"/>
                    </w:rPr>
                  </w:pPr>
                  <w:r>
                    <w:rPr>
                      <w:rFonts w:hint="eastAsia" w:ascii="Times New Roman" w:hAnsi="Times New Roman" w:eastAsia="宋体" w:cs="Times New Roman"/>
                      <w:color w:val="auto"/>
                      <w:kern w:val="2"/>
                      <w:sz w:val="21"/>
                      <w:szCs w:val="24"/>
                      <w:highlight w:val="none"/>
                    </w:rPr>
                    <w:t>烟尘有组织：</w:t>
                  </w:r>
                  <w:r>
                    <w:rPr>
                      <w:rFonts w:hint="eastAsia" w:ascii="Times New Roman" w:hAnsi="Times New Roman" w:eastAsia="宋体" w:cs="Times New Roman"/>
                      <w:color w:val="auto"/>
                      <w:kern w:val="2"/>
                      <w:sz w:val="21"/>
                      <w:szCs w:val="24"/>
                      <w:highlight w:val="none"/>
                      <w:lang w:val="en-US" w:eastAsia="zh-CN"/>
                    </w:rPr>
                    <w:t>17.613</w:t>
                  </w:r>
                  <w:r>
                    <w:rPr>
                      <w:rFonts w:hint="eastAsia" w:ascii="Times New Roman" w:hAnsi="Times New Roman" w:eastAsia="宋体" w:cs="Times New Roman"/>
                      <w:color w:val="auto"/>
                      <w:kern w:val="2"/>
                      <w:sz w:val="21"/>
                      <w:szCs w:val="24"/>
                      <w:highlight w:val="none"/>
                    </w:rPr>
                    <w:t>mg/m</w:t>
                  </w:r>
                  <w:r>
                    <w:rPr>
                      <w:rFonts w:hint="eastAsia" w:ascii="Times New Roman" w:hAnsi="Times New Roman" w:eastAsia="宋体" w:cs="Times New Roman"/>
                      <w:color w:val="auto"/>
                      <w:kern w:val="2"/>
                      <w:sz w:val="21"/>
                      <w:szCs w:val="24"/>
                      <w:highlight w:val="none"/>
                      <w:vertAlign w:val="superscript"/>
                    </w:rPr>
                    <w:t>3</w:t>
                  </w:r>
                  <w:r>
                    <w:rPr>
                      <w:rFonts w:hint="eastAsia" w:ascii="Times New Roman" w:hAnsi="Times New Roman" w:eastAsia="宋体" w:cs="Times New Roman"/>
                      <w:color w:val="auto"/>
                      <w:kern w:val="2"/>
                      <w:sz w:val="21"/>
                      <w:szCs w:val="24"/>
                      <w:highlight w:val="none"/>
                      <w:lang w:val="en-US" w:eastAsia="zh-CN"/>
                    </w:rPr>
                    <w:t>、</w:t>
                  </w:r>
                </w:p>
                <w:p>
                  <w:pPr>
                    <w:widowControl w:val="0"/>
                    <w:spacing w:after="0" w:line="240" w:lineRule="auto"/>
                    <w:jc w:val="center"/>
                    <w:rPr>
                      <w:rFonts w:hint="eastAsia" w:ascii="Times New Roman" w:hAnsi="Times New Roman" w:eastAsia="宋体" w:cs="Times New Roman"/>
                      <w:color w:val="auto"/>
                      <w:kern w:val="2"/>
                      <w:sz w:val="21"/>
                      <w:szCs w:val="24"/>
                      <w:highlight w:val="none"/>
                    </w:rPr>
                  </w:pPr>
                  <w:r>
                    <w:rPr>
                      <w:rFonts w:hint="eastAsia" w:cs="Times New Roman"/>
                      <w:color w:val="auto"/>
                      <w:kern w:val="2"/>
                      <w:sz w:val="21"/>
                      <w:szCs w:val="24"/>
                      <w:highlight w:val="none"/>
                      <w:lang w:val="en-US" w:eastAsia="zh-CN"/>
                    </w:rPr>
                    <w:t>0.002</w:t>
                  </w:r>
                  <w:r>
                    <w:rPr>
                      <w:rFonts w:hint="eastAsia" w:ascii="Times New Roman" w:hAnsi="Times New Roman" w:eastAsia="宋体" w:cs="Times New Roman"/>
                      <w:color w:val="auto"/>
                      <w:kern w:val="2"/>
                      <w:sz w:val="21"/>
                      <w:szCs w:val="24"/>
                      <w:highlight w:val="none"/>
                    </w:rPr>
                    <w:t>t/a</w:t>
                  </w:r>
                </w:p>
              </w:tc>
              <w:tc>
                <w:tcPr>
                  <w:tcW w:w="2672" w:type="dxa"/>
                  <w:tcBorders>
                    <w:top w:val="single" w:color="000000" w:sz="4" w:space="0"/>
                    <w:tl2br w:val="nil"/>
                    <w:tr2bl w:val="nil"/>
                  </w:tcBorders>
                  <w:vAlign w:val="center"/>
                </w:tcPr>
                <w:p>
                  <w:pPr>
                    <w:widowControl w:val="0"/>
                    <w:spacing w:after="0" w:line="216" w:lineRule="auto"/>
                    <w:jc w:val="center"/>
                    <w:rPr>
                      <w:rFonts w:hint="eastAsia" w:ascii="Times New Roman" w:hAnsi="Times New Roman" w:eastAsia="宋体" w:cs="Times New Roman"/>
                      <w:color w:val="auto"/>
                      <w:kern w:val="2"/>
                      <w:sz w:val="21"/>
                      <w:szCs w:val="21"/>
                      <w:highlight w:val="none"/>
                      <w:lang w:eastAsia="zh-CN"/>
                    </w:rPr>
                  </w:pPr>
                  <w:r>
                    <w:rPr>
                      <w:rFonts w:ascii="Times New Roman" w:hAnsi="Times New Roman" w:eastAsia="宋体" w:cs="Times New Roman"/>
                      <w:color w:val="auto"/>
                      <w:kern w:val="24"/>
                      <w:sz w:val="21"/>
                      <w:szCs w:val="21"/>
                      <w:highlight w:val="none"/>
                    </w:rPr>
                    <w:t>SO</w:t>
                  </w:r>
                  <w:r>
                    <w:rPr>
                      <w:rFonts w:ascii="Times New Roman" w:hAnsi="Times New Roman" w:eastAsia="宋体" w:cs="Times New Roman"/>
                      <w:color w:val="auto"/>
                      <w:kern w:val="24"/>
                      <w:sz w:val="21"/>
                      <w:szCs w:val="21"/>
                      <w:highlight w:val="none"/>
                      <w:vertAlign w:val="subscript"/>
                    </w:rPr>
                    <w:t>2</w:t>
                  </w:r>
                  <w:r>
                    <w:rPr>
                      <w:rFonts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4"/>
                      <w:sz w:val="21"/>
                      <w:szCs w:val="21"/>
                      <w:highlight w:val="none"/>
                    </w:rPr>
                    <w:t>NO</w:t>
                  </w:r>
                  <w:r>
                    <w:rPr>
                      <w:rFonts w:ascii="Times New Roman" w:hAnsi="Times New Roman" w:eastAsia="宋体" w:cs="Times New Roman"/>
                      <w:color w:val="auto"/>
                      <w:kern w:val="2"/>
                      <w:sz w:val="21"/>
                      <w:szCs w:val="21"/>
                      <w:highlight w:val="none"/>
                    </w:rPr>
                    <w:t>x达到广东省地方标准《大气污染物排放限值》（DB44/27-2001）中第二时段二级标准</w:t>
                  </w:r>
                  <w:r>
                    <w:rPr>
                      <w:rFonts w:hint="eastAsia" w:cs="Times New Roman"/>
                      <w:color w:val="auto"/>
                      <w:kern w:val="2"/>
                      <w:sz w:val="21"/>
                      <w:szCs w:val="21"/>
                      <w:highlight w:val="none"/>
                      <w:lang w:eastAsia="zh-CN"/>
                    </w:rPr>
                    <w:t>、烟尘达到《工业炉窑大气污染物排放标准》表2“金属压延、锻造加热炉”二级标准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7" w:hRule="atLeast"/>
                <w:jc w:val="center"/>
              </w:trPr>
              <w:tc>
                <w:tcPr>
                  <w:tcW w:w="646" w:type="dxa"/>
                  <w:vMerge w:val="restart"/>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废水</w:t>
                  </w:r>
                </w:p>
              </w:tc>
              <w:tc>
                <w:tcPr>
                  <w:tcW w:w="1365" w:type="dxa"/>
                  <w:tcBorders>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ascii="Times New Roman" w:hAnsi="宋体" w:eastAsia="宋体" w:cs="Times New Roman"/>
                      <w:color w:val="auto"/>
                      <w:kern w:val="2"/>
                      <w:sz w:val="21"/>
                      <w:szCs w:val="21"/>
                      <w:highlight w:val="none"/>
                    </w:rPr>
                    <w:t>生活污水</w:t>
                  </w:r>
                </w:p>
              </w:tc>
              <w:tc>
                <w:tcPr>
                  <w:tcW w:w="2310" w:type="dxa"/>
                  <w:tcBorders>
                    <w:tl2br w:val="nil"/>
                    <w:tr2bl w:val="nil"/>
                  </w:tcBorders>
                  <w:vAlign w:val="center"/>
                </w:tcPr>
                <w:p>
                  <w:pPr>
                    <w:widowControl/>
                    <w:suppressAutoHyphens/>
                    <w:overflowPunct w:val="0"/>
                    <w:topLinePunct/>
                    <w:spacing w:before="72" w:after="72" w:line="240" w:lineRule="auto"/>
                    <w:jc w:val="center"/>
                    <w:textAlignment w:val="baseline"/>
                    <w:rPr>
                      <w:rFonts w:ascii="Times New Roman" w:hAnsi="Times New Roman" w:eastAsia="宋体" w:cs="Times New Roman"/>
                      <w:bCs/>
                      <w:color w:val="auto"/>
                      <w:kern w:val="0"/>
                      <w:sz w:val="21"/>
                      <w:szCs w:val="21"/>
                      <w:highlight w:val="none"/>
                    </w:rPr>
                  </w:pPr>
                  <w:r>
                    <w:rPr>
                      <w:rFonts w:hint="eastAsia" w:ascii="Times New Roman" w:hAnsi="Times New Roman" w:eastAsia="宋体" w:cs="Times New Roman"/>
                      <w:bCs/>
                      <w:color w:val="auto"/>
                      <w:kern w:val="0"/>
                      <w:sz w:val="21"/>
                      <w:szCs w:val="21"/>
                      <w:highlight w:val="none"/>
                    </w:rPr>
                    <w:t>经三级化粪池预处理后排入市政污水管网</w:t>
                  </w:r>
                </w:p>
              </w:tc>
              <w:tc>
                <w:tcPr>
                  <w:tcW w:w="2145" w:type="dxa"/>
                  <w:tcBorders>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54</w:t>
                  </w:r>
                  <w:r>
                    <w:rPr>
                      <w:rFonts w:ascii="Times New Roman" w:hAnsi="Times New Roman" w:eastAsia="宋体" w:cs="Times New Roman"/>
                      <w:color w:val="auto"/>
                      <w:kern w:val="2"/>
                      <w:sz w:val="21"/>
                      <w:szCs w:val="21"/>
                      <w:highlight w:val="none"/>
                    </w:rPr>
                    <w:t>t/a</w:t>
                  </w:r>
                </w:p>
              </w:tc>
              <w:tc>
                <w:tcPr>
                  <w:tcW w:w="2672" w:type="dxa"/>
                  <w:tcBorders>
                    <w:bottom w:val="single" w:color="000000" w:sz="4" w:space="0"/>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达到广东省地方标准《水污染物排放限值》（DB44/26-2001）第二时段三级标准和</w:t>
                  </w:r>
                  <w:r>
                    <w:rPr>
                      <w:rFonts w:hint="eastAsia" w:ascii="Times New Roman" w:hAnsi="Times New Roman" w:eastAsia="宋体" w:cs="Times New Roman"/>
                      <w:color w:val="auto"/>
                      <w:kern w:val="2"/>
                      <w:sz w:val="21"/>
                      <w:szCs w:val="21"/>
                      <w:highlight w:val="none"/>
                      <w:lang w:eastAsia="zh-CN"/>
                    </w:rPr>
                    <w:t>《污水排入城镇下水道水质标准》(GB/T31962-2015 )B级标准</w:t>
                  </w:r>
                  <w:r>
                    <w:rPr>
                      <w:rFonts w:hint="eastAsia" w:ascii="Times New Roman" w:hAnsi="Times New Roman" w:eastAsia="宋体" w:cs="Times New Roman"/>
                      <w:color w:val="auto"/>
                      <w:kern w:val="2"/>
                      <w:sz w:val="21"/>
                      <w:szCs w:val="21"/>
                      <w:highlight w:val="none"/>
                    </w:rPr>
                    <w:t>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628" w:hRule="atLeast"/>
                <w:jc w:val="center"/>
              </w:trPr>
              <w:tc>
                <w:tcPr>
                  <w:tcW w:w="646" w:type="dxa"/>
                  <w:vMerge w:val="continue"/>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p>
              </w:tc>
              <w:tc>
                <w:tcPr>
                  <w:tcW w:w="1365" w:type="dxa"/>
                  <w:tcBorders>
                    <w:tl2br w:val="nil"/>
                    <w:tr2bl w:val="nil"/>
                  </w:tcBorders>
                  <w:vAlign w:val="center"/>
                </w:tcPr>
                <w:p>
                  <w:pPr>
                    <w:widowControl w:val="0"/>
                    <w:spacing w:after="0" w:line="240" w:lineRule="auto"/>
                    <w:jc w:val="center"/>
                    <w:rPr>
                      <w:rFonts w:ascii="Times New Roman" w:hAnsi="宋体"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4"/>
                      <w:position w:val="0"/>
                      <w:sz w:val="21"/>
                      <w:szCs w:val="21"/>
                      <w:highlight w:val="none"/>
                      <w:lang w:val="en-US" w:eastAsia="zh-CN" w:bidi="ar-SA"/>
                    </w:rPr>
                    <w:t>喷淋废水</w:t>
                  </w:r>
                </w:p>
              </w:tc>
              <w:tc>
                <w:tcPr>
                  <w:tcW w:w="2310" w:type="dxa"/>
                  <w:tcBorders>
                    <w:tl2br w:val="nil"/>
                    <w:tr2bl w:val="nil"/>
                  </w:tcBorders>
                  <w:vAlign w:val="center"/>
                </w:tcPr>
                <w:p>
                  <w:pPr>
                    <w:widowControl w:val="0"/>
                    <w:spacing w:after="0" w:line="240" w:lineRule="auto"/>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宋体" w:eastAsia="宋体" w:cs="Times New Roman"/>
                      <w:color w:val="auto"/>
                      <w:kern w:val="2"/>
                      <w:sz w:val="21"/>
                      <w:szCs w:val="21"/>
                      <w:highlight w:val="none"/>
                    </w:rPr>
                    <w:t>经收集后</w:t>
                  </w:r>
                  <w:r>
                    <w:rPr>
                      <w:rFonts w:hint="eastAsia" w:hAnsi="宋体" w:cs="Times New Roman"/>
                      <w:color w:val="auto"/>
                      <w:kern w:val="2"/>
                      <w:sz w:val="21"/>
                      <w:szCs w:val="21"/>
                      <w:highlight w:val="none"/>
                      <w:lang w:eastAsia="zh-CN"/>
                    </w:rPr>
                    <w:t>定期交具有零星废水处理资质的单位处理，不外排</w:t>
                  </w:r>
                </w:p>
              </w:tc>
              <w:tc>
                <w:tcPr>
                  <w:tcW w:w="2145"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16</w:t>
                  </w:r>
                  <w:r>
                    <w:rPr>
                      <w:rFonts w:ascii="Times New Roman" w:hAnsi="Times New Roman" w:eastAsia="宋体" w:cs="Times New Roman"/>
                      <w:color w:val="auto"/>
                      <w:kern w:val="2"/>
                      <w:sz w:val="21"/>
                      <w:szCs w:val="21"/>
                      <w:highlight w:val="none"/>
                    </w:rPr>
                    <w:t>t/a</w:t>
                  </w:r>
                </w:p>
              </w:tc>
              <w:tc>
                <w:tcPr>
                  <w:tcW w:w="2672" w:type="dxa"/>
                  <w:tcBorders>
                    <w:tl2br w:val="nil"/>
                    <w:tr2bl w:val="nil"/>
                  </w:tcBorders>
                  <w:vAlign w:val="center"/>
                </w:tcPr>
                <w:p>
                  <w:pPr>
                    <w:widowControl w:val="0"/>
                    <w:spacing w:after="0" w:line="240" w:lineRule="auto"/>
                    <w:jc w:val="center"/>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646" w:type="dxa"/>
                  <w:vMerge w:val="restart"/>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固废</w:t>
                  </w:r>
                </w:p>
              </w:tc>
              <w:tc>
                <w:tcPr>
                  <w:tcW w:w="1365" w:type="dxa"/>
                  <w:tcBorders>
                    <w:tl2br w:val="nil"/>
                    <w:tr2bl w:val="nil"/>
                  </w:tcBorders>
                  <w:vAlign w:val="center"/>
                </w:tcPr>
                <w:p>
                  <w:pPr>
                    <w:widowControl w:val="0"/>
                    <w:snapToGrid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生活垃圾</w:t>
                  </w:r>
                </w:p>
              </w:tc>
              <w:tc>
                <w:tcPr>
                  <w:tcW w:w="2310" w:type="dxa"/>
                  <w:tcBorders>
                    <w:tl2br w:val="nil"/>
                    <w:tr2bl w:val="nil"/>
                  </w:tcBorders>
                  <w:vAlign w:val="center"/>
                </w:tcPr>
                <w:p>
                  <w:pPr>
                    <w:keepNext/>
                    <w:widowControl w:val="0"/>
                    <w:topLinePunct/>
                    <w:autoSpaceDE w:val="0"/>
                    <w:autoSpaceDN w:val="0"/>
                    <w:adjustRightInd w:val="0"/>
                    <w:spacing w:after="0" w:line="240" w:lineRule="auto"/>
                    <w:jc w:val="center"/>
                    <w:textAlignment w:val="baseline"/>
                    <w:rPr>
                      <w:rFonts w:ascii="Times New Roman" w:hAnsi="Times New Roman" w:eastAsia="宋体" w:cs="Times New Roman"/>
                      <w:color w:val="auto"/>
                      <w:kern w:val="0"/>
                      <w:position w:val="-28"/>
                      <w:sz w:val="21"/>
                      <w:szCs w:val="21"/>
                      <w:highlight w:val="none"/>
                    </w:rPr>
                  </w:pPr>
                  <w:r>
                    <w:rPr>
                      <w:rFonts w:ascii="Times New Roman" w:hAnsi="Times New Roman" w:eastAsia="宋体" w:cs="Times New Roman"/>
                      <w:color w:val="auto"/>
                      <w:kern w:val="0"/>
                      <w:sz w:val="21"/>
                      <w:szCs w:val="21"/>
                      <w:highlight w:val="none"/>
                    </w:rPr>
                    <w:t>交环卫部门处理</w:t>
                  </w:r>
                </w:p>
              </w:tc>
              <w:tc>
                <w:tcPr>
                  <w:tcW w:w="2145" w:type="dxa"/>
                  <w:tcBorders>
                    <w:tl2br w:val="nil"/>
                    <w:tr2bl w:val="nil"/>
                  </w:tcBorders>
                  <w:vAlign w:val="center"/>
                </w:tcPr>
                <w:p>
                  <w:pPr>
                    <w:keepNext/>
                    <w:widowControl w:val="0"/>
                    <w:topLinePunct/>
                    <w:autoSpaceDE w:val="0"/>
                    <w:autoSpaceDN w:val="0"/>
                    <w:adjustRightInd w:val="0"/>
                    <w:spacing w:after="0" w:line="240" w:lineRule="auto"/>
                    <w:jc w:val="center"/>
                    <w:textAlignment w:val="baseline"/>
                    <w:rPr>
                      <w:rFonts w:ascii="Times New Roman" w:hAnsi="Times New Roman" w:eastAsia="宋体" w:cs="Times New Roman"/>
                      <w:color w:val="auto"/>
                      <w:kern w:val="0"/>
                      <w:sz w:val="21"/>
                      <w:szCs w:val="21"/>
                      <w:highlight w:val="none"/>
                    </w:rPr>
                  </w:pPr>
                  <w:r>
                    <w:rPr>
                      <w:rFonts w:hint="eastAsia" w:cs="Times New Roman"/>
                      <w:color w:val="auto"/>
                      <w:kern w:val="2"/>
                      <w:sz w:val="21"/>
                      <w:szCs w:val="21"/>
                      <w:highlight w:val="none"/>
                      <w:lang w:val="en-US" w:eastAsia="zh-CN"/>
                    </w:rPr>
                    <w:t>1.2</w:t>
                  </w:r>
                  <w:r>
                    <w:rPr>
                      <w:rFonts w:ascii="Times New Roman" w:hAnsi="Times New Roman" w:eastAsia="宋体" w:cs="Times New Roman"/>
                      <w:color w:val="auto"/>
                      <w:kern w:val="0"/>
                      <w:sz w:val="21"/>
                      <w:szCs w:val="21"/>
                      <w:highlight w:val="none"/>
                    </w:rPr>
                    <w:t>t/a</w:t>
                  </w:r>
                </w:p>
              </w:tc>
              <w:tc>
                <w:tcPr>
                  <w:tcW w:w="2672" w:type="dxa"/>
                  <w:vMerge w:val="restart"/>
                  <w:tcBorders>
                    <w:tl2br w:val="nil"/>
                    <w:tr2bl w:val="nil"/>
                  </w:tcBorders>
                  <w:vAlign w:val="center"/>
                </w:tcPr>
                <w:p>
                  <w:pPr>
                    <w:widowControl/>
                    <w:adjustRightInd w:val="0"/>
                    <w:spacing w:before="60" w:after="0" w:line="240" w:lineRule="auto"/>
                    <w:jc w:val="center"/>
                    <w:textAlignment w:val="baseline"/>
                    <w:rPr>
                      <w:rFonts w:ascii="Times New Roman" w:hAnsi="Times New Roman" w:eastAsia="宋体" w:cs="Times New Roman"/>
                      <w:bCs/>
                      <w:color w:val="auto"/>
                      <w:kern w:val="2"/>
                      <w:sz w:val="21"/>
                      <w:szCs w:val="21"/>
                      <w:highlight w:val="none"/>
                    </w:rPr>
                  </w:pPr>
                  <w:r>
                    <w:rPr>
                      <w:rFonts w:ascii="Times New Roman" w:hAnsi="Times New Roman" w:eastAsia="宋体" w:cs="Times New Roman"/>
                      <w:color w:val="auto"/>
                      <w:kern w:val="0"/>
                      <w:sz w:val="21"/>
                      <w:szCs w:val="21"/>
                      <w:highlight w:val="none"/>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646" w:type="dxa"/>
                  <w:vMerge w:val="continue"/>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p>
              </w:tc>
              <w:tc>
                <w:tcPr>
                  <w:tcW w:w="1365" w:type="dxa"/>
                  <w:tcBorders>
                    <w:tl2br w:val="nil"/>
                    <w:tr2bl w:val="nil"/>
                  </w:tcBorders>
                  <w:vAlign w:val="center"/>
                </w:tcPr>
                <w:p>
                  <w:pPr>
                    <w:widowControl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4"/>
                      <w:position w:val="0"/>
                      <w:sz w:val="21"/>
                      <w:szCs w:val="21"/>
                      <w:highlight w:val="none"/>
                      <w:lang w:val="en-US" w:eastAsia="zh-CN" w:bidi="ar-SA"/>
                    </w:rPr>
                    <w:t>一般固体废物</w:t>
                  </w:r>
                </w:p>
              </w:tc>
              <w:tc>
                <w:tcPr>
                  <w:tcW w:w="2310" w:type="dxa"/>
                  <w:tcBorders>
                    <w:tl2br w:val="nil"/>
                    <w:tr2bl w:val="nil"/>
                  </w:tcBorders>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交专业公司回收处理</w:t>
                  </w:r>
                </w:p>
              </w:tc>
              <w:tc>
                <w:tcPr>
                  <w:tcW w:w="2145" w:type="dxa"/>
                  <w:tcBorders>
                    <w:tl2br w:val="nil"/>
                    <w:tr2bl w:val="nil"/>
                  </w:tcBorders>
                  <w:vAlign w:val="center"/>
                </w:tcPr>
                <w:p>
                  <w:pPr>
                    <w:keepNext/>
                    <w:widowControl w:val="0"/>
                    <w:topLinePunct/>
                    <w:autoSpaceDE w:val="0"/>
                    <w:autoSpaceDN w:val="0"/>
                    <w:adjustRightInd w:val="0"/>
                    <w:spacing w:after="0" w:line="240" w:lineRule="auto"/>
                    <w:jc w:val="center"/>
                    <w:textAlignment w:val="baseline"/>
                    <w:rPr>
                      <w:rFonts w:ascii="Times New Roman" w:hAnsi="Times New Roman" w:eastAsia="宋体" w:cs="Times New Roman"/>
                      <w:color w:val="auto"/>
                      <w:kern w:val="0"/>
                      <w:sz w:val="21"/>
                      <w:szCs w:val="21"/>
                      <w:highlight w:val="none"/>
                    </w:rPr>
                  </w:pPr>
                  <w:r>
                    <w:rPr>
                      <w:rFonts w:hint="eastAsia" w:cs="Times New Roman"/>
                      <w:color w:val="auto"/>
                      <w:kern w:val="2"/>
                      <w:sz w:val="21"/>
                      <w:szCs w:val="21"/>
                      <w:highlight w:val="none"/>
                      <w:lang w:val="en-US" w:eastAsia="zh-CN"/>
                    </w:rPr>
                    <w:t>6</w:t>
                  </w:r>
                  <w:r>
                    <w:rPr>
                      <w:rFonts w:ascii="Times New Roman" w:hAnsi="Times New Roman" w:eastAsia="宋体" w:cs="Times New Roman"/>
                      <w:color w:val="auto"/>
                      <w:kern w:val="0"/>
                      <w:sz w:val="21"/>
                      <w:szCs w:val="21"/>
                      <w:highlight w:val="none"/>
                    </w:rPr>
                    <w:t>t/a</w:t>
                  </w:r>
                </w:p>
              </w:tc>
              <w:tc>
                <w:tcPr>
                  <w:tcW w:w="2672" w:type="dxa"/>
                  <w:vMerge w:val="continue"/>
                  <w:tcBorders>
                    <w:tl2br w:val="nil"/>
                    <w:tr2bl w:val="nil"/>
                  </w:tcBorders>
                  <w:vAlign w:val="center"/>
                </w:tcPr>
                <w:p>
                  <w:pPr>
                    <w:widowControl/>
                    <w:adjustRightInd w:val="0"/>
                    <w:spacing w:before="60" w:after="0" w:line="240" w:lineRule="auto"/>
                    <w:jc w:val="center"/>
                    <w:textAlignment w:val="baseline"/>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646" w:type="dxa"/>
                  <w:vMerge w:val="continue"/>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p>
              </w:tc>
              <w:tc>
                <w:tcPr>
                  <w:tcW w:w="1365" w:type="dxa"/>
                  <w:tcBorders>
                    <w:tl2br w:val="nil"/>
                    <w:tr2bl w:val="nil"/>
                  </w:tcBorders>
                  <w:vAlign w:val="center"/>
                </w:tcPr>
                <w:p>
                  <w:pPr>
                    <w:widowControl w:val="0"/>
                    <w:topLinePunct/>
                    <w:autoSpaceDE w:val="0"/>
                    <w:autoSpaceDN w:val="0"/>
                    <w:adjustRightInd w:val="0"/>
                    <w:jc w:val="center"/>
                    <w:textAlignment w:val="baseline"/>
                    <w:rPr>
                      <w:rFonts w:ascii="Times New Roman" w:hAnsi="Times New Roman" w:eastAsia="宋体" w:cs="Times New Roman"/>
                      <w:color w:val="auto"/>
                      <w:spacing w:val="-2"/>
                      <w:kern w:val="2"/>
                      <w:sz w:val="21"/>
                      <w:szCs w:val="21"/>
                      <w:highlight w:val="none"/>
                    </w:rPr>
                  </w:pPr>
                  <w:r>
                    <w:rPr>
                      <w:rFonts w:hint="eastAsia" w:ascii="Times New Roman" w:hAnsi="宋体" w:eastAsia="宋体" w:cs="Times New Roman"/>
                      <w:color w:val="auto"/>
                      <w:kern w:val="24"/>
                      <w:position w:val="0"/>
                      <w:sz w:val="21"/>
                      <w:szCs w:val="21"/>
                      <w:highlight w:val="none"/>
                      <w:lang w:val="en-US" w:eastAsia="zh-CN" w:bidi="ar-SA"/>
                    </w:rPr>
                    <w:t>危险废物</w:t>
                  </w:r>
                </w:p>
              </w:tc>
              <w:tc>
                <w:tcPr>
                  <w:tcW w:w="2310" w:type="dxa"/>
                  <w:tcBorders>
                    <w:tl2br w:val="nil"/>
                    <w:tr2bl w:val="nil"/>
                  </w:tcBorders>
                  <w:vAlign w:val="center"/>
                </w:tcPr>
                <w:p>
                  <w:pPr>
                    <w:widowControl w:val="0"/>
                    <w:topLinePunct/>
                    <w:autoSpaceDE w:val="0"/>
                    <w:autoSpaceDN w:val="0"/>
                    <w:adjustRightInd w:val="0"/>
                    <w:jc w:val="center"/>
                    <w:textAlignment w:val="baseline"/>
                    <w:rPr>
                      <w:rFonts w:ascii="Times New Roman" w:hAnsi="Times New Roman" w:eastAsia="宋体" w:cs="Times New Roman"/>
                      <w:color w:val="auto"/>
                      <w:kern w:val="24"/>
                      <w:position w:val="0"/>
                      <w:sz w:val="21"/>
                      <w:szCs w:val="21"/>
                      <w:highlight w:val="none"/>
                      <w:lang w:val="en-US" w:eastAsia="zh-CN" w:bidi="ar-SA"/>
                    </w:rPr>
                  </w:pPr>
                  <w:r>
                    <w:rPr>
                      <w:rFonts w:hint="eastAsia" w:ascii="Times New Roman" w:hAnsi="Times New Roman" w:eastAsia="宋体" w:cs="Times New Roman"/>
                      <w:color w:val="auto"/>
                      <w:kern w:val="24"/>
                      <w:position w:val="0"/>
                      <w:sz w:val="21"/>
                      <w:szCs w:val="21"/>
                      <w:highlight w:val="none"/>
                      <w:lang w:val="en-US" w:eastAsia="zh-CN" w:bidi="ar-SA"/>
                    </w:rPr>
                    <w:t>交给有危险废物处置资质单位处置</w:t>
                  </w:r>
                </w:p>
              </w:tc>
              <w:tc>
                <w:tcPr>
                  <w:tcW w:w="2145" w:type="dxa"/>
                  <w:tcBorders>
                    <w:tl2br w:val="nil"/>
                    <w:tr2bl w:val="nil"/>
                  </w:tcBorders>
                  <w:vAlign w:val="center"/>
                </w:tcPr>
                <w:p>
                  <w:pPr>
                    <w:widowControl w:val="0"/>
                    <w:topLinePunct/>
                    <w:autoSpaceDE w:val="0"/>
                    <w:autoSpaceDN w:val="0"/>
                    <w:adjustRightInd w:val="0"/>
                    <w:jc w:val="center"/>
                    <w:textAlignment w:val="baseline"/>
                    <w:rPr>
                      <w:rFonts w:ascii="Times New Roman" w:hAnsi="Times New Roman" w:eastAsia="宋体" w:cs="Times New Roman"/>
                      <w:color w:val="auto"/>
                      <w:kern w:val="24"/>
                      <w:position w:val="0"/>
                      <w:sz w:val="21"/>
                      <w:szCs w:val="21"/>
                      <w:highlight w:val="none"/>
                      <w:lang w:val="en-US" w:eastAsia="zh-CN" w:bidi="ar-SA"/>
                    </w:rPr>
                  </w:pPr>
                  <w:r>
                    <w:rPr>
                      <w:rFonts w:hint="eastAsia" w:cs="Times New Roman"/>
                      <w:color w:val="auto"/>
                      <w:kern w:val="24"/>
                      <w:position w:val="0"/>
                      <w:sz w:val="21"/>
                      <w:szCs w:val="21"/>
                      <w:highlight w:val="none"/>
                      <w:lang w:val="en-US" w:eastAsia="zh-CN" w:bidi="ar-SA"/>
                    </w:rPr>
                    <w:t>0.7972</w:t>
                  </w:r>
                  <w:r>
                    <w:rPr>
                      <w:rFonts w:hint="eastAsia" w:ascii="Times New Roman" w:hAnsi="Times New Roman" w:eastAsia="宋体" w:cs="Times New Roman"/>
                      <w:color w:val="auto"/>
                      <w:kern w:val="24"/>
                      <w:position w:val="0"/>
                      <w:sz w:val="21"/>
                      <w:szCs w:val="21"/>
                      <w:highlight w:val="none"/>
                      <w:lang w:val="en-US" w:eastAsia="zh-CN" w:bidi="ar-SA"/>
                    </w:rPr>
                    <w:t>t/a</w:t>
                  </w:r>
                </w:p>
              </w:tc>
              <w:tc>
                <w:tcPr>
                  <w:tcW w:w="2672" w:type="dxa"/>
                  <w:vMerge w:val="continue"/>
                  <w:tcBorders>
                    <w:tl2br w:val="nil"/>
                    <w:tr2bl w:val="nil"/>
                  </w:tcBorders>
                  <w:vAlign w:val="center"/>
                </w:tcPr>
                <w:p>
                  <w:pPr>
                    <w:widowControl/>
                    <w:adjustRightInd w:val="0"/>
                    <w:spacing w:before="60" w:after="0" w:line="240" w:lineRule="auto"/>
                    <w:jc w:val="center"/>
                    <w:textAlignment w:val="baseline"/>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64" w:hRule="atLeast"/>
                <w:jc w:val="center"/>
              </w:trPr>
              <w:tc>
                <w:tcPr>
                  <w:tcW w:w="646" w:type="dxa"/>
                  <w:tcBorders>
                    <w:tl2br w:val="nil"/>
                    <w:tr2bl w:val="nil"/>
                  </w:tcBorders>
                  <w:vAlign w:val="center"/>
                </w:tcPr>
                <w:p>
                  <w:pPr>
                    <w:widowControl w:val="0"/>
                    <w:spacing w:after="0" w:line="240" w:lineRule="auto"/>
                    <w:jc w:val="both"/>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噪声</w:t>
                  </w:r>
                </w:p>
              </w:tc>
              <w:tc>
                <w:tcPr>
                  <w:tcW w:w="1365" w:type="dxa"/>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rPr>
                  </w:pPr>
                  <w:r>
                    <w:rPr>
                      <w:rFonts w:ascii="Times New Roman" w:hAnsi="Times New Roman" w:eastAsia="宋体" w:cs="Times New Roman"/>
                      <w:color w:val="auto"/>
                      <w:kern w:val="2"/>
                      <w:sz w:val="21"/>
                      <w:szCs w:val="21"/>
                      <w:highlight w:val="none"/>
                    </w:rPr>
                    <w:t>设备、机械噪声</w:t>
                  </w:r>
                </w:p>
              </w:tc>
              <w:tc>
                <w:tcPr>
                  <w:tcW w:w="2310"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使用低噪声设备，合理安排高噪声设备作业时段，采用隔声、消声、减振等措施</w:t>
                  </w:r>
                </w:p>
              </w:tc>
              <w:tc>
                <w:tcPr>
                  <w:tcW w:w="2145" w:type="dxa"/>
                  <w:tcBorders>
                    <w:tl2br w:val="nil"/>
                    <w:tr2bl w:val="nil"/>
                  </w:tcBorders>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噪声值</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6</w:t>
                  </w:r>
                  <w:r>
                    <w:rPr>
                      <w:rFonts w:hint="eastAsia" w:cs="Times New Roman"/>
                      <w:color w:val="auto"/>
                      <w:kern w:val="2"/>
                      <w:sz w:val="21"/>
                      <w:szCs w:val="21"/>
                      <w:highlight w:val="none"/>
                      <w:lang w:val="en-US" w:eastAsia="zh-CN"/>
                    </w:rPr>
                    <w:t>0</w:t>
                  </w:r>
                  <w:r>
                    <w:rPr>
                      <w:rFonts w:ascii="Times New Roman" w:hAnsi="Times New Roman" w:eastAsia="宋体" w:cs="Times New Roman"/>
                      <w:color w:val="auto"/>
                      <w:kern w:val="2"/>
                      <w:sz w:val="21"/>
                      <w:szCs w:val="21"/>
                      <w:highlight w:val="none"/>
                    </w:rPr>
                    <w:t>dB(A)</w:t>
                  </w:r>
                </w:p>
              </w:tc>
              <w:tc>
                <w:tcPr>
                  <w:tcW w:w="2672" w:type="dxa"/>
                  <w:tcBorders>
                    <w:tl2br w:val="nil"/>
                    <w:tr2bl w:val="nil"/>
                  </w:tcBorders>
                  <w:vAlign w:val="center"/>
                </w:tcPr>
                <w:p>
                  <w:pPr>
                    <w:widowControl w:val="0"/>
                    <w:spacing w:after="0" w:line="240" w:lineRule="auto"/>
                    <w:jc w:val="center"/>
                    <w:rPr>
                      <w:rFonts w:ascii="Times New Roman" w:hAnsi="Times New Roman" w:eastAsia="宋体" w:cs="Times New Roman"/>
                      <w:bCs/>
                      <w:color w:val="auto"/>
                      <w:kern w:val="2"/>
                      <w:sz w:val="21"/>
                      <w:szCs w:val="21"/>
                      <w:highlight w:val="none"/>
                    </w:rPr>
                  </w:pPr>
                  <w:r>
                    <w:rPr>
                      <w:rFonts w:ascii="Times New Roman" w:hAnsi="Times New Roman" w:eastAsia="宋体" w:cs="Times New Roman"/>
                      <w:bCs/>
                      <w:color w:val="auto"/>
                      <w:kern w:val="2"/>
                      <w:sz w:val="21"/>
                      <w:szCs w:val="21"/>
                      <w:highlight w:val="none"/>
                    </w:rPr>
                    <w:t>达到《工业企业厂界环境噪声排放标准》（GB12348-2008）</w:t>
                  </w:r>
                  <w:r>
                    <w:rPr>
                      <w:rFonts w:hint="eastAsia" w:cs="Times New Roman"/>
                      <w:bCs/>
                      <w:color w:val="auto"/>
                      <w:kern w:val="2"/>
                      <w:sz w:val="21"/>
                      <w:szCs w:val="21"/>
                      <w:highlight w:val="none"/>
                      <w:lang w:val="en-US" w:eastAsia="zh-CN"/>
                    </w:rPr>
                    <w:t>2</w:t>
                  </w:r>
                  <w:r>
                    <w:rPr>
                      <w:rFonts w:hint="eastAsia" w:ascii="Times New Roman" w:hAnsi="Times New Roman" w:eastAsia="宋体" w:cs="Times New Roman"/>
                      <w:bCs/>
                      <w:color w:val="auto"/>
                      <w:kern w:val="2"/>
                      <w:sz w:val="21"/>
                      <w:szCs w:val="21"/>
                      <w:highlight w:val="none"/>
                      <w:lang w:eastAsia="zh-CN"/>
                    </w:rPr>
                    <w:t>类</w:t>
                  </w:r>
                  <w:r>
                    <w:rPr>
                      <w:rFonts w:ascii="Times New Roman" w:hAnsi="Times New Roman" w:eastAsia="宋体" w:cs="Times New Roman"/>
                      <w:bCs/>
                      <w:color w:val="auto"/>
                      <w:kern w:val="2"/>
                      <w:sz w:val="21"/>
                      <w:szCs w:val="21"/>
                      <w:highlight w:val="none"/>
                    </w:rPr>
                    <w:t>标准</w:t>
                  </w:r>
                </w:p>
              </w:tc>
            </w:tr>
          </w:tbl>
          <w:p>
            <w:pPr>
              <w:pStyle w:val="86"/>
              <w:autoSpaceDE w:val="0"/>
              <w:autoSpaceDN w:val="0"/>
              <w:spacing w:line="408" w:lineRule="auto"/>
              <w:ind w:firstLine="0" w:firstLineChars="0"/>
              <w:rPr>
                <w:rFonts w:hint="eastAsia"/>
                <w:color w:val="auto"/>
                <w:kern w:val="0"/>
                <w:sz w:val="24"/>
                <w:szCs w:val="24"/>
                <w:highlight w:val="none"/>
                <w:lang w:val="en-US" w:eastAsia="zh-CN"/>
              </w:rPr>
            </w:pPr>
            <w:r>
              <w:rPr>
                <w:rFonts w:hint="eastAsia"/>
                <w:color w:val="auto"/>
                <w:kern w:val="0"/>
                <w:sz w:val="24"/>
                <w:szCs w:val="24"/>
                <w:highlight w:val="none"/>
                <w:lang w:val="en-US" w:eastAsia="zh-CN"/>
              </w:rPr>
              <w:t xml:space="preserve">  </w:t>
            </w:r>
          </w:p>
          <w:p>
            <w:pPr>
              <w:pStyle w:val="86"/>
              <w:autoSpaceDE w:val="0"/>
              <w:autoSpaceDN w:val="0"/>
              <w:spacing w:line="408" w:lineRule="auto"/>
              <w:ind w:firstLine="0" w:firstLineChars="0"/>
              <w:rPr>
                <w:rFonts w:hint="eastAsia"/>
                <w:color w:val="auto"/>
                <w:kern w:val="0"/>
                <w:sz w:val="24"/>
                <w:szCs w:val="24"/>
                <w:highlight w:val="none"/>
                <w:lang w:val="en-US" w:eastAsia="zh-CN"/>
              </w:rPr>
            </w:pPr>
          </w:p>
          <w:p>
            <w:pPr>
              <w:pStyle w:val="86"/>
              <w:autoSpaceDE w:val="0"/>
              <w:autoSpaceDN w:val="0"/>
              <w:spacing w:line="408" w:lineRule="auto"/>
              <w:ind w:firstLine="0" w:firstLineChars="0"/>
              <w:rPr>
                <w:rFonts w:hint="eastAsia"/>
                <w:color w:val="auto"/>
                <w:kern w:val="0"/>
                <w:sz w:val="24"/>
                <w:szCs w:val="24"/>
                <w:highlight w:val="none"/>
                <w:lang w:val="en-US" w:eastAsia="zh-CN"/>
              </w:rPr>
            </w:pPr>
          </w:p>
          <w:p>
            <w:pPr>
              <w:pStyle w:val="86"/>
              <w:autoSpaceDE w:val="0"/>
              <w:autoSpaceDN w:val="0"/>
              <w:spacing w:line="408" w:lineRule="auto"/>
              <w:ind w:firstLine="0" w:firstLineChars="0"/>
              <w:rPr>
                <w:rFonts w:hint="eastAsia"/>
                <w:color w:val="auto"/>
                <w:kern w:val="0"/>
                <w:sz w:val="24"/>
                <w:szCs w:val="24"/>
                <w:highlight w:val="none"/>
                <w:lang w:val="en-US" w:eastAsia="zh-CN"/>
              </w:rPr>
            </w:pPr>
          </w:p>
        </w:tc>
      </w:tr>
    </w:tbl>
    <w:p>
      <w:pPr>
        <w:pStyle w:val="16"/>
        <w:spacing w:before="0" w:after="0" w:line="240" w:lineRule="auto"/>
        <w:rPr>
          <w:color w:val="auto"/>
          <w:sz w:val="28"/>
          <w:szCs w:val="28"/>
          <w:highlight w:val="none"/>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bookmarkStart w:id="95" w:name="_Toc419969248"/>
      <w:bookmarkStart w:id="96" w:name="_Toc423079061"/>
      <w:bookmarkStart w:id="97" w:name="_Toc420709135"/>
      <w:bookmarkStart w:id="98" w:name="_Toc421087975"/>
      <w:bookmarkStart w:id="99" w:name="_Toc4054"/>
      <w:bookmarkStart w:id="100" w:name="_Toc27939"/>
      <w:bookmarkStart w:id="101" w:name="_Toc451440908"/>
      <w:bookmarkStart w:id="102" w:name="_Toc429307990"/>
      <w:bookmarkStart w:id="103" w:name="_Toc421053065"/>
      <w:bookmarkStart w:id="104" w:name="_Toc26781"/>
    </w:p>
    <w:p>
      <w:pPr>
        <w:adjustRightInd w:val="0"/>
        <w:snapToGrid w:val="0"/>
        <w:spacing w:line="240" w:lineRule="auto"/>
        <w:ind w:firstLine="480" w:firstLineChars="200"/>
        <w:jc w:val="left"/>
        <w:rPr>
          <w:color w:val="auto"/>
          <w:kern w:val="24"/>
          <w:sz w:val="24"/>
          <w:highlight w:val="none"/>
        </w:rPr>
      </w:pPr>
      <w:r>
        <w:rPr>
          <w:rFonts w:hint="eastAsia"/>
          <w:color w:val="auto"/>
          <w:kern w:val="24"/>
          <w:sz w:val="24"/>
          <w:highlight w:val="none"/>
        </w:rPr>
        <w:t>根据</w:t>
      </w:r>
      <w:r>
        <w:rPr>
          <w:color w:val="auto"/>
          <w:kern w:val="24"/>
          <w:sz w:val="24"/>
          <w:highlight w:val="none"/>
        </w:rPr>
        <w:t>《关于做好环境影响评价制度与排污许可制衔接相关工作的通知》（环办环评【2017】84号）的要求，</w:t>
      </w:r>
      <w:r>
        <w:rPr>
          <w:rFonts w:hint="eastAsia"/>
          <w:color w:val="auto"/>
          <w:kern w:val="24"/>
          <w:sz w:val="24"/>
          <w:highlight w:val="none"/>
        </w:rPr>
        <w:t>本项目</w:t>
      </w:r>
      <w:r>
        <w:rPr>
          <w:color w:val="auto"/>
          <w:kern w:val="24"/>
          <w:sz w:val="24"/>
          <w:highlight w:val="none"/>
        </w:rPr>
        <w:t>污染物排放清单</w:t>
      </w:r>
      <w:r>
        <w:rPr>
          <w:rFonts w:hint="eastAsia"/>
          <w:color w:val="auto"/>
          <w:kern w:val="24"/>
          <w:sz w:val="24"/>
          <w:highlight w:val="none"/>
        </w:rPr>
        <w:t>如下表所示：</w:t>
      </w:r>
    </w:p>
    <w:p>
      <w:pPr>
        <w:pStyle w:val="88"/>
        <w:numPr>
          <w:ilvl w:val="0"/>
          <w:numId w:val="0"/>
        </w:numPr>
        <w:tabs>
          <w:tab w:val="left" w:pos="420"/>
        </w:tabs>
        <w:spacing w:line="240" w:lineRule="auto"/>
        <w:ind w:left="471" w:leftChars="0"/>
        <w:jc w:val="center"/>
        <w:rPr>
          <w:rFonts w:eastAsia="宋体" w:cs="Times New Roman"/>
          <w:b/>
          <w:color w:val="auto"/>
          <w:sz w:val="21"/>
          <w:szCs w:val="21"/>
          <w:highlight w:val="none"/>
        </w:rPr>
      </w:pPr>
      <w:r>
        <w:rPr>
          <w:rFonts w:hint="eastAsia" w:eastAsia="宋体" w:cs="Times New Roman"/>
          <w:b/>
          <w:color w:val="auto"/>
          <w:sz w:val="21"/>
          <w:szCs w:val="21"/>
          <w:highlight w:val="none"/>
          <w:lang w:eastAsia="zh-CN"/>
        </w:rPr>
        <w:t>表</w:t>
      </w:r>
      <w:r>
        <w:rPr>
          <w:rFonts w:hint="eastAsia" w:eastAsia="宋体" w:cs="Times New Roman"/>
          <w:b/>
          <w:color w:val="auto"/>
          <w:sz w:val="21"/>
          <w:szCs w:val="21"/>
          <w:highlight w:val="none"/>
          <w:lang w:val="en-US" w:eastAsia="zh-CN"/>
        </w:rPr>
        <w:t xml:space="preserve">7-27  </w:t>
      </w:r>
      <w:r>
        <w:rPr>
          <w:rFonts w:eastAsia="宋体" w:cs="Times New Roman"/>
          <w:b/>
          <w:color w:val="auto"/>
          <w:sz w:val="21"/>
          <w:szCs w:val="21"/>
          <w:highlight w:val="none"/>
        </w:rPr>
        <w:t>本项目污染物排放清单</w:t>
      </w:r>
    </w:p>
    <w:tbl>
      <w:tblPr>
        <w:tblStyle w:val="34"/>
        <w:tblW w:w="1452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1"/>
        <w:gridCol w:w="495"/>
        <w:gridCol w:w="1260"/>
        <w:gridCol w:w="1110"/>
        <w:gridCol w:w="1440"/>
        <w:gridCol w:w="2396"/>
        <w:gridCol w:w="1095"/>
        <w:gridCol w:w="858"/>
        <w:gridCol w:w="862"/>
        <w:gridCol w:w="1040"/>
        <w:gridCol w:w="750"/>
        <w:gridCol w:w="645"/>
        <w:gridCol w:w="735"/>
        <w:gridCol w:w="647"/>
        <w:gridCol w:w="7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tblHeader/>
          <w:jc w:val="center"/>
        </w:trPr>
        <w:tc>
          <w:tcPr>
            <w:tcW w:w="491"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类别</w:t>
            </w:r>
          </w:p>
        </w:tc>
        <w:tc>
          <w:tcPr>
            <w:tcW w:w="1755" w:type="dxa"/>
            <w:gridSpan w:val="2"/>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污染源</w:t>
            </w:r>
          </w:p>
        </w:tc>
        <w:tc>
          <w:tcPr>
            <w:tcW w:w="1110"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排放规模</w:t>
            </w:r>
          </w:p>
          <w:p>
            <w:pPr>
              <w:spacing w:line="240" w:lineRule="auto"/>
              <w:jc w:val="center"/>
              <w:rPr>
                <w:b/>
                <w:color w:val="auto"/>
                <w:kern w:val="24"/>
                <w:sz w:val="21"/>
                <w:szCs w:val="21"/>
                <w:highlight w:val="none"/>
              </w:rPr>
            </w:pPr>
            <w:r>
              <w:rPr>
                <w:b/>
                <w:color w:val="auto"/>
                <w:kern w:val="24"/>
                <w:sz w:val="21"/>
                <w:szCs w:val="21"/>
                <w:highlight w:val="none"/>
              </w:rPr>
              <w:t>m</w:t>
            </w:r>
            <w:r>
              <w:rPr>
                <w:b/>
                <w:color w:val="auto"/>
                <w:kern w:val="24"/>
                <w:sz w:val="21"/>
                <w:szCs w:val="21"/>
                <w:highlight w:val="none"/>
                <w:vertAlign w:val="superscript"/>
              </w:rPr>
              <w:t>3</w:t>
            </w:r>
            <w:r>
              <w:rPr>
                <w:b/>
                <w:color w:val="auto"/>
                <w:kern w:val="24"/>
                <w:sz w:val="21"/>
                <w:szCs w:val="21"/>
                <w:highlight w:val="none"/>
              </w:rPr>
              <w:t>/</w:t>
            </w:r>
            <w:r>
              <w:rPr>
                <w:rFonts w:hint="eastAsia"/>
                <w:b/>
                <w:color w:val="auto"/>
                <w:kern w:val="24"/>
                <w:sz w:val="21"/>
                <w:szCs w:val="21"/>
                <w:highlight w:val="none"/>
              </w:rPr>
              <w:t>a</w:t>
            </w:r>
          </w:p>
        </w:tc>
        <w:tc>
          <w:tcPr>
            <w:tcW w:w="1440"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污染物</w:t>
            </w:r>
          </w:p>
        </w:tc>
        <w:tc>
          <w:tcPr>
            <w:tcW w:w="2396"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治理措施</w:t>
            </w:r>
          </w:p>
        </w:tc>
        <w:tc>
          <w:tcPr>
            <w:tcW w:w="2815" w:type="dxa"/>
            <w:gridSpan w:val="3"/>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污染物排放量</w:t>
            </w:r>
          </w:p>
        </w:tc>
        <w:tc>
          <w:tcPr>
            <w:tcW w:w="1790" w:type="dxa"/>
            <w:gridSpan w:val="2"/>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执行标准</w:t>
            </w:r>
          </w:p>
        </w:tc>
        <w:tc>
          <w:tcPr>
            <w:tcW w:w="2027" w:type="dxa"/>
            <w:gridSpan w:val="3"/>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排放源参数</w:t>
            </w:r>
          </w:p>
        </w:tc>
        <w:tc>
          <w:tcPr>
            <w:tcW w:w="705"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年排放时间h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blHeader/>
          <w:jc w:val="center"/>
        </w:trPr>
        <w:tc>
          <w:tcPr>
            <w:tcW w:w="491" w:type="dxa"/>
            <w:vMerge w:val="continue"/>
            <w:tcBorders>
              <w:tl2br w:val="nil"/>
              <w:tr2bl w:val="nil"/>
            </w:tcBorders>
            <w:vAlign w:val="center"/>
          </w:tcPr>
          <w:p>
            <w:pPr>
              <w:spacing w:line="240" w:lineRule="auto"/>
              <w:jc w:val="center"/>
              <w:rPr>
                <w:b/>
                <w:color w:val="auto"/>
                <w:kern w:val="24"/>
                <w:sz w:val="21"/>
                <w:szCs w:val="21"/>
                <w:highlight w:val="none"/>
              </w:rPr>
            </w:pPr>
          </w:p>
        </w:tc>
        <w:tc>
          <w:tcPr>
            <w:tcW w:w="1755" w:type="dxa"/>
            <w:gridSpan w:val="2"/>
            <w:vMerge w:val="continue"/>
            <w:tcBorders>
              <w:tl2br w:val="nil"/>
              <w:tr2bl w:val="nil"/>
            </w:tcBorders>
            <w:vAlign w:val="center"/>
          </w:tcPr>
          <w:p>
            <w:pPr>
              <w:spacing w:line="240" w:lineRule="auto"/>
              <w:jc w:val="center"/>
              <w:rPr>
                <w:b/>
                <w:color w:val="auto"/>
                <w:kern w:val="24"/>
                <w:sz w:val="21"/>
                <w:szCs w:val="21"/>
                <w:highlight w:val="none"/>
              </w:rPr>
            </w:pPr>
          </w:p>
        </w:tc>
        <w:tc>
          <w:tcPr>
            <w:tcW w:w="1110" w:type="dxa"/>
            <w:vMerge w:val="continue"/>
            <w:tcBorders>
              <w:tl2br w:val="nil"/>
              <w:tr2bl w:val="nil"/>
            </w:tcBorders>
            <w:vAlign w:val="center"/>
          </w:tcPr>
          <w:p>
            <w:pPr>
              <w:spacing w:line="240" w:lineRule="auto"/>
              <w:jc w:val="center"/>
              <w:rPr>
                <w:b/>
                <w:color w:val="auto"/>
                <w:kern w:val="24"/>
                <w:sz w:val="21"/>
                <w:szCs w:val="21"/>
                <w:highlight w:val="none"/>
              </w:rPr>
            </w:pPr>
          </w:p>
        </w:tc>
        <w:tc>
          <w:tcPr>
            <w:tcW w:w="1440" w:type="dxa"/>
            <w:vMerge w:val="continue"/>
            <w:tcBorders>
              <w:tl2br w:val="nil"/>
              <w:tr2bl w:val="nil"/>
            </w:tcBorders>
            <w:vAlign w:val="center"/>
          </w:tcPr>
          <w:p>
            <w:pPr>
              <w:spacing w:line="240" w:lineRule="auto"/>
              <w:jc w:val="center"/>
              <w:rPr>
                <w:b/>
                <w:color w:val="auto"/>
                <w:kern w:val="24"/>
                <w:sz w:val="21"/>
                <w:szCs w:val="21"/>
                <w:highlight w:val="none"/>
              </w:rPr>
            </w:pPr>
          </w:p>
        </w:tc>
        <w:tc>
          <w:tcPr>
            <w:tcW w:w="2396" w:type="dxa"/>
            <w:vMerge w:val="continue"/>
            <w:tcBorders>
              <w:tl2br w:val="nil"/>
              <w:tr2bl w:val="nil"/>
            </w:tcBorders>
            <w:vAlign w:val="center"/>
          </w:tcPr>
          <w:p>
            <w:pPr>
              <w:spacing w:line="240" w:lineRule="auto"/>
              <w:jc w:val="center"/>
              <w:rPr>
                <w:b/>
                <w:color w:val="auto"/>
                <w:kern w:val="24"/>
                <w:sz w:val="21"/>
                <w:szCs w:val="21"/>
                <w:highlight w:val="none"/>
              </w:rPr>
            </w:pPr>
          </w:p>
        </w:tc>
        <w:tc>
          <w:tcPr>
            <w:tcW w:w="1095"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排放浓度mg/m</w:t>
            </w:r>
            <w:r>
              <w:rPr>
                <w:b/>
                <w:color w:val="auto"/>
                <w:kern w:val="24"/>
                <w:sz w:val="21"/>
                <w:szCs w:val="21"/>
                <w:highlight w:val="none"/>
                <w:vertAlign w:val="superscript"/>
              </w:rPr>
              <w:t>3</w:t>
            </w:r>
          </w:p>
        </w:tc>
        <w:tc>
          <w:tcPr>
            <w:tcW w:w="858"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排放量t/a</w:t>
            </w:r>
          </w:p>
        </w:tc>
        <w:tc>
          <w:tcPr>
            <w:tcW w:w="862"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排放速率kg/h</w:t>
            </w:r>
          </w:p>
        </w:tc>
        <w:tc>
          <w:tcPr>
            <w:tcW w:w="1040"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浓度mg/m</w:t>
            </w:r>
            <w:r>
              <w:rPr>
                <w:b/>
                <w:color w:val="auto"/>
                <w:kern w:val="24"/>
                <w:sz w:val="21"/>
                <w:szCs w:val="21"/>
                <w:highlight w:val="none"/>
                <w:vertAlign w:val="superscript"/>
              </w:rPr>
              <w:t>3</w:t>
            </w:r>
          </w:p>
        </w:tc>
        <w:tc>
          <w:tcPr>
            <w:tcW w:w="750"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速率kg/h</w:t>
            </w:r>
          </w:p>
        </w:tc>
        <w:tc>
          <w:tcPr>
            <w:tcW w:w="645"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高度m</w:t>
            </w:r>
          </w:p>
        </w:tc>
        <w:tc>
          <w:tcPr>
            <w:tcW w:w="735"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直径m</w:t>
            </w:r>
          </w:p>
        </w:tc>
        <w:tc>
          <w:tcPr>
            <w:tcW w:w="647" w:type="dxa"/>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温度℃</w:t>
            </w:r>
          </w:p>
        </w:tc>
        <w:tc>
          <w:tcPr>
            <w:tcW w:w="705" w:type="dxa"/>
            <w:vMerge w:val="continue"/>
            <w:tcBorders>
              <w:tl2br w:val="nil"/>
              <w:tr2bl w:val="nil"/>
            </w:tcBorders>
            <w:vAlign w:val="center"/>
          </w:tcPr>
          <w:p>
            <w:pPr>
              <w:spacing w:line="240" w:lineRule="auto"/>
              <w:jc w:val="center"/>
              <w:rPr>
                <w:b/>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491" w:type="dxa"/>
            <w:vMerge w:val="restart"/>
            <w:tcBorders>
              <w:tl2br w:val="nil"/>
              <w:tr2bl w:val="nil"/>
            </w:tcBorders>
            <w:vAlign w:val="center"/>
          </w:tcPr>
          <w:p>
            <w:pPr>
              <w:spacing w:line="240" w:lineRule="auto"/>
              <w:jc w:val="center"/>
              <w:rPr>
                <w:b/>
                <w:color w:val="auto"/>
                <w:kern w:val="24"/>
                <w:sz w:val="21"/>
                <w:szCs w:val="21"/>
                <w:highlight w:val="none"/>
              </w:rPr>
            </w:pPr>
            <w:r>
              <w:rPr>
                <w:b/>
                <w:color w:val="auto"/>
                <w:kern w:val="24"/>
                <w:sz w:val="21"/>
                <w:szCs w:val="21"/>
                <w:highlight w:val="none"/>
              </w:rPr>
              <w:t>废气</w:t>
            </w:r>
          </w:p>
        </w:tc>
        <w:tc>
          <w:tcPr>
            <w:tcW w:w="495" w:type="dxa"/>
            <w:vMerge w:val="restart"/>
            <w:tcBorders>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有组织</w:t>
            </w:r>
          </w:p>
        </w:tc>
        <w:tc>
          <w:tcPr>
            <w:tcW w:w="1260" w:type="dxa"/>
            <w:tcBorders>
              <w:tl2br w:val="nil"/>
              <w:tr2bl w:val="nil"/>
            </w:tcBorders>
            <w:vAlign w:val="center"/>
          </w:tcPr>
          <w:p>
            <w:pPr>
              <w:autoSpaceDE w:val="0"/>
              <w:autoSpaceDN w:val="0"/>
              <w:spacing w:line="240" w:lineRule="auto"/>
              <w:jc w:val="center"/>
              <w:rPr>
                <w:rFonts w:hint="eastAsia" w:eastAsia="宋体"/>
                <w:color w:val="auto"/>
                <w:kern w:val="24"/>
                <w:sz w:val="21"/>
                <w:szCs w:val="21"/>
                <w:highlight w:val="none"/>
                <w:lang w:eastAsia="zh-CN"/>
              </w:rPr>
            </w:pPr>
            <w:r>
              <w:rPr>
                <w:rFonts w:hint="eastAsia"/>
                <w:color w:val="auto"/>
                <w:sz w:val="21"/>
                <w:szCs w:val="21"/>
                <w:highlight w:val="none"/>
              </w:rPr>
              <w:t>G1</w:t>
            </w:r>
            <w:r>
              <w:rPr>
                <w:rFonts w:hint="eastAsia"/>
                <w:color w:val="auto"/>
                <w:sz w:val="21"/>
                <w:szCs w:val="21"/>
                <w:highlight w:val="none"/>
                <w:lang w:eastAsia="zh-CN"/>
              </w:rPr>
              <w:t>锻压工序</w:t>
            </w:r>
          </w:p>
        </w:tc>
        <w:tc>
          <w:tcPr>
            <w:tcW w:w="1110" w:type="dxa"/>
            <w:tcBorders>
              <w:tl2br w:val="nil"/>
              <w:tr2bl w:val="nil"/>
            </w:tcBorders>
            <w:vAlign w:val="center"/>
          </w:tcPr>
          <w:p>
            <w:pPr>
              <w:autoSpaceDE w:val="0"/>
              <w:autoSpaceDN w:val="0"/>
              <w:spacing w:line="240" w:lineRule="auto"/>
              <w:jc w:val="center"/>
              <w:rPr>
                <w:color w:val="auto"/>
                <w:kern w:val="24"/>
                <w:sz w:val="21"/>
                <w:szCs w:val="21"/>
                <w:highlight w:val="none"/>
              </w:rPr>
            </w:pPr>
            <w:r>
              <w:rPr>
                <w:rFonts w:hint="eastAsia"/>
                <w:color w:val="auto"/>
                <w:sz w:val="21"/>
                <w:szCs w:val="21"/>
                <w:highlight w:val="none"/>
                <w:lang w:val="en-US" w:eastAsia="zh-CN"/>
              </w:rPr>
              <w:t>2160</w:t>
            </w:r>
            <w:r>
              <w:rPr>
                <w:color w:val="auto"/>
                <w:sz w:val="21"/>
                <w:szCs w:val="21"/>
                <w:highlight w:val="none"/>
              </w:rPr>
              <w:t>×10</w:t>
            </w:r>
            <w:r>
              <w:rPr>
                <w:color w:val="auto"/>
                <w:sz w:val="21"/>
                <w:szCs w:val="21"/>
                <w:highlight w:val="none"/>
                <w:vertAlign w:val="superscript"/>
              </w:rPr>
              <w:t>4</w:t>
            </w:r>
          </w:p>
        </w:tc>
        <w:tc>
          <w:tcPr>
            <w:tcW w:w="1440" w:type="dxa"/>
            <w:tcBorders>
              <w:tl2br w:val="nil"/>
              <w:tr2bl w:val="nil"/>
            </w:tcBorders>
            <w:vAlign w:val="center"/>
          </w:tcPr>
          <w:p>
            <w:pPr>
              <w:adjustRightInd w:val="0"/>
              <w:snapToGrid w:val="0"/>
              <w:spacing w:line="240" w:lineRule="auto"/>
              <w:jc w:val="center"/>
              <w:rPr>
                <w:color w:val="auto"/>
                <w:kern w:val="24"/>
                <w:sz w:val="21"/>
                <w:szCs w:val="21"/>
                <w:highlight w:val="none"/>
              </w:rPr>
            </w:pPr>
            <w:r>
              <w:rPr>
                <w:rFonts w:hint="eastAsia"/>
                <w:color w:val="auto"/>
                <w:sz w:val="21"/>
                <w:szCs w:val="21"/>
                <w:highlight w:val="none"/>
                <w:lang w:eastAsia="zh-CN"/>
              </w:rPr>
              <w:t>非甲烷总烃</w:t>
            </w:r>
          </w:p>
        </w:tc>
        <w:tc>
          <w:tcPr>
            <w:tcW w:w="2396" w:type="dxa"/>
            <w:tcBorders>
              <w:tl2br w:val="nil"/>
              <w:tr2bl w:val="nil"/>
            </w:tcBorders>
            <w:vAlign w:val="center"/>
          </w:tcPr>
          <w:p>
            <w:pPr>
              <w:spacing w:line="240" w:lineRule="auto"/>
              <w:jc w:val="center"/>
              <w:rPr>
                <w:rFonts w:hint="eastAsia" w:eastAsia="宋体"/>
                <w:color w:val="auto"/>
                <w:kern w:val="24"/>
                <w:sz w:val="21"/>
                <w:szCs w:val="21"/>
                <w:highlight w:val="none"/>
                <w:lang w:eastAsia="zh-CN"/>
              </w:rPr>
            </w:pPr>
            <w:r>
              <w:rPr>
                <w:rFonts w:hint="eastAsia" w:ascii="Times New Roman" w:hAnsi="Times New Roman" w:eastAsia="宋体" w:cs="Times New Roman"/>
                <w:color w:val="auto"/>
                <w:kern w:val="2"/>
                <w:sz w:val="21"/>
                <w:szCs w:val="21"/>
                <w:highlight w:val="none"/>
              </w:rPr>
              <w:t>设置集气装置将废气进行收集后引至</w:t>
            </w:r>
            <w:r>
              <w:rPr>
                <w:rFonts w:hint="eastAsia" w:cs="Times New Roman"/>
                <w:color w:val="auto"/>
                <w:kern w:val="0"/>
                <w:sz w:val="21"/>
                <w:szCs w:val="21"/>
                <w:highlight w:val="none"/>
                <w:lang w:val="en-US" w:eastAsia="zh-CN" w:bidi="ar-SA"/>
              </w:rPr>
              <w:t>水喷淋塔+等离子油烟净化器处后</w:t>
            </w:r>
            <w:r>
              <w:rPr>
                <w:rFonts w:hint="default" w:ascii="Times New Roman" w:hAnsi="Times New Roman" w:eastAsia="宋体" w:cs="Times New Roman"/>
                <w:color w:val="auto"/>
                <w:kern w:val="0"/>
                <w:sz w:val="21"/>
                <w:szCs w:val="21"/>
                <w:highlight w:val="none"/>
                <w:lang w:val="en-US" w:eastAsia="zh-CN" w:bidi="ar-SA"/>
              </w:rPr>
              <w:t>通过15米排气筒排放</w:t>
            </w:r>
          </w:p>
        </w:tc>
        <w:tc>
          <w:tcPr>
            <w:tcW w:w="1095" w:type="dxa"/>
            <w:tcBorders>
              <w:tl2br w:val="nil"/>
              <w:tr2bl w:val="nil"/>
            </w:tcBorders>
            <w:vAlign w:val="center"/>
          </w:tcPr>
          <w:p>
            <w:pPr>
              <w:spacing w:line="240" w:lineRule="auto"/>
              <w:jc w:val="center"/>
              <w:rPr>
                <w:color w:val="auto"/>
                <w:kern w:val="24"/>
                <w:sz w:val="21"/>
                <w:szCs w:val="21"/>
                <w:highlight w:val="none"/>
              </w:rPr>
            </w:pPr>
            <w:r>
              <w:rPr>
                <w:rFonts w:hint="eastAsia" w:cs="Times New Roman"/>
                <w:color w:val="auto"/>
                <w:kern w:val="2"/>
                <w:sz w:val="21"/>
                <w:szCs w:val="21"/>
                <w:highlight w:val="none"/>
                <w:lang w:val="en-US" w:eastAsia="zh-CN"/>
              </w:rPr>
              <w:t>0.148</w:t>
            </w:r>
          </w:p>
        </w:tc>
        <w:tc>
          <w:tcPr>
            <w:tcW w:w="858" w:type="dxa"/>
            <w:tcBorders>
              <w:tl2br w:val="nil"/>
              <w:tr2bl w:val="nil"/>
            </w:tcBorders>
            <w:vAlign w:val="center"/>
          </w:tcPr>
          <w:p>
            <w:pPr>
              <w:spacing w:line="240" w:lineRule="auto"/>
              <w:jc w:val="center"/>
              <w:rPr>
                <w:rFonts w:hint="default" w:eastAsia="宋体"/>
                <w:color w:val="auto"/>
                <w:kern w:val="24"/>
                <w:sz w:val="21"/>
                <w:szCs w:val="21"/>
                <w:highlight w:val="none"/>
                <w:lang w:val="en-US" w:eastAsia="zh-CN"/>
              </w:rPr>
            </w:pPr>
            <w:r>
              <w:rPr>
                <w:rFonts w:hint="eastAsia"/>
                <w:color w:val="auto"/>
                <w:szCs w:val="21"/>
                <w:highlight w:val="none"/>
                <w:lang w:val="en-US" w:eastAsia="zh-CN"/>
              </w:rPr>
              <w:t>0.003</w:t>
            </w:r>
          </w:p>
        </w:tc>
        <w:tc>
          <w:tcPr>
            <w:tcW w:w="862" w:type="dxa"/>
            <w:tcBorders>
              <w:tl2br w:val="nil"/>
              <w:tr2bl w:val="nil"/>
            </w:tcBorders>
            <w:vAlign w:val="center"/>
          </w:tcPr>
          <w:p>
            <w:pPr>
              <w:spacing w:line="240" w:lineRule="auto"/>
              <w:jc w:val="center"/>
              <w:rPr>
                <w:color w:val="auto"/>
                <w:kern w:val="24"/>
                <w:sz w:val="21"/>
                <w:szCs w:val="21"/>
                <w:highlight w:val="none"/>
              </w:rPr>
            </w:pPr>
            <w:r>
              <w:rPr>
                <w:rFonts w:hint="eastAsia" w:ascii="Times New Roman" w:hAnsi="Times New Roman" w:eastAsia="宋体" w:cs="Times New Roman"/>
                <w:color w:val="auto"/>
                <w:kern w:val="2"/>
                <w:sz w:val="21"/>
                <w:szCs w:val="21"/>
                <w:highlight w:val="none"/>
                <w:lang w:val="en-US" w:eastAsia="zh-CN"/>
              </w:rPr>
              <w:t>0.0</w:t>
            </w:r>
            <w:r>
              <w:rPr>
                <w:rFonts w:hint="eastAsia" w:cs="Times New Roman"/>
                <w:color w:val="auto"/>
                <w:kern w:val="2"/>
                <w:sz w:val="21"/>
                <w:szCs w:val="21"/>
                <w:highlight w:val="none"/>
                <w:lang w:val="en-US" w:eastAsia="zh-CN"/>
              </w:rPr>
              <w:t>01</w:t>
            </w:r>
          </w:p>
        </w:tc>
        <w:tc>
          <w:tcPr>
            <w:tcW w:w="1040" w:type="dxa"/>
            <w:tcBorders>
              <w:tl2br w:val="nil"/>
              <w:tr2bl w:val="nil"/>
            </w:tcBorders>
            <w:vAlign w:val="center"/>
          </w:tcPr>
          <w:p>
            <w:pPr>
              <w:snapToGrid w:val="0"/>
              <w:spacing w:line="240" w:lineRule="auto"/>
              <w:jc w:val="center"/>
              <w:rPr>
                <w:color w:val="auto"/>
                <w:kern w:val="24"/>
                <w:sz w:val="21"/>
                <w:szCs w:val="21"/>
                <w:highlight w:val="none"/>
              </w:rPr>
            </w:pPr>
            <w:r>
              <w:rPr>
                <w:rFonts w:hint="eastAsia"/>
                <w:color w:val="auto"/>
                <w:kern w:val="24"/>
                <w:sz w:val="21"/>
                <w:szCs w:val="21"/>
                <w:highlight w:val="none"/>
              </w:rPr>
              <w:t>120</w:t>
            </w:r>
          </w:p>
        </w:tc>
        <w:tc>
          <w:tcPr>
            <w:tcW w:w="750" w:type="dxa"/>
            <w:tcBorders>
              <w:tl2br w:val="nil"/>
              <w:tr2bl w:val="nil"/>
            </w:tcBorders>
            <w:vAlign w:val="center"/>
          </w:tcPr>
          <w:p>
            <w:pPr>
              <w:snapToGrid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4.2</w:t>
            </w:r>
          </w:p>
        </w:tc>
        <w:tc>
          <w:tcPr>
            <w:tcW w:w="645" w:type="dxa"/>
            <w:tcBorders>
              <w:tl2br w:val="nil"/>
              <w:tr2bl w:val="nil"/>
            </w:tcBorders>
            <w:vAlign w:val="center"/>
          </w:tcPr>
          <w:p>
            <w:pPr>
              <w:snapToGrid w:val="0"/>
              <w:spacing w:line="240" w:lineRule="auto"/>
              <w:jc w:val="center"/>
              <w:rPr>
                <w:color w:val="auto"/>
                <w:kern w:val="24"/>
                <w:sz w:val="21"/>
                <w:szCs w:val="21"/>
                <w:highlight w:val="none"/>
              </w:rPr>
            </w:pPr>
            <w:r>
              <w:rPr>
                <w:rFonts w:hint="eastAsia"/>
                <w:color w:val="auto"/>
                <w:kern w:val="24"/>
                <w:sz w:val="21"/>
                <w:szCs w:val="21"/>
                <w:highlight w:val="none"/>
              </w:rPr>
              <w:t>15</w:t>
            </w:r>
          </w:p>
        </w:tc>
        <w:tc>
          <w:tcPr>
            <w:tcW w:w="735" w:type="dxa"/>
            <w:tcBorders>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sz w:val="21"/>
                <w:szCs w:val="21"/>
                <w:highlight w:val="none"/>
                <w:lang w:val="en-US" w:eastAsia="zh-CN"/>
              </w:rPr>
              <w:t>0.5</w:t>
            </w:r>
          </w:p>
        </w:tc>
        <w:tc>
          <w:tcPr>
            <w:tcW w:w="647" w:type="dxa"/>
            <w:tcBorders>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25</w:t>
            </w:r>
          </w:p>
        </w:tc>
        <w:tc>
          <w:tcPr>
            <w:tcW w:w="705" w:type="dxa"/>
            <w:tcBorders>
              <w:tl2br w:val="nil"/>
              <w:tr2bl w:val="nil"/>
            </w:tcBorders>
            <w:vAlign w:val="center"/>
          </w:tcPr>
          <w:p>
            <w:pPr>
              <w:spacing w:line="240" w:lineRule="auto"/>
              <w:jc w:val="center"/>
              <w:rPr>
                <w:color w:val="auto"/>
                <w:kern w:val="24"/>
                <w:sz w:val="21"/>
                <w:szCs w:val="21"/>
                <w:highlight w:val="none"/>
              </w:rPr>
            </w:pPr>
            <w:r>
              <w:rPr>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491" w:type="dxa"/>
            <w:vMerge w:val="continue"/>
            <w:tcBorders>
              <w:tl2br w:val="nil"/>
              <w:tr2bl w:val="nil"/>
            </w:tcBorders>
            <w:vAlign w:val="center"/>
          </w:tcPr>
          <w:p>
            <w:pPr>
              <w:spacing w:line="240" w:lineRule="auto"/>
              <w:jc w:val="center"/>
              <w:rPr>
                <w:b/>
                <w:color w:val="auto"/>
                <w:kern w:val="24"/>
                <w:sz w:val="21"/>
                <w:szCs w:val="21"/>
                <w:highlight w:val="none"/>
              </w:rPr>
            </w:pPr>
          </w:p>
        </w:tc>
        <w:tc>
          <w:tcPr>
            <w:tcW w:w="495" w:type="dxa"/>
            <w:vMerge w:val="continue"/>
            <w:tcBorders>
              <w:tl2br w:val="nil"/>
              <w:tr2bl w:val="nil"/>
            </w:tcBorders>
            <w:vAlign w:val="center"/>
          </w:tcPr>
          <w:p>
            <w:pPr>
              <w:spacing w:line="240" w:lineRule="auto"/>
              <w:jc w:val="center"/>
              <w:rPr>
                <w:color w:val="auto"/>
                <w:kern w:val="24"/>
                <w:sz w:val="21"/>
                <w:szCs w:val="21"/>
                <w:highlight w:val="none"/>
              </w:rPr>
            </w:pPr>
          </w:p>
        </w:tc>
        <w:tc>
          <w:tcPr>
            <w:tcW w:w="1260" w:type="dxa"/>
            <w:vMerge w:val="restart"/>
            <w:tcBorders>
              <w:tl2br w:val="nil"/>
              <w:tr2bl w:val="nil"/>
            </w:tcBorders>
            <w:vAlign w:val="center"/>
          </w:tcPr>
          <w:p>
            <w:pPr>
              <w:spacing w:line="240" w:lineRule="auto"/>
              <w:jc w:val="center"/>
              <w:rPr>
                <w:rFonts w:hint="eastAsia" w:ascii="Calibri" w:hAnsi="Calibri" w:eastAsia="宋体"/>
                <w:color w:val="auto"/>
                <w:kern w:val="24"/>
                <w:sz w:val="21"/>
                <w:szCs w:val="21"/>
                <w:highlight w:val="none"/>
                <w:lang w:val="en-US" w:eastAsia="zh-CN"/>
              </w:rPr>
            </w:pPr>
            <w:r>
              <w:rPr>
                <w:rFonts w:hint="eastAsia"/>
                <w:color w:val="auto"/>
                <w:sz w:val="21"/>
                <w:szCs w:val="21"/>
                <w:highlight w:val="none"/>
              </w:rPr>
              <w:t>G</w:t>
            </w:r>
            <w:r>
              <w:rPr>
                <w:rFonts w:hint="eastAsia"/>
                <w:color w:val="auto"/>
                <w:sz w:val="21"/>
                <w:szCs w:val="21"/>
                <w:highlight w:val="none"/>
                <w:lang w:val="en-US" w:eastAsia="zh-CN"/>
              </w:rPr>
              <w:t>2燃料废物</w:t>
            </w:r>
          </w:p>
        </w:tc>
        <w:tc>
          <w:tcPr>
            <w:tcW w:w="1110" w:type="dxa"/>
            <w:vMerge w:val="restart"/>
            <w:tcBorders>
              <w:tl2br w:val="nil"/>
              <w:tr2bl w:val="nil"/>
            </w:tcBorders>
            <w:vAlign w:val="center"/>
          </w:tcPr>
          <w:p>
            <w:pPr>
              <w:spacing w:line="240" w:lineRule="auto"/>
              <w:jc w:val="center"/>
              <w:rPr>
                <w:rFonts w:ascii="Calibri" w:hAnsi="Calibri"/>
                <w:color w:val="auto"/>
                <w:kern w:val="24"/>
                <w:sz w:val="21"/>
                <w:szCs w:val="21"/>
                <w:highlight w:val="none"/>
              </w:rPr>
            </w:pPr>
            <w:r>
              <w:rPr>
                <w:rFonts w:hint="eastAsia" w:cs="Times New Roman"/>
                <w:color w:val="auto"/>
                <w:kern w:val="2"/>
                <w:sz w:val="21"/>
                <w:szCs w:val="21"/>
                <w:highlight w:val="none"/>
                <w:lang w:val="en-US" w:eastAsia="zh-CN"/>
              </w:rPr>
              <w:t>13.63</w:t>
            </w:r>
            <w:r>
              <w:rPr>
                <w:rFonts w:ascii="Times New Roman" w:hAnsi="Times New Roman" w:eastAsia="宋体" w:cs="Times New Roman"/>
                <w:color w:val="auto"/>
                <w:kern w:val="2"/>
                <w:sz w:val="21"/>
                <w:szCs w:val="21"/>
                <w:highlight w:val="none"/>
                <w:lang w:val="en-US" w:eastAsia="zh-CN" w:bidi="ar-SA"/>
              </w:rPr>
              <w:t>×10</w:t>
            </w:r>
            <w:r>
              <w:rPr>
                <w:rFonts w:ascii="Times New Roman" w:hAnsi="Times New Roman" w:eastAsia="宋体" w:cs="Times New Roman"/>
                <w:color w:val="auto"/>
                <w:kern w:val="2"/>
                <w:sz w:val="21"/>
                <w:szCs w:val="21"/>
                <w:highlight w:val="none"/>
                <w:vertAlign w:val="superscript"/>
                <w:lang w:val="en-US" w:eastAsia="zh-CN" w:bidi="ar-SA"/>
              </w:rPr>
              <w:t>4</w:t>
            </w:r>
          </w:p>
        </w:tc>
        <w:tc>
          <w:tcPr>
            <w:tcW w:w="1440" w:type="dxa"/>
            <w:tcBorders>
              <w:tl2br w:val="nil"/>
              <w:tr2bl w:val="nil"/>
            </w:tcBorders>
            <w:vAlign w:val="center"/>
          </w:tcPr>
          <w:p>
            <w:pPr>
              <w:widowControl w:val="0"/>
              <w:adjustRightInd w:val="0"/>
              <w:snapToGrid w:val="0"/>
              <w:spacing w:after="0" w:line="240" w:lineRule="auto"/>
              <w:jc w:val="center"/>
              <w:rPr>
                <w:rFonts w:hint="eastAsia"/>
                <w:color w:val="auto"/>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2396" w:type="dxa"/>
            <w:vMerge w:val="restart"/>
            <w:tcBorders>
              <w:tl2br w:val="nil"/>
              <w:tr2bl w:val="nil"/>
            </w:tcBorders>
            <w:vAlign w:val="center"/>
          </w:tcPr>
          <w:p>
            <w:pPr>
              <w:spacing w:line="240" w:lineRule="auto"/>
              <w:jc w:val="center"/>
              <w:rPr>
                <w:rFonts w:ascii="Calibri" w:hAnsi="Calibri"/>
                <w:color w:val="auto"/>
                <w:kern w:val="24"/>
                <w:sz w:val="21"/>
                <w:szCs w:val="21"/>
                <w:highlight w:val="none"/>
              </w:rPr>
            </w:pPr>
            <w:r>
              <w:rPr>
                <w:rFonts w:hint="default" w:ascii="Times New Roman" w:hAnsi="Times New Roman" w:cs="Times New Roman"/>
                <w:color w:val="auto"/>
                <w:kern w:val="2"/>
                <w:sz w:val="21"/>
                <w:szCs w:val="21"/>
                <w:highlight w:val="none"/>
                <w:lang w:eastAsia="zh-CN"/>
              </w:rPr>
              <w:t>设置集气装置收集后经15米排气筒排放</w:t>
            </w:r>
          </w:p>
        </w:tc>
        <w:tc>
          <w:tcPr>
            <w:tcW w:w="1095"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29.356 </w:t>
            </w:r>
          </w:p>
        </w:tc>
        <w:tc>
          <w:tcPr>
            <w:tcW w:w="858"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0.004 </w:t>
            </w:r>
          </w:p>
        </w:tc>
        <w:tc>
          <w:tcPr>
            <w:tcW w:w="862"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1040" w:type="dxa"/>
            <w:tcBorders>
              <w:tl2br w:val="nil"/>
              <w:tr2bl w:val="nil"/>
            </w:tcBorders>
            <w:vAlign w:val="center"/>
          </w:tcPr>
          <w:p>
            <w:pPr>
              <w:pStyle w:val="25"/>
              <w:spacing w:line="240" w:lineRule="auto"/>
              <w:ind w:firstLine="0" w:firstLineChars="0"/>
              <w:jc w:val="center"/>
              <w:rPr>
                <w:rFonts w:hint="eastAsia"/>
                <w:color w:val="auto"/>
                <w:kern w:val="24"/>
                <w:sz w:val="21"/>
                <w:szCs w:val="21"/>
                <w:highlight w:val="none"/>
              </w:rPr>
            </w:pPr>
            <w:r>
              <w:rPr>
                <w:bCs/>
                <w:color w:val="auto"/>
                <w:sz w:val="21"/>
                <w:szCs w:val="21"/>
                <w:highlight w:val="none"/>
              </w:rPr>
              <w:t>500</w:t>
            </w:r>
          </w:p>
        </w:tc>
        <w:tc>
          <w:tcPr>
            <w:tcW w:w="750" w:type="dxa"/>
            <w:tcBorders>
              <w:tl2br w:val="nil"/>
              <w:tr2bl w:val="nil"/>
            </w:tcBorders>
            <w:vAlign w:val="center"/>
          </w:tcPr>
          <w:p>
            <w:pPr>
              <w:pStyle w:val="25"/>
              <w:spacing w:line="240" w:lineRule="auto"/>
              <w:ind w:firstLine="0" w:firstLineChars="0"/>
              <w:jc w:val="center"/>
              <w:rPr>
                <w:rFonts w:hint="eastAsia"/>
                <w:color w:val="auto"/>
                <w:kern w:val="24"/>
                <w:sz w:val="21"/>
                <w:szCs w:val="21"/>
                <w:highlight w:val="none"/>
                <w:lang w:val="en-US" w:eastAsia="zh-CN"/>
              </w:rPr>
            </w:pPr>
            <w:r>
              <w:rPr>
                <w:rFonts w:hint="eastAsia"/>
                <w:bCs/>
                <w:color w:val="auto"/>
                <w:sz w:val="21"/>
                <w:szCs w:val="21"/>
                <w:highlight w:val="none"/>
              </w:rPr>
              <w:t>1.05</w:t>
            </w:r>
          </w:p>
        </w:tc>
        <w:tc>
          <w:tcPr>
            <w:tcW w:w="645" w:type="dxa"/>
            <w:vMerge w:val="restart"/>
            <w:tcBorders>
              <w:tl2br w:val="nil"/>
              <w:tr2bl w:val="nil"/>
            </w:tcBorders>
            <w:vAlign w:val="center"/>
          </w:tcPr>
          <w:p>
            <w:pPr>
              <w:snapToGrid w:val="0"/>
              <w:spacing w:line="240" w:lineRule="auto"/>
              <w:jc w:val="center"/>
              <w:rPr>
                <w:color w:val="auto"/>
                <w:kern w:val="24"/>
                <w:sz w:val="21"/>
                <w:szCs w:val="21"/>
                <w:highlight w:val="none"/>
              </w:rPr>
            </w:pPr>
            <w:r>
              <w:rPr>
                <w:rFonts w:hint="eastAsia"/>
                <w:color w:val="auto"/>
                <w:kern w:val="24"/>
                <w:sz w:val="21"/>
                <w:szCs w:val="21"/>
                <w:highlight w:val="none"/>
              </w:rPr>
              <w:t>15</w:t>
            </w:r>
          </w:p>
        </w:tc>
        <w:tc>
          <w:tcPr>
            <w:tcW w:w="735" w:type="dxa"/>
            <w:vMerge w:val="restart"/>
            <w:tcBorders>
              <w:tl2br w:val="nil"/>
              <w:tr2bl w:val="nil"/>
            </w:tcBorders>
            <w:vAlign w:val="center"/>
          </w:tcPr>
          <w:p>
            <w:pPr>
              <w:autoSpaceDE w:val="0"/>
              <w:autoSpaceDN w:val="0"/>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0.04</w:t>
            </w:r>
          </w:p>
        </w:tc>
        <w:tc>
          <w:tcPr>
            <w:tcW w:w="647" w:type="dxa"/>
            <w:vMerge w:val="restart"/>
            <w:tcBorders>
              <w:tl2br w:val="nil"/>
              <w:tr2bl w:val="nil"/>
            </w:tcBorders>
            <w:vAlign w:val="center"/>
          </w:tcPr>
          <w:p>
            <w:pPr>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28</w:t>
            </w:r>
          </w:p>
        </w:tc>
        <w:tc>
          <w:tcPr>
            <w:tcW w:w="705" w:type="dxa"/>
            <w:vMerge w:val="restart"/>
            <w:tcBorders>
              <w:tl2br w:val="nil"/>
              <w:tr2bl w:val="nil"/>
            </w:tcBorders>
            <w:vAlign w:val="center"/>
          </w:tcPr>
          <w:p>
            <w:pPr>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491" w:type="dxa"/>
            <w:vMerge w:val="continue"/>
            <w:tcBorders>
              <w:tl2br w:val="nil"/>
              <w:tr2bl w:val="nil"/>
            </w:tcBorders>
            <w:vAlign w:val="center"/>
          </w:tcPr>
          <w:p>
            <w:pPr>
              <w:spacing w:line="240" w:lineRule="auto"/>
              <w:jc w:val="center"/>
              <w:rPr>
                <w:b/>
                <w:color w:val="auto"/>
                <w:kern w:val="24"/>
                <w:sz w:val="21"/>
                <w:szCs w:val="21"/>
                <w:highlight w:val="none"/>
              </w:rPr>
            </w:pPr>
          </w:p>
        </w:tc>
        <w:tc>
          <w:tcPr>
            <w:tcW w:w="495" w:type="dxa"/>
            <w:vMerge w:val="continue"/>
            <w:tcBorders>
              <w:tl2br w:val="nil"/>
              <w:tr2bl w:val="nil"/>
            </w:tcBorders>
            <w:vAlign w:val="center"/>
          </w:tcPr>
          <w:p>
            <w:pPr>
              <w:spacing w:line="240" w:lineRule="auto"/>
              <w:jc w:val="center"/>
              <w:rPr>
                <w:color w:val="auto"/>
                <w:kern w:val="24"/>
                <w:sz w:val="21"/>
                <w:szCs w:val="21"/>
                <w:highlight w:val="none"/>
              </w:rPr>
            </w:pPr>
          </w:p>
        </w:tc>
        <w:tc>
          <w:tcPr>
            <w:tcW w:w="1260" w:type="dxa"/>
            <w:vMerge w:val="continue"/>
            <w:tcBorders>
              <w:tl2br w:val="nil"/>
              <w:tr2bl w:val="nil"/>
            </w:tcBorders>
            <w:vAlign w:val="center"/>
          </w:tcPr>
          <w:p>
            <w:pPr>
              <w:autoSpaceDE w:val="0"/>
              <w:autoSpaceDN w:val="0"/>
              <w:spacing w:line="240" w:lineRule="auto"/>
              <w:jc w:val="center"/>
              <w:rPr>
                <w:rFonts w:hint="eastAsia"/>
                <w:color w:val="auto"/>
                <w:sz w:val="21"/>
                <w:szCs w:val="21"/>
                <w:highlight w:val="none"/>
              </w:rPr>
            </w:pPr>
          </w:p>
        </w:tc>
        <w:tc>
          <w:tcPr>
            <w:tcW w:w="1110" w:type="dxa"/>
            <w:vMerge w:val="continue"/>
            <w:tcBorders>
              <w:tl2br w:val="nil"/>
              <w:tr2bl w:val="nil"/>
            </w:tcBorders>
            <w:vAlign w:val="center"/>
          </w:tcPr>
          <w:p>
            <w:pPr>
              <w:autoSpaceDE w:val="0"/>
              <w:autoSpaceDN w:val="0"/>
              <w:spacing w:line="240" w:lineRule="auto"/>
              <w:jc w:val="center"/>
              <w:rPr>
                <w:rFonts w:hint="eastAsia"/>
                <w:color w:val="auto"/>
                <w:sz w:val="21"/>
                <w:szCs w:val="21"/>
                <w:highlight w:val="none"/>
                <w:lang w:val="en-US" w:eastAsia="zh-CN"/>
              </w:rPr>
            </w:pPr>
          </w:p>
        </w:tc>
        <w:tc>
          <w:tcPr>
            <w:tcW w:w="1440" w:type="dxa"/>
            <w:tcBorders>
              <w:tl2br w:val="nil"/>
              <w:tr2bl w:val="nil"/>
            </w:tcBorders>
            <w:vAlign w:val="center"/>
          </w:tcPr>
          <w:p>
            <w:pPr>
              <w:widowControl w:val="0"/>
              <w:adjustRightInd w:val="0"/>
              <w:snapToGrid w:val="0"/>
              <w:spacing w:after="0" w:line="240" w:lineRule="auto"/>
              <w:jc w:val="center"/>
              <w:rPr>
                <w:rFonts w:hint="eastAsia"/>
                <w:color w:val="auto"/>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x</w:t>
            </w:r>
          </w:p>
        </w:tc>
        <w:tc>
          <w:tcPr>
            <w:tcW w:w="2396" w:type="dxa"/>
            <w:vMerge w:val="continue"/>
            <w:tcBorders>
              <w:tl2br w:val="nil"/>
              <w:tr2bl w:val="nil"/>
            </w:tcBorders>
            <w:vAlign w:val="center"/>
          </w:tcPr>
          <w:p>
            <w:pPr>
              <w:snapToGrid w:val="0"/>
              <w:spacing w:line="240" w:lineRule="auto"/>
              <w:jc w:val="center"/>
              <w:rPr>
                <w:rFonts w:hint="eastAsia" w:eastAsia="宋体"/>
                <w:color w:val="auto"/>
                <w:kern w:val="24"/>
                <w:sz w:val="21"/>
                <w:szCs w:val="21"/>
                <w:highlight w:val="none"/>
                <w:lang w:eastAsia="zh-CN"/>
              </w:rPr>
            </w:pPr>
          </w:p>
        </w:tc>
        <w:tc>
          <w:tcPr>
            <w:tcW w:w="1095"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46.235 </w:t>
            </w:r>
          </w:p>
        </w:tc>
        <w:tc>
          <w:tcPr>
            <w:tcW w:w="858"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0.006 </w:t>
            </w:r>
          </w:p>
        </w:tc>
        <w:tc>
          <w:tcPr>
            <w:tcW w:w="862" w:type="dxa"/>
            <w:tcBorders>
              <w:tl2br w:val="nil"/>
              <w:tr2bl w:val="nil"/>
            </w:tcBorders>
            <w:vAlign w:val="center"/>
          </w:tcPr>
          <w:p>
            <w:pPr>
              <w:keepNext w:val="0"/>
              <w:keepLines w:val="0"/>
              <w:widowControl/>
              <w:suppressLineNumbers w:val="0"/>
              <w:spacing w:line="240" w:lineRule="auto"/>
              <w:jc w:val="center"/>
              <w:textAlignment w:val="center"/>
              <w:rPr>
                <w:rFonts w:hint="eastAsia"/>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0.003 </w:t>
            </w:r>
          </w:p>
        </w:tc>
        <w:tc>
          <w:tcPr>
            <w:tcW w:w="1040" w:type="dxa"/>
            <w:tcBorders>
              <w:tl2br w:val="nil"/>
              <w:tr2bl w:val="nil"/>
            </w:tcBorders>
            <w:vAlign w:val="center"/>
          </w:tcPr>
          <w:p>
            <w:pPr>
              <w:pStyle w:val="25"/>
              <w:spacing w:line="240" w:lineRule="auto"/>
              <w:ind w:firstLine="0" w:firstLineChars="0"/>
              <w:jc w:val="center"/>
              <w:rPr>
                <w:rFonts w:hint="eastAsia"/>
                <w:color w:val="auto"/>
                <w:kern w:val="24"/>
                <w:sz w:val="21"/>
                <w:szCs w:val="21"/>
                <w:highlight w:val="none"/>
              </w:rPr>
            </w:pPr>
            <w:r>
              <w:rPr>
                <w:bCs/>
                <w:color w:val="auto"/>
                <w:sz w:val="21"/>
                <w:szCs w:val="21"/>
                <w:highlight w:val="none"/>
              </w:rPr>
              <w:t>120</w:t>
            </w:r>
          </w:p>
        </w:tc>
        <w:tc>
          <w:tcPr>
            <w:tcW w:w="750" w:type="dxa"/>
            <w:tcBorders>
              <w:tl2br w:val="nil"/>
              <w:tr2bl w:val="nil"/>
            </w:tcBorders>
            <w:vAlign w:val="center"/>
          </w:tcPr>
          <w:p>
            <w:pPr>
              <w:pStyle w:val="25"/>
              <w:spacing w:line="240" w:lineRule="auto"/>
              <w:ind w:firstLine="0" w:firstLineChars="0"/>
              <w:jc w:val="center"/>
              <w:rPr>
                <w:rFonts w:hint="eastAsia"/>
                <w:color w:val="auto"/>
                <w:kern w:val="24"/>
                <w:sz w:val="21"/>
                <w:szCs w:val="21"/>
                <w:highlight w:val="none"/>
                <w:lang w:val="en-US" w:eastAsia="zh-CN"/>
              </w:rPr>
            </w:pPr>
            <w:r>
              <w:rPr>
                <w:rFonts w:hint="eastAsia"/>
                <w:bCs/>
                <w:color w:val="auto"/>
                <w:sz w:val="21"/>
                <w:szCs w:val="21"/>
                <w:highlight w:val="none"/>
              </w:rPr>
              <w:t>0.32</w:t>
            </w:r>
          </w:p>
        </w:tc>
        <w:tc>
          <w:tcPr>
            <w:tcW w:w="645" w:type="dxa"/>
            <w:vMerge w:val="continue"/>
            <w:tcBorders>
              <w:tl2br w:val="nil"/>
              <w:tr2bl w:val="nil"/>
            </w:tcBorders>
            <w:vAlign w:val="center"/>
          </w:tcPr>
          <w:p>
            <w:pPr>
              <w:snapToGrid w:val="0"/>
              <w:spacing w:line="240" w:lineRule="auto"/>
              <w:jc w:val="center"/>
              <w:rPr>
                <w:rFonts w:hint="eastAsia"/>
                <w:color w:val="auto"/>
                <w:kern w:val="24"/>
                <w:sz w:val="21"/>
                <w:szCs w:val="21"/>
                <w:highlight w:val="none"/>
              </w:rPr>
            </w:pPr>
          </w:p>
        </w:tc>
        <w:tc>
          <w:tcPr>
            <w:tcW w:w="735" w:type="dxa"/>
            <w:vMerge w:val="continue"/>
            <w:tcBorders>
              <w:tl2br w:val="nil"/>
              <w:tr2bl w:val="nil"/>
            </w:tcBorders>
            <w:vAlign w:val="center"/>
          </w:tcPr>
          <w:p>
            <w:pPr>
              <w:autoSpaceDE w:val="0"/>
              <w:autoSpaceDN w:val="0"/>
              <w:spacing w:line="240" w:lineRule="auto"/>
              <w:jc w:val="center"/>
              <w:rPr>
                <w:rFonts w:hint="eastAsia"/>
                <w:color w:val="auto"/>
                <w:sz w:val="21"/>
                <w:szCs w:val="21"/>
                <w:highlight w:val="none"/>
              </w:rPr>
            </w:pPr>
          </w:p>
        </w:tc>
        <w:tc>
          <w:tcPr>
            <w:tcW w:w="647" w:type="dxa"/>
            <w:vMerge w:val="continue"/>
            <w:tcBorders>
              <w:tl2br w:val="nil"/>
              <w:tr2bl w:val="nil"/>
            </w:tcBorders>
            <w:vAlign w:val="center"/>
          </w:tcPr>
          <w:p>
            <w:pPr>
              <w:spacing w:line="240" w:lineRule="auto"/>
              <w:jc w:val="center"/>
              <w:rPr>
                <w:color w:val="auto"/>
                <w:kern w:val="24"/>
                <w:sz w:val="21"/>
                <w:szCs w:val="21"/>
                <w:highlight w:val="none"/>
              </w:rPr>
            </w:pPr>
          </w:p>
        </w:tc>
        <w:tc>
          <w:tcPr>
            <w:tcW w:w="705" w:type="dxa"/>
            <w:vMerge w:val="continue"/>
            <w:tcBorders>
              <w:tl2br w:val="nil"/>
              <w:tr2bl w:val="nil"/>
            </w:tcBorders>
            <w:vAlign w:val="center"/>
          </w:tcPr>
          <w:p>
            <w:pPr>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495" w:type="dxa"/>
            <w:vMerge w:val="continue"/>
            <w:tcBorders>
              <w:bottom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p>
        </w:tc>
        <w:tc>
          <w:tcPr>
            <w:tcW w:w="1260" w:type="dxa"/>
            <w:vMerge w:val="continue"/>
            <w:tcBorders>
              <w:bottom w:val="single" w:color="auto" w:sz="4" w:space="0"/>
              <w:tl2br w:val="nil"/>
              <w:tr2bl w:val="nil"/>
            </w:tcBorders>
            <w:vAlign w:val="center"/>
          </w:tcPr>
          <w:p>
            <w:pPr>
              <w:spacing w:line="240" w:lineRule="auto"/>
              <w:jc w:val="center"/>
              <w:rPr>
                <w:rFonts w:hint="eastAsia" w:ascii="Calibri" w:hAnsi="Calibri" w:eastAsia="宋体"/>
                <w:color w:val="auto"/>
                <w:kern w:val="24"/>
                <w:sz w:val="21"/>
                <w:szCs w:val="21"/>
                <w:highlight w:val="none"/>
                <w:lang w:val="en-US" w:eastAsia="zh-CN"/>
              </w:rPr>
            </w:pPr>
          </w:p>
        </w:tc>
        <w:tc>
          <w:tcPr>
            <w:tcW w:w="1110" w:type="dxa"/>
            <w:vMerge w:val="continue"/>
            <w:tcBorders>
              <w:bottom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p>
        </w:tc>
        <w:tc>
          <w:tcPr>
            <w:tcW w:w="1440" w:type="dxa"/>
            <w:tcBorders>
              <w:bottom w:val="single" w:color="auto" w:sz="4" w:space="0"/>
              <w:tl2br w:val="nil"/>
              <w:tr2bl w:val="nil"/>
            </w:tcBorders>
            <w:vAlign w:val="center"/>
          </w:tcPr>
          <w:p>
            <w:pPr>
              <w:spacing w:line="240" w:lineRule="auto"/>
              <w:jc w:val="center"/>
              <w:rPr>
                <w:rFonts w:hint="eastAsia" w:ascii="Calibri" w:hAnsi="Calibri" w:eastAsia="宋体"/>
                <w:color w:val="auto"/>
                <w:kern w:val="24"/>
                <w:sz w:val="21"/>
                <w:szCs w:val="21"/>
                <w:highlight w:val="none"/>
                <w:lang w:eastAsia="zh-CN"/>
              </w:rPr>
            </w:pPr>
            <w:r>
              <w:rPr>
                <w:rFonts w:hint="eastAsia"/>
                <w:color w:val="auto"/>
                <w:sz w:val="21"/>
                <w:szCs w:val="21"/>
                <w:highlight w:val="none"/>
                <w:lang w:eastAsia="zh-CN"/>
              </w:rPr>
              <w:t>烟尘</w:t>
            </w:r>
          </w:p>
        </w:tc>
        <w:tc>
          <w:tcPr>
            <w:tcW w:w="2396" w:type="dxa"/>
            <w:vMerge w:val="continue"/>
            <w:tcBorders>
              <w:bottom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p>
        </w:tc>
        <w:tc>
          <w:tcPr>
            <w:tcW w:w="1095" w:type="dxa"/>
            <w:tcBorders>
              <w:top w:val="single" w:color="auto" w:sz="4" w:space="0"/>
              <w:bottom w:val="single" w:color="auto" w:sz="4" w:space="0"/>
              <w:tl2br w:val="nil"/>
              <w:tr2bl w:val="nil"/>
            </w:tcBorders>
            <w:vAlign w:val="center"/>
          </w:tcPr>
          <w:p>
            <w:pPr>
              <w:keepNext w:val="0"/>
              <w:keepLines w:val="0"/>
              <w:widowControl/>
              <w:suppressLineNumbers w:val="0"/>
              <w:spacing w:line="240" w:lineRule="auto"/>
              <w:jc w:val="center"/>
              <w:textAlignment w:val="center"/>
              <w:rPr>
                <w:rFonts w:ascii="Calibri" w:hAnsi="Calibri"/>
                <w:color w:val="auto"/>
                <w:kern w:val="24"/>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17.613 </w:t>
            </w:r>
          </w:p>
        </w:tc>
        <w:tc>
          <w:tcPr>
            <w:tcW w:w="858" w:type="dxa"/>
            <w:tcBorders>
              <w:top w:val="single" w:color="auto" w:sz="4" w:space="0"/>
              <w:bottom w:val="single" w:color="auto" w:sz="4" w:space="0"/>
              <w:tl2br w:val="nil"/>
              <w:tr2bl w:val="nil"/>
            </w:tcBorders>
            <w:vAlign w:val="center"/>
          </w:tcPr>
          <w:p>
            <w:pPr>
              <w:keepNext w:val="0"/>
              <w:keepLines w:val="0"/>
              <w:widowControl/>
              <w:suppressLineNumbers w:val="0"/>
              <w:spacing w:line="240" w:lineRule="auto"/>
              <w:jc w:val="center"/>
              <w:textAlignment w:val="center"/>
              <w:rPr>
                <w:rFonts w:hint="default" w:eastAsia="宋体"/>
                <w:color w:val="auto"/>
                <w:kern w:val="24"/>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 xml:space="preserve">0.002 </w:t>
            </w:r>
          </w:p>
        </w:tc>
        <w:tc>
          <w:tcPr>
            <w:tcW w:w="862" w:type="dxa"/>
            <w:tcBorders>
              <w:top w:val="single" w:color="auto" w:sz="4" w:space="0"/>
              <w:bottom w:val="single" w:color="auto" w:sz="4" w:space="0"/>
              <w:tl2br w:val="nil"/>
              <w:tr2bl w:val="nil"/>
            </w:tcBorders>
            <w:vAlign w:val="center"/>
          </w:tcPr>
          <w:p>
            <w:pPr>
              <w:keepNext w:val="0"/>
              <w:keepLines w:val="0"/>
              <w:widowControl/>
              <w:suppressLineNumbers w:val="0"/>
              <w:spacing w:line="240" w:lineRule="auto"/>
              <w:jc w:val="center"/>
              <w:textAlignment w:val="center"/>
              <w:rPr>
                <w:rFonts w:hint="default" w:eastAsia="宋体"/>
                <w:color w:val="auto"/>
                <w:kern w:val="24"/>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0.001</w:t>
            </w:r>
          </w:p>
        </w:tc>
        <w:tc>
          <w:tcPr>
            <w:tcW w:w="1040" w:type="dxa"/>
            <w:tcBorders>
              <w:top w:val="single" w:color="auto" w:sz="4" w:space="0"/>
              <w:bottom w:val="single" w:color="auto" w:sz="4" w:space="0"/>
              <w:tl2br w:val="nil"/>
              <w:tr2bl w:val="nil"/>
            </w:tcBorders>
            <w:vAlign w:val="center"/>
          </w:tcPr>
          <w:p>
            <w:pPr>
              <w:pStyle w:val="25"/>
              <w:spacing w:line="240" w:lineRule="auto"/>
              <w:ind w:firstLine="0" w:firstLineChars="0"/>
              <w:jc w:val="center"/>
              <w:rPr>
                <w:rFonts w:hint="default" w:eastAsia="宋体"/>
                <w:color w:val="auto"/>
                <w:kern w:val="24"/>
                <w:sz w:val="21"/>
                <w:szCs w:val="21"/>
                <w:highlight w:val="none"/>
                <w:lang w:val="en-US" w:eastAsia="zh-CN"/>
              </w:rPr>
            </w:pPr>
            <w:r>
              <w:rPr>
                <w:rFonts w:hint="eastAsia"/>
                <w:bCs/>
                <w:color w:val="auto"/>
                <w:sz w:val="21"/>
                <w:szCs w:val="21"/>
                <w:highlight w:val="none"/>
                <w:lang w:val="en-US" w:eastAsia="zh-CN"/>
              </w:rPr>
              <w:t>300</w:t>
            </w:r>
          </w:p>
        </w:tc>
        <w:tc>
          <w:tcPr>
            <w:tcW w:w="750" w:type="dxa"/>
            <w:tcBorders>
              <w:top w:val="single" w:color="auto" w:sz="4" w:space="0"/>
              <w:bottom w:val="single" w:color="auto" w:sz="4" w:space="0"/>
              <w:tl2br w:val="nil"/>
              <w:tr2bl w:val="nil"/>
            </w:tcBorders>
            <w:vAlign w:val="center"/>
          </w:tcPr>
          <w:p>
            <w:pPr>
              <w:pStyle w:val="25"/>
              <w:spacing w:line="240" w:lineRule="auto"/>
              <w:ind w:firstLine="0" w:firstLineChars="0"/>
              <w:jc w:val="center"/>
              <w:rPr>
                <w:rFonts w:hint="eastAsia" w:eastAsia="宋体"/>
                <w:color w:val="auto"/>
                <w:kern w:val="24"/>
                <w:sz w:val="21"/>
                <w:szCs w:val="21"/>
                <w:highlight w:val="none"/>
                <w:lang w:eastAsia="zh-CN"/>
              </w:rPr>
            </w:pPr>
            <w:r>
              <w:rPr>
                <w:rFonts w:hint="eastAsia"/>
                <w:bCs/>
                <w:color w:val="auto"/>
                <w:sz w:val="21"/>
                <w:szCs w:val="21"/>
                <w:highlight w:val="none"/>
                <w:lang w:val="en-US" w:eastAsia="zh-CN"/>
              </w:rPr>
              <w:t>/</w:t>
            </w:r>
          </w:p>
        </w:tc>
        <w:tc>
          <w:tcPr>
            <w:tcW w:w="645" w:type="dxa"/>
            <w:vMerge w:val="continue"/>
            <w:tcBorders>
              <w:bottom w:val="single" w:color="auto" w:sz="4" w:space="0"/>
              <w:tl2br w:val="nil"/>
              <w:tr2bl w:val="nil"/>
            </w:tcBorders>
            <w:vAlign w:val="center"/>
          </w:tcPr>
          <w:p>
            <w:pPr>
              <w:spacing w:line="240" w:lineRule="auto"/>
              <w:jc w:val="center"/>
              <w:rPr>
                <w:color w:val="auto"/>
                <w:kern w:val="24"/>
                <w:sz w:val="21"/>
                <w:szCs w:val="21"/>
                <w:highlight w:val="none"/>
              </w:rPr>
            </w:pPr>
          </w:p>
        </w:tc>
        <w:tc>
          <w:tcPr>
            <w:tcW w:w="735" w:type="dxa"/>
            <w:vMerge w:val="continue"/>
            <w:tcBorders>
              <w:bottom w:val="single" w:color="auto" w:sz="4" w:space="0"/>
              <w:tl2br w:val="nil"/>
              <w:tr2bl w:val="nil"/>
            </w:tcBorders>
            <w:vAlign w:val="center"/>
          </w:tcPr>
          <w:p>
            <w:pPr>
              <w:spacing w:line="240" w:lineRule="auto"/>
              <w:jc w:val="center"/>
              <w:rPr>
                <w:color w:val="auto"/>
                <w:kern w:val="24"/>
                <w:sz w:val="21"/>
                <w:szCs w:val="21"/>
                <w:highlight w:val="none"/>
              </w:rPr>
            </w:pPr>
          </w:p>
        </w:tc>
        <w:tc>
          <w:tcPr>
            <w:tcW w:w="647" w:type="dxa"/>
            <w:vMerge w:val="continue"/>
            <w:tcBorders>
              <w:bottom w:val="single" w:color="auto" w:sz="4" w:space="0"/>
              <w:tl2br w:val="nil"/>
              <w:tr2bl w:val="nil"/>
            </w:tcBorders>
            <w:vAlign w:val="center"/>
          </w:tcPr>
          <w:p>
            <w:pPr>
              <w:spacing w:line="240" w:lineRule="auto"/>
              <w:jc w:val="center"/>
              <w:rPr>
                <w:color w:val="auto"/>
                <w:kern w:val="24"/>
                <w:sz w:val="21"/>
                <w:szCs w:val="21"/>
                <w:highlight w:val="none"/>
              </w:rPr>
            </w:pPr>
          </w:p>
        </w:tc>
        <w:tc>
          <w:tcPr>
            <w:tcW w:w="705" w:type="dxa"/>
            <w:vMerge w:val="continue"/>
            <w:tcBorders>
              <w:bottom w:val="single" w:color="auto" w:sz="4" w:space="0"/>
              <w:tl2br w:val="nil"/>
              <w:tr2bl w:val="nil"/>
            </w:tcBorders>
            <w:vAlign w:val="center"/>
          </w:tcPr>
          <w:p>
            <w:pPr>
              <w:spacing w:line="240" w:lineRule="auto"/>
              <w:jc w:val="center"/>
              <w:rPr>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491"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495" w:type="dxa"/>
            <w:vMerge w:val="restart"/>
            <w:tcBorders>
              <w:top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无组织</w:t>
            </w:r>
          </w:p>
        </w:tc>
        <w:tc>
          <w:tcPr>
            <w:tcW w:w="1260" w:type="dxa"/>
            <w:tcBorders>
              <w:top w:val="single" w:color="auto" w:sz="4" w:space="0"/>
              <w:tl2br w:val="nil"/>
              <w:tr2bl w:val="nil"/>
            </w:tcBorders>
            <w:vAlign w:val="center"/>
          </w:tcPr>
          <w:p>
            <w:pPr>
              <w:spacing w:line="240" w:lineRule="auto"/>
              <w:jc w:val="center"/>
              <w:rPr>
                <w:rFonts w:hint="eastAsia" w:ascii="Calibri" w:hAnsi="Calibri" w:eastAsia="宋体"/>
                <w:color w:val="auto"/>
                <w:kern w:val="24"/>
                <w:sz w:val="21"/>
                <w:szCs w:val="21"/>
                <w:highlight w:val="none"/>
                <w:lang w:eastAsia="zh-CN"/>
              </w:rPr>
            </w:pPr>
            <w:r>
              <w:rPr>
                <w:rFonts w:hint="eastAsia" w:ascii="Calibri" w:hAnsi="Calibri"/>
                <w:color w:val="auto"/>
                <w:kern w:val="24"/>
                <w:sz w:val="21"/>
                <w:szCs w:val="21"/>
                <w:highlight w:val="none"/>
                <w:lang w:eastAsia="zh-CN"/>
              </w:rPr>
              <w:t>锻压工序</w:t>
            </w:r>
          </w:p>
        </w:tc>
        <w:tc>
          <w:tcPr>
            <w:tcW w:w="1110"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1440" w:type="dxa"/>
            <w:tcBorders>
              <w:top w:val="single" w:color="auto" w:sz="4" w:space="0"/>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非甲烷总烃</w:t>
            </w:r>
          </w:p>
        </w:tc>
        <w:tc>
          <w:tcPr>
            <w:tcW w:w="2396" w:type="dxa"/>
            <w:tcBorders>
              <w:top w:val="single" w:color="auto" w:sz="4" w:space="0"/>
              <w:tl2br w:val="nil"/>
              <w:tr2bl w:val="nil"/>
            </w:tcBorders>
            <w:vAlign w:val="center"/>
          </w:tcPr>
          <w:p>
            <w:pPr>
              <w:spacing w:line="240" w:lineRule="auto"/>
              <w:jc w:val="center"/>
              <w:rPr>
                <w:rFonts w:hint="eastAsia" w:ascii="Calibri" w:hAnsi="Calibri"/>
                <w:color w:val="auto"/>
                <w:sz w:val="21"/>
                <w:szCs w:val="21"/>
                <w:highlight w:val="none"/>
              </w:rPr>
            </w:pPr>
            <w:r>
              <w:rPr>
                <w:rFonts w:hint="eastAsia" w:ascii="Calibri" w:hAnsi="Calibri"/>
                <w:color w:val="auto"/>
                <w:sz w:val="21"/>
                <w:szCs w:val="21"/>
                <w:highlight w:val="none"/>
              </w:rPr>
              <w:t>加强通风</w:t>
            </w:r>
          </w:p>
        </w:tc>
        <w:tc>
          <w:tcPr>
            <w:tcW w:w="109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858" w:type="dxa"/>
            <w:tcBorders>
              <w:top w:val="single" w:color="auto" w:sz="4" w:space="0"/>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0.004</w:t>
            </w:r>
          </w:p>
        </w:tc>
        <w:tc>
          <w:tcPr>
            <w:tcW w:w="862" w:type="dxa"/>
            <w:tcBorders>
              <w:top w:val="single" w:color="auto" w:sz="4" w:space="0"/>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0.002</w:t>
            </w:r>
          </w:p>
        </w:tc>
        <w:tc>
          <w:tcPr>
            <w:tcW w:w="1040" w:type="dxa"/>
            <w:tcBorders>
              <w:top w:val="single" w:color="auto" w:sz="4" w:space="0"/>
              <w:tl2br w:val="nil"/>
              <w:tr2bl w:val="nil"/>
            </w:tcBorders>
            <w:vAlign w:val="center"/>
          </w:tcPr>
          <w:p>
            <w:pPr>
              <w:spacing w:line="240" w:lineRule="auto"/>
              <w:jc w:val="center"/>
              <w:rPr>
                <w:rFonts w:hint="eastAsia"/>
                <w:color w:val="auto"/>
                <w:kern w:val="24"/>
                <w:sz w:val="21"/>
                <w:szCs w:val="21"/>
                <w:highlight w:val="none"/>
              </w:rPr>
            </w:pPr>
            <w:r>
              <w:rPr>
                <w:rFonts w:hint="eastAsia"/>
                <w:color w:val="auto"/>
                <w:kern w:val="24"/>
                <w:sz w:val="21"/>
                <w:szCs w:val="21"/>
                <w:highlight w:val="none"/>
                <w:lang w:val="en-US" w:eastAsia="zh-CN"/>
              </w:rPr>
              <w:t>4</w:t>
            </w:r>
            <w:r>
              <w:rPr>
                <w:rFonts w:hint="eastAsia"/>
                <w:color w:val="auto"/>
                <w:kern w:val="24"/>
                <w:sz w:val="21"/>
                <w:szCs w:val="21"/>
                <w:highlight w:val="none"/>
              </w:rPr>
              <w:t>.0</w:t>
            </w:r>
          </w:p>
        </w:tc>
        <w:tc>
          <w:tcPr>
            <w:tcW w:w="750"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64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73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647" w:type="dxa"/>
            <w:tcBorders>
              <w:top w:val="single" w:color="auto" w:sz="4" w:space="0"/>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25</w:t>
            </w:r>
          </w:p>
        </w:tc>
        <w:tc>
          <w:tcPr>
            <w:tcW w:w="705" w:type="dxa"/>
            <w:tcBorders>
              <w:top w:val="single" w:color="auto" w:sz="4" w:space="0"/>
              <w:tl2br w:val="nil"/>
              <w:tr2bl w:val="nil"/>
            </w:tcBorders>
            <w:vAlign w:val="center"/>
          </w:tcPr>
          <w:p>
            <w:pPr>
              <w:spacing w:line="240" w:lineRule="auto"/>
              <w:jc w:val="center"/>
              <w:rPr>
                <w:color w:val="auto"/>
                <w:sz w:val="21"/>
                <w:szCs w:val="21"/>
                <w:highlight w:val="none"/>
              </w:rPr>
            </w:pPr>
            <w:r>
              <w:rPr>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491"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495"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260" w:type="dxa"/>
            <w:tcBorders>
              <w:top w:val="single" w:color="auto" w:sz="4" w:space="0"/>
              <w:tl2br w:val="nil"/>
              <w:tr2bl w:val="nil"/>
            </w:tcBorders>
            <w:vAlign w:val="center"/>
          </w:tcPr>
          <w:p>
            <w:pPr>
              <w:spacing w:line="240" w:lineRule="auto"/>
              <w:jc w:val="center"/>
              <w:rPr>
                <w:rFonts w:hint="eastAsia" w:ascii="Calibri" w:hAnsi="Calibri" w:eastAsia="宋体" w:cs="Times New Roman"/>
                <w:color w:val="auto"/>
                <w:kern w:val="24"/>
                <w:sz w:val="21"/>
                <w:szCs w:val="21"/>
                <w:highlight w:val="none"/>
                <w:lang w:val="en-US" w:eastAsia="zh-CN" w:bidi="ar-SA"/>
              </w:rPr>
            </w:pPr>
            <w:r>
              <w:rPr>
                <w:rFonts w:hint="eastAsia" w:ascii="Calibri" w:hAnsi="Calibri"/>
                <w:color w:val="auto"/>
                <w:kern w:val="24"/>
                <w:sz w:val="21"/>
                <w:szCs w:val="21"/>
                <w:highlight w:val="none"/>
                <w:lang w:eastAsia="zh-CN"/>
              </w:rPr>
              <w:t>开料、机加工工序</w:t>
            </w:r>
          </w:p>
        </w:tc>
        <w:tc>
          <w:tcPr>
            <w:tcW w:w="1110" w:type="dxa"/>
            <w:tcBorders>
              <w:top w:val="single" w:color="auto" w:sz="4" w:space="0"/>
              <w:tl2br w:val="nil"/>
              <w:tr2bl w:val="nil"/>
            </w:tcBorders>
            <w:vAlign w:val="center"/>
          </w:tcPr>
          <w:p>
            <w:pPr>
              <w:spacing w:line="240" w:lineRule="auto"/>
              <w:jc w:val="center"/>
              <w:rPr>
                <w:rFonts w:ascii="Calibri" w:hAnsi="Calibri" w:eastAsia="宋体" w:cs="Times New Roman"/>
                <w:color w:val="auto"/>
                <w:kern w:val="24"/>
                <w:sz w:val="21"/>
                <w:szCs w:val="21"/>
                <w:highlight w:val="none"/>
                <w:lang w:val="en-US" w:eastAsia="zh-CN" w:bidi="ar-SA"/>
              </w:rPr>
            </w:pPr>
            <w:r>
              <w:rPr>
                <w:rFonts w:ascii="Calibri" w:hAnsi="Calibri"/>
                <w:color w:val="auto"/>
                <w:kern w:val="24"/>
                <w:sz w:val="21"/>
                <w:szCs w:val="21"/>
                <w:highlight w:val="none"/>
              </w:rPr>
              <w:t>/</w:t>
            </w:r>
          </w:p>
        </w:tc>
        <w:tc>
          <w:tcPr>
            <w:tcW w:w="1440" w:type="dxa"/>
            <w:tcBorders>
              <w:top w:val="single" w:color="auto" w:sz="4" w:space="0"/>
              <w:tl2br w:val="nil"/>
              <w:tr2bl w:val="nil"/>
            </w:tcBorders>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粉尘</w:t>
            </w:r>
          </w:p>
        </w:tc>
        <w:tc>
          <w:tcPr>
            <w:tcW w:w="2396" w:type="dxa"/>
            <w:tcBorders>
              <w:top w:val="single" w:color="auto" w:sz="4" w:space="0"/>
              <w:tl2br w:val="nil"/>
              <w:tr2bl w:val="nil"/>
            </w:tcBorders>
            <w:vAlign w:val="center"/>
          </w:tcPr>
          <w:p>
            <w:pPr>
              <w:spacing w:line="240" w:lineRule="auto"/>
              <w:jc w:val="center"/>
              <w:rPr>
                <w:rFonts w:hint="eastAsia" w:ascii="Calibri" w:hAnsi="Calibri" w:eastAsia="宋体" w:cs="Times New Roman"/>
                <w:color w:val="auto"/>
                <w:kern w:val="2"/>
                <w:sz w:val="21"/>
                <w:szCs w:val="21"/>
                <w:highlight w:val="none"/>
                <w:lang w:val="en-US" w:eastAsia="zh-CN" w:bidi="ar-SA"/>
              </w:rPr>
            </w:pPr>
            <w:r>
              <w:rPr>
                <w:rFonts w:hint="eastAsia" w:ascii="Calibri" w:hAnsi="Calibri"/>
                <w:color w:val="auto"/>
                <w:sz w:val="21"/>
                <w:szCs w:val="21"/>
                <w:highlight w:val="none"/>
              </w:rPr>
              <w:t>加强通风</w:t>
            </w:r>
          </w:p>
        </w:tc>
        <w:tc>
          <w:tcPr>
            <w:tcW w:w="109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858" w:type="dxa"/>
            <w:tcBorders>
              <w:top w:val="single" w:color="auto" w:sz="4" w:space="0"/>
              <w:tl2br w:val="nil"/>
              <w:tr2bl w:val="nil"/>
            </w:tcBorders>
            <w:vAlign w:val="center"/>
          </w:tcPr>
          <w:p>
            <w:pPr>
              <w:autoSpaceDE w:val="0"/>
              <w:autoSpaceDN w:val="0"/>
              <w:spacing w:line="240" w:lineRule="auto"/>
              <w:jc w:val="center"/>
              <w:rPr>
                <w:rFonts w:hint="default"/>
                <w:color w:val="auto"/>
                <w:kern w:val="24"/>
                <w:sz w:val="21"/>
                <w:szCs w:val="21"/>
                <w:highlight w:val="none"/>
                <w:lang w:val="en-US" w:eastAsia="zh-CN"/>
              </w:rPr>
            </w:pPr>
            <w:r>
              <w:rPr>
                <w:rFonts w:hint="eastAsia"/>
                <w:color w:val="auto"/>
                <w:kern w:val="24"/>
                <w:sz w:val="21"/>
                <w:szCs w:val="21"/>
                <w:highlight w:val="none"/>
                <w:lang w:val="en-US" w:eastAsia="zh-CN"/>
              </w:rPr>
              <w:t>0.0053</w:t>
            </w:r>
          </w:p>
        </w:tc>
        <w:tc>
          <w:tcPr>
            <w:tcW w:w="862" w:type="dxa"/>
            <w:tcBorders>
              <w:top w:val="single" w:color="auto" w:sz="4" w:space="0"/>
              <w:tl2br w:val="nil"/>
              <w:tr2bl w:val="nil"/>
            </w:tcBorders>
            <w:vAlign w:val="center"/>
          </w:tcPr>
          <w:p>
            <w:pPr>
              <w:autoSpaceDE w:val="0"/>
              <w:autoSpaceDN w:val="0"/>
              <w:spacing w:line="240" w:lineRule="auto"/>
              <w:jc w:val="center"/>
              <w:rPr>
                <w:rFonts w:hint="default"/>
                <w:color w:val="auto"/>
                <w:kern w:val="24"/>
                <w:sz w:val="21"/>
                <w:szCs w:val="21"/>
                <w:highlight w:val="none"/>
                <w:lang w:val="en-US" w:eastAsia="zh-CN"/>
              </w:rPr>
            </w:pPr>
            <w:r>
              <w:rPr>
                <w:rFonts w:hint="eastAsia"/>
                <w:color w:val="auto"/>
                <w:kern w:val="24"/>
                <w:sz w:val="21"/>
                <w:szCs w:val="21"/>
                <w:highlight w:val="none"/>
                <w:lang w:val="en-US" w:eastAsia="zh-CN"/>
              </w:rPr>
              <w:t>0.002</w:t>
            </w:r>
          </w:p>
        </w:tc>
        <w:tc>
          <w:tcPr>
            <w:tcW w:w="1040" w:type="dxa"/>
            <w:tcBorders>
              <w:top w:val="single" w:color="auto" w:sz="4" w:space="0"/>
              <w:tl2br w:val="nil"/>
              <w:tr2bl w:val="nil"/>
            </w:tcBorders>
            <w:vAlign w:val="center"/>
          </w:tcPr>
          <w:p>
            <w:pPr>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1.0</w:t>
            </w:r>
          </w:p>
        </w:tc>
        <w:tc>
          <w:tcPr>
            <w:tcW w:w="750"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64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735" w:type="dxa"/>
            <w:tcBorders>
              <w:top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c>
          <w:tcPr>
            <w:tcW w:w="647" w:type="dxa"/>
            <w:tcBorders>
              <w:top w:val="single" w:color="auto" w:sz="4" w:space="0"/>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25</w:t>
            </w:r>
          </w:p>
        </w:tc>
        <w:tc>
          <w:tcPr>
            <w:tcW w:w="705" w:type="dxa"/>
            <w:tcBorders>
              <w:top w:val="single" w:color="auto" w:sz="4" w:space="0"/>
              <w:tl2br w:val="nil"/>
              <w:tr2bl w:val="nil"/>
            </w:tcBorders>
            <w:vAlign w:val="center"/>
          </w:tcPr>
          <w:p>
            <w:pPr>
              <w:spacing w:line="240" w:lineRule="auto"/>
              <w:jc w:val="center"/>
              <w:rPr>
                <w:color w:val="auto"/>
                <w:sz w:val="21"/>
                <w:szCs w:val="21"/>
                <w:highlight w:val="none"/>
              </w:rPr>
            </w:pPr>
            <w:r>
              <w:rPr>
                <w:color w:val="auto"/>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dxa"/>
            <w:vMerge w:val="restart"/>
            <w:tcBorders>
              <w:top w:val="single" w:color="auto" w:sz="4" w:space="0"/>
              <w:tl2br w:val="nil"/>
              <w:tr2bl w:val="nil"/>
            </w:tcBorders>
            <w:vAlign w:val="center"/>
          </w:tcPr>
          <w:p>
            <w:pPr>
              <w:spacing w:line="240" w:lineRule="auto"/>
              <w:jc w:val="center"/>
              <w:rPr>
                <w:rFonts w:ascii="Calibri" w:hAnsi="Calibri"/>
                <w:b/>
                <w:bCs/>
                <w:color w:val="auto"/>
                <w:kern w:val="24"/>
                <w:sz w:val="21"/>
                <w:szCs w:val="21"/>
                <w:highlight w:val="none"/>
              </w:rPr>
            </w:pPr>
            <w:r>
              <w:rPr>
                <w:rFonts w:ascii="Calibri" w:hAnsi="Calibri"/>
                <w:b/>
                <w:bCs/>
                <w:color w:val="auto"/>
                <w:kern w:val="24"/>
                <w:sz w:val="21"/>
                <w:szCs w:val="21"/>
                <w:highlight w:val="none"/>
              </w:rPr>
              <w:t>废水</w:t>
            </w:r>
          </w:p>
        </w:tc>
        <w:tc>
          <w:tcPr>
            <w:tcW w:w="1755" w:type="dxa"/>
            <w:gridSpan w:val="2"/>
            <w:vMerge w:val="restart"/>
            <w:tcBorders>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生活污水</w:t>
            </w:r>
          </w:p>
        </w:tc>
        <w:tc>
          <w:tcPr>
            <w:tcW w:w="1110" w:type="dxa"/>
            <w:vMerge w:val="restart"/>
            <w:tcBorders>
              <w:tl2br w:val="nil"/>
              <w:tr2bl w:val="nil"/>
            </w:tcBorders>
            <w:vAlign w:val="center"/>
          </w:tcPr>
          <w:p>
            <w:pPr>
              <w:spacing w:line="240" w:lineRule="auto"/>
              <w:jc w:val="center"/>
              <w:rPr>
                <w:color w:val="auto"/>
                <w:kern w:val="24"/>
                <w:sz w:val="21"/>
                <w:szCs w:val="21"/>
                <w:highlight w:val="none"/>
              </w:rPr>
            </w:pPr>
            <w:r>
              <w:rPr>
                <w:rFonts w:hint="eastAsia"/>
                <w:color w:val="auto"/>
                <w:kern w:val="0"/>
                <w:sz w:val="21"/>
                <w:szCs w:val="21"/>
                <w:highlight w:val="none"/>
                <w:lang w:val="en-US" w:eastAsia="zh-CN"/>
              </w:rPr>
              <w:t>54</w:t>
            </w: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/a</w:t>
            </w:r>
          </w:p>
        </w:tc>
        <w:tc>
          <w:tcPr>
            <w:tcW w:w="1440" w:type="dxa"/>
            <w:tcBorders>
              <w:tl2br w:val="nil"/>
              <w:tr2bl w:val="nil"/>
            </w:tcBorders>
            <w:vAlign w:val="center"/>
          </w:tcPr>
          <w:p>
            <w:pPr>
              <w:widowControl/>
              <w:spacing w:line="240" w:lineRule="auto"/>
              <w:jc w:val="center"/>
              <w:rPr>
                <w:color w:val="auto"/>
                <w:sz w:val="21"/>
                <w:szCs w:val="21"/>
                <w:highlight w:val="none"/>
              </w:rPr>
            </w:pPr>
            <w:r>
              <w:rPr>
                <w:color w:val="auto"/>
                <w:sz w:val="21"/>
                <w:szCs w:val="21"/>
                <w:highlight w:val="none"/>
              </w:rPr>
              <w:t>COD</w:t>
            </w:r>
            <w:r>
              <w:rPr>
                <w:color w:val="auto"/>
                <w:sz w:val="21"/>
                <w:szCs w:val="21"/>
                <w:highlight w:val="none"/>
                <w:vertAlign w:val="subscript"/>
              </w:rPr>
              <w:t>Cr</w:t>
            </w:r>
          </w:p>
        </w:tc>
        <w:tc>
          <w:tcPr>
            <w:tcW w:w="2396" w:type="dxa"/>
            <w:vMerge w:val="restart"/>
            <w:tcBorders>
              <w:tl2br w:val="nil"/>
              <w:tr2bl w:val="nil"/>
            </w:tcBorders>
            <w:vAlign w:val="center"/>
          </w:tcPr>
          <w:p>
            <w:pPr>
              <w:spacing w:line="240" w:lineRule="auto"/>
              <w:jc w:val="center"/>
              <w:rPr>
                <w:color w:val="auto"/>
                <w:kern w:val="24"/>
                <w:sz w:val="21"/>
                <w:szCs w:val="21"/>
                <w:highlight w:val="none"/>
              </w:rPr>
            </w:pPr>
            <w:r>
              <w:rPr>
                <w:rFonts w:hint="eastAsia"/>
                <w:color w:val="auto"/>
                <w:kern w:val="24"/>
                <w:sz w:val="21"/>
                <w:szCs w:val="21"/>
                <w:highlight w:val="none"/>
              </w:rPr>
              <w:t>经三级化粪池处理后排放到市政污水管网，引至开平市水口污水处理厂处理</w:t>
            </w:r>
          </w:p>
        </w:tc>
        <w:tc>
          <w:tcPr>
            <w:tcW w:w="1095" w:type="dxa"/>
            <w:tcBorders>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200</w:t>
            </w:r>
          </w:p>
        </w:tc>
        <w:tc>
          <w:tcPr>
            <w:tcW w:w="858" w:type="dxa"/>
            <w:tcBorders>
              <w:tl2br w:val="nil"/>
              <w:tr2bl w:val="nil"/>
            </w:tcBorders>
            <w:vAlign w:val="center"/>
          </w:tcPr>
          <w:p>
            <w:pPr>
              <w:spacing w:line="240" w:lineRule="auto"/>
              <w:jc w:val="center"/>
              <w:rPr>
                <w:rFonts w:ascii="Times New Roman" w:hAnsi="Times New Roman"/>
                <w:color w:val="auto"/>
                <w:sz w:val="21"/>
                <w:szCs w:val="21"/>
                <w:highlight w:val="none"/>
              </w:rPr>
            </w:pPr>
            <w:r>
              <w:rPr>
                <w:rFonts w:hint="default" w:ascii="Times New Roman" w:hAnsi="Times New Roman"/>
                <w:bCs/>
                <w:color w:val="auto"/>
                <w:kern w:val="0"/>
                <w:szCs w:val="21"/>
                <w:highlight w:val="none"/>
                <w:lang w:val="en-US" w:eastAsia="zh-CN"/>
              </w:rPr>
              <w:t>0.011</w:t>
            </w:r>
          </w:p>
        </w:tc>
        <w:tc>
          <w:tcPr>
            <w:tcW w:w="862"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1040" w:type="dxa"/>
            <w:tcBorders>
              <w:tl2br w:val="nil"/>
              <w:tr2bl w:val="nil"/>
            </w:tcBorders>
            <w:vAlign w:val="center"/>
          </w:tcPr>
          <w:p>
            <w:pPr>
              <w:spacing w:line="240" w:lineRule="auto"/>
              <w:jc w:val="center"/>
              <w:rPr>
                <w:color w:val="auto"/>
                <w:kern w:val="24"/>
                <w:sz w:val="21"/>
                <w:szCs w:val="21"/>
                <w:highlight w:val="none"/>
              </w:rPr>
            </w:pPr>
            <w:r>
              <w:rPr>
                <w:rFonts w:hint="eastAsia"/>
                <w:color w:val="auto"/>
                <w:sz w:val="21"/>
                <w:szCs w:val="21"/>
                <w:highlight w:val="none"/>
              </w:rPr>
              <w:t>500</w:t>
            </w:r>
          </w:p>
        </w:tc>
        <w:tc>
          <w:tcPr>
            <w:tcW w:w="750"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3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7"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05" w:type="dxa"/>
            <w:vMerge w:val="restart"/>
            <w:tcBorders>
              <w:tl2br w:val="nil"/>
              <w:tr2bl w:val="nil"/>
            </w:tcBorders>
            <w:vAlign w:val="center"/>
          </w:tcPr>
          <w:p>
            <w:pPr>
              <w:spacing w:line="240" w:lineRule="auto"/>
              <w:jc w:val="center"/>
              <w:rPr>
                <w:color w:val="auto"/>
                <w:kern w:val="24"/>
                <w:sz w:val="21"/>
                <w:szCs w:val="21"/>
                <w:highlight w:val="none"/>
              </w:rPr>
            </w:pPr>
            <w:r>
              <w:rPr>
                <w:color w:val="auto"/>
                <w:kern w:val="24"/>
                <w:sz w:val="21"/>
                <w:szCs w:val="21"/>
                <w:highlight w:val="none"/>
              </w:rPr>
              <w:t>2400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dxa"/>
            <w:vMerge w:val="continue"/>
            <w:tcBorders>
              <w:tl2br w:val="nil"/>
              <w:tr2bl w:val="nil"/>
            </w:tcBorders>
            <w:vAlign w:val="center"/>
          </w:tcPr>
          <w:p>
            <w:pPr>
              <w:spacing w:line="240" w:lineRule="auto"/>
              <w:jc w:val="center"/>
              <w:rPr>
                <w:rFonts w:ascii="Calibri" w:hAnsi="Calibri"/>
                <w:b/>
                <w:bCs/>
                <w:color w:val="auto"/>
                <w:kern w:val="24"/>
                <w:sz w:val="21"/>
                <w:szCs w:val="21"/>
                <w:highlight w:val="none"/>
              </w:rPr>
            </w:pPr>
          </w:p>
        </w:tc>
        <w:tc>
          <w:tcPr>
            <w:tcW w:w="1755" w:type="dxa"/>
            <w:gridSpan w:val="2"/>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110"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440" w:type="dxa"/>
            <w:tcBorders>
              <w:tl2br w:val="nil"/>
              <w:tr2bl w:val="nil"/>
            </w:tcBorders>
            <w:vAlign w:val="center"/>
          </w:tcPr>
          <w:p>
            <w:pPr>
              <w:widowControl/>
              <w:spacing w:line="240" w:lineRule="auto"/>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2396" w:type="dxa"/>
            <w:vMerge w:val="continue"/>
            <w:tcBorders>
              <w:tl2br w:val="nil"/>
              <w:tr2bl w:val="nil"/>
            </w:tcBorders>
            <w:vAlign w:val="center"/>
          </w:tcPr>
          <w:p>
            <w:pPr>
              <w:spacing w:line="240" w:lineRule="auto"/>
              <w:jc w:val="center"/>
              <w:rPr>
                <w:color w:val="auto"/>
                <w:kern w:val="24"/>
                <w:sz w:val="21"/>
                <w:szCs w:val="21"/>
                <w:highlight w:val="none"/>
              </w:rPr>
            </w:pPr>
          </w:p>
        </w:tc>
        <w:tc>
          <w:tcPr>
            <w:tcW w:w="1095" w:type="dxa"/>
            <w:tcBorders>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120</w:t>
            </w:r>
          </w:p>
        </w:tc>
        <w:tc>
          <w:tcPr>
            <w:tcW w:w="858" w:type="dxa"/>
            <w:tcBorders>
              <w:tl2br w:val="nil"/>
              <w:tr2bl w:val="nil"/>
            </w:tcBorders>
            <w:vAlign w:val="center"/>
          </w:tcPr>
          <w:p>
            <w:pPr>
              <w:spacing w:line="240" w:lineRule="auto"/>
              <w:jc w:val="center"/>
              <w:rPr>
                <w:rFonts w:ascii="Times New Roman" w:hAnsi="Times New Roman"/>
                <w:color w:val="auto"/>
                <w:sz w:val="21"/>
                <w:szCs w:val="21"/>
                <w:highlight w:val="none"/>
              </w:rPr>
            </w:pPr>
            <w:r>
              <w:rPr>
                <w:rFonts w:hint="default" w:ascii="Times New Roman" w:hAnsi="Times New Roman"/>
                <w:bCs/>
                <w:color w:val="auto"/>
                <w:kern w:val="0"/>
                <w:szCs w:val="21"/>
                <w:highlight w:val="none"/>
                <w:lang w:val="en-US" w:eastAsia="zh-CN"/>
              </w:rPr>
              <w:t>0.006</w:t>
            </w:r>
          </w:p>
        </w:tc>
        <w:tc>
          <w:tcPr>
            <w:tcW w:w="862"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1040" w:type="dxa"/>
            <w:tcBorders>
              <w:tl2br w:val="nil"/>
              <w:tr2bl w:val="nil"/>
            </w:tcBorders>
            <w:vAlign w:val="center"/>
          </w:tcPr>
          <w:p>
            <w:pPr>
              <w:spacing w:line="240" w:lineRule="auto"/>
              <w:jc w:val="center"/>
              <w:rPr>
                <w:color w:val="auto"/>
                <w:kern w:val="24"/>
                <w:sz w:val="21"/>
                <w:szCs w:val="21"/>
                <w:highlight w:val="none"/>
              </w:rPr>
            </w:pPr>
            <w:r>
              <w:rPr>
                <w:rFonts w:hint="eastAsia"/>
                <w:color w:val="auto"/>
                <w:sz w:val="21"/>
                <w:szCs w:val="21"/>
                <w:highlight w:val="none"/>
              </w:rPr>
              <w:t>300</w:t>
            </w:r>
          </w:p>
        </w:tc>
        <w:tc>
          <w:tcPr>
            <w:tcW w:w="750"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3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7"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05"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dxa"/>
            <w:vMerge w:val="continue"/>
            <w:tcBorders>
              <w:tl2br w:val="nil"/>
              <w:tr2bl w:val="nil"/>
            </w:tcBorders>
            <w:vAlign w:val="center"/>
          </w:tcPr>
          <w:p>
            <w:pPr>
              <w:spacing w:line="240" w:lineRule="auto"/>
              <w:jc w:val="center"/>
              <w:rPr>
                <w:rFonts w:ascii="Calibri" w:hAnsi="Calibri"/>
                <w:b/>
                <w:bCs/>
                <w:color w:val="auto"/>
                <w:kern w:val="24"/>
                <w:sz w:val="21"/>
                <w:szCs w:val="21"/>
                <w:highlight w:val="none"/>
              </w:rPr>
            </w:pPr>
          </w:p>
        </w:tc>
        <w:tc>
          <w:tcPr>
            <w:tcW w:w="1755" w:type="dxa"/>
            <w:gridSpan w:val="2"/>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110"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440" w:type="dxa"/>
            <w:tcBorders>
              <w:tl2br w:val="nil"/>
              <w:tr2bl w:val="nil"/>
            </w:tcBorders>
            <w:vAlign w:val="center"/>
          </w:tcPr>
          <w:p>
            <w:pPr>
              <w:widowControl/>
              <w:spacing w:line="240" w:lineRule="auto"/>
              <w:jc w:val="center"/>
              <w:rPr>
                <w:color w:val="auto"/>
                <w:sz w:val="21"/>
                <w:szCs w:val="21"/>
                <w:highlight w:val="none"/>
              </w:rPr>
            </w:pPr>
            <w:r>
              <w:rPr>
                <w:color w:val="auto"/>
                <w:sz w:val="21"/>
                <w:szCs w:val="21"/>
                <w:highlight w:val="none"/>
              </w:rPr>
              <w:t>SS</w:t>
            </w:r>
          </w:p>
        </w:tc>
        <w:tc>
          <w:tcPr>
            <w:tcW w:w="2396" w:type="dxa"/>
            <w:vMerge w:val="continue"/>
            <w:tcBorders>
              <w:tl2br w:val="nil"/>
              <w:tr2bl w:val="nil"/>
            </w:tcBorders>
            <w:vAlign w:val="center"/>
          </w:tcPr>
          <w:p>
            <w:pPr>
              <w:spacing w:line="240" w:lineRule="auto"/>
              <w:jc w:val="center"/>
              <w:rPr>
                <w:color w:val="auto"/>
                <w:kern w:val="24"/>
                <w:sz w:val="21"/>
                <w:szCs w:val="21"/>
                <w:highlight w:val="none"/>
              </w:rPr>
            </w:pPr>
          </w:p>
        </w:tc>
        <w:tc>
          <w:tcPr>
            <w:tcW w:w="1095" w:type="dxa"/>
            <w:tcBorders>
              <w:tl2br w:val="nil"/>
              <w:tr2bl w:val="nil"/>
            </w:tcBorders>
            <w:vAlign w:val="center"/>
          </w:tcPr>
          <w:p>
            <w:pPr>
              <w:autoSpaceDE w:val="0"/>
              <w:autoSpaceDN w:val="0"/>
              <w:spacing w:line="240" w:lineRule="auto"/>
              <w:jc w:val="center"/>
              <w:rPr>
                <w:rFonts w:hint="default" w:eastAsia="宋体"/>
                <w:color w:val="auto"/>
                <w:kern w:val="24"/>
                <w:sz w:val="21"/>
                <w:szCs w:val="21"/>
                <w:highlight w:val="none"/>
                <w:lang w:val="en-US" w:eastAsia="zh-CN"/>
              </w:rPr>
            </w:pPr>
            <w:r>
              <w:rPr>
                <w:rFonts w:hint="eastAsia"/>
                <w:color w:val="auto"/>
                <w:kern w:val="24"/>
                <w:sz w:val="21"/>
                <w:szCs w:val="21"/>
                <w:highlight w:val="none"/>
                <w:lang w:val="en-US" w:eastAsia="zh-CN"/>
              </w:rPr>
              <w:t>120</w:t>
            </w:r>
          </w:p>
        </w:tc>
        <w:tc>
          <w:tcPr>
            <w:tcW w:w="858" w:type="dxa"/>
            <w:tcBorders>
              <w:tl2br w:val="nil"/>
              <w:tr2bl w:val="nil"/>
            </w:tcBorders>
            <w:vAlign w:val="center"/>
          </w:tcPr>
          <w:p>
            <w:pPr>
              <w:spacing w:line="240" w:lineRule="auto"/>
              <w:jc w:val="center"/>
              <w:rPr>
                <w:rFonts w:ascii="Times New Roman" w:hAnsi="Times New Roman"/>
                <w:color w:val="auto"/>
                <w:sz w:val="21"/>
                <w:szCs w:val="21"/>
                <w:highlight w:val="none"/>
              </w:rPr>
            </w:pPr>
            <w:r>
              <w:rPr>
                <w:rFonts w:hint="default" w:ascii="Times New Roman" w:hAnsi="Times New Roman"/>
                <w:bCs/>
                <w:color w:val="auto"/>
                <w:kern w:val="0"/>
                <w:szCs w:val="21"/>
                <w:highlight w:val="none"/>
                <w:lang w:val="en-US" w:eastAsia="zh-CN"/>
              </w:rPr>
              <w:t>0.006</w:t>
            </w:r>
          </w:p>
        </w:tc>
        <w:tc>
          <w:tcPr>
            <w:tcW w:w="862"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1040" w:type="dxa"/>
            <w:tcBorders>
              <w:tl2br w:val="nil"/>
              <w:tr2bl w:val="nil"/>
            </w:tcBorders>
            <w:vAlign w:val="center"/>
          </w:tcPr>
          <w:p>
            <w:pPr>
              <w:snapToGrid w:val="0"/>
              <w:spacing w:line="240" w:lineRule="auto"/>
              <w:jc w:val="center"/>
              <w:rPr>
                <w:color w:val="auto"/>
                <w:kern w:val="24"/>
                <w:sz w:val="21"/>
                <w:szCs w:val="21"/>
                <w:highlight w:val="none"/>
              </w:rPr>
            </w:pPr>
            <w:r>
              <w:rPr>
                <w:rFonts w:hint="eastAsia"/>
                <w:color w:val="auto"/>
                <w:kern w:val="24"/>
                <w:sz w:val="21"/>
                <w:szCs w:val="21"/>
                <w:highlight w:val="none"/>
              </w:rPr>
              <w:t>400</w:t>
            </w:r>
          </w:p>
        </w:tc>
        <w:tc>
          <w:tcPr>
            <w:tcW w:w="750"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3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7"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05"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491" w:type="dxa"/>
            <w:vMerge w:val="continue"/>
            <w:tcBorders>
              <w:tl2br w:val="nil"/>
              <w:tr2bl w:val="nil"/>
            </w:tcBorders>
            <w:vAlign w:val="center"/>
          </w:tcPr>
          <w:p>
            <w:pPr>
              <w:spacing w:line="240" w:lineRule="auto"/>
              <w:jc w:val="center"/>
              <w:rPr>
                <w:rFonts w:ascii="Calibri" w:hAnsi="Calibri"/>
                <w:b/>
                <w:bCs/>
                <w:color w:val="auto"/>
                <w:kern w:val="24"/>
                <w:sz w:val="21"/>
                <w:szCs w:val="21"/>
                <w:highlight w:val="none"/>
              </w:rPr>
            </w:pPr>
          </w:p>
        </w:tc>
        <w:tc>
          <w:tcPr>
            <w:tcW w:w="1755" w:type="dxa"/>
            <w:gridSpan w:val="2"/>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110"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c>
          <w:tcPr>
            <w:tcW w:w="1440" w:type="dxa"/>
            <w:tcBorders>
              <w:tl2br w:val="nil"/>
              <w:tr2bl w:val="nil"/>
            </w:tcBorders>
            <w:vAlign w:val="center"/>
          </w:tcPr>
          <w:p>
            <w:pPr>
              <w:widowControl/>
              <w:spacing w:line="240" w:lineRule="auto"/>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-N</w:t>
            </w:r>
          </w:p>
        </w:tc>
        <w:tc>
          <w:tcPr>
            <w:tcW w:w="2396" w:type="dxa"/>
            <w:vMerge w:val="continue"/>
            <w:tcBorders>
              <w:tl2br w:val="nil"/>
              <w:tr2bl w:val="nil"/>
            </w:tcBorders>
            <w:vAlign w:val="center"/>
          </w:tcPr>
          <w:p>
            <w:pPr>
              <w:spacing w:line="240" w:lineRule="auto"/>
              <w:jc w:val="center"/>
              <w:rPr>
                <w:color w:val="auto"/>
                <w:kern w:val="24"/>
                <w:sz w:val="21"/>
                <w:szCs w:val="21"/>
                <w:highlight w:val="none"/>
              </w:rPr>
            </w:pPr>
          </w:p>
        </w:tc>
        <w:tc>
          <w:tcPr>
            <w:tcW w:w="1095" w:type="dxa"/>
            <w:tcBorders>
              <w:tl2br w:val="nil"/>
              <w:tr2bl w:val="nil"/>
            </w:tcBorders>
            <w:vAlign w:val="center"/>
          </w:tcPr>
          <w:p>
            <w:pPr>
              <w:autoSpaceDE w:val="0"/>
              <w:autoSpaceDN w:val="0"/>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858" w:type="dxa"/>
            <w:tcBorders>
              <w:tl2br w:val="nil"/>
              <w:tr2bl w:val="nil"/>
            </w:tcBorders>
            <w:vAlign w:val="center"/>
          </w:tcPr>
          <w:p>
            <w:pPr>
              <w:spacing w:line="240" w:lineRule="auto"/>
              <w:jc w:val="center"/>
              <w:rPr>
                <w:rFonts w:ascii="Times New Roman" w:hAnsi="Times New Roman"/>
                <w:color w:val="auto"/>
                <w:sz w:val="21"/>
                <w:szCs w:val="21"/>
                <w:highlight w:val="none"/>
              </w:rPr>
            </w:pPr>
            <w:r>
              <w:rPr>
                <w:rFonts w:hint="default" w:ascii="Times New Roman" w:hAnsi="Times New Roman"/>
                <w:bCs/>
                <w:color w:val="auto"/>
                <w:kern w:val="0"/>
                <w:szCs w:val="21"/>
                <w:highlight w:val="none"/>
                <w:lang w:val="en-US" w:eastAsia="zh-CN"/>
              </w:rPr>
              <w:t>0.001</w:t>
            </w:r>
          </w:p>
        </w:tc>
        <w:tc>
          <w:tcPr>
            <w:tcW w:w="862"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1040" w:type="dxa"/>
            <w:tcBorders>
              <w:tl2br w:val="nil"/>
              <w:tr2bl w:val="nil"/>
            </w:tcBorders>
            <w:vAlign w:val="center"/>
          </w:tcPr>
          <w:p>
            <w:pPr>
              <w:spacing w:line="240" w:lineRule="auto"/>
              <w:jc w:val="center"/>
              <w:rPr>
                <w:color w:val="auto"/>
                <w:kern w:val="24"/>
                <w:sz w:val="21"/>
                <w:szCs w:val="21"/>
                <w:highlight w:val="none"/>
              </w:rPr>
            </w:pPr>
            <w:r>
              <w:rPr>
                <w:rFonts w:hint="eastAsia"/>
                <w:color w:val="auto"/>
                <w:kern w:val="24"/>
                <w:sz w:val="21"/>
                <w:szCs w:val="21"/>
                <w:highlight w:val="none"/>
              </w:rPr>
              <w:t>45</w:t>
            </w:r>
          </w:p>
        </w:tc>
        <w:tc>
          <w:tcPr>
            <w:tcW w:w="750"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35"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647" w:type="dxa"/>
            <w:tcBorders>
              <w:tl2br w:val="nil"/>
              <w:tr2bl w:val="nil"/>
            </w:tcBorders>
            <w:vAlign w:val="center"/>
          </w:tcPr>
          <w:p>
            <w:pPr>
              <w:spacing w:line="240" w:lineRule="auto"/>
              <w:jc w:val="center"/>
              <w:rPr>
                <w:color w:val="auto"/>
                <w:kern w:val="24"/>
                <w:sz w:val="21"/>
                <w:szCs w:val="21"/>
                <w:highlight w:val="none"/>
              </w:rPr>
            </w:pPr>
            <w:r>
              <w:rPr>
                <w:rFonts w:ascii="Calibri" w:hAnsi="Calibri"/>
                <w:color w:val="auto"/>
                <w:kern w:val="24"/>
                <w:sz w:val="21"/>
                <w:szCs w:val="21"/>
                <w:highlight w:val="none"/>
              </w:rPr>
              <w:t>/</w:t>
            </w:r>
          </w:p>
        </w:tc>
        <w:tc>
          <w:tcPr>
            <w:tcW w:w="705" w:type="dxa"/>
            <w:vMerge w:val="continue"/>
            <w:tcBorders>
              <w:tl2br w:val="nil"/>
              <w:tr2bl w:val="nil"/>
            </w:tcBorders>
            <w:vAlign w:val="center"/>
          </w:tcPr>
          <w:p>
            <w:pPr>
              <w:spacing w:line="240" w:lineRule="auto"/>
              <w:jc w:val="center"/>
              <w:rPr>
                <w:rFonts w:ascii="Calibri" w:hAnsi="Calibri"/>
                <w:color w:val="auto"/>
                <w:kern w:val="2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491" w:type="dxa"/>
            <w:vMerge w:val="continue"/>
            <w:tcBorders>
              <w:bottom w:val="single" w:color="auto" w:sz="4" w:space="0"/>
              <w:tl2br w:val="nil"/>
              <w:tr2bl w:val="nil"/>
            </w:tcBorders>
            <w:vAlign w:val="center"/>
          </w:tcPr>
          <w:p>
            <w:pPr>
              <w:spacing w:line="240" w:lineRule="auto"/>
              <w:jc w:val="center"/>
              <w:rPr>
                <w:rFonts w:ascii="Calibri" w:hAnsi="Calibri"/>
                <w:b/>
                <w:bCs/>
                <w:color w:val="auto"/>
                <w:kern w:val="24"/>
                <w:sz w:val="21"/>
                <w:szCs w:val="21"/>
                <w:highlight w:val="none"/>
              </w:rPr>
            </w:pPr>
          </w:p>
        </w:tc>
        <w:tc>
          <w:tcPr>
            <w:tcW w:w="1755" w:type="dxa"/>
            <w:gridSpan w:val="2"/>
            <w:tcBorders>
              <w:tl2br w:val="nil"/>
              <w:tr2bl w:val="nil"/>
            </w:tcBorders>
            <w:vAlign w:val="center"/>
          </w:tcPr>
          <w:p>
            <w:pPr>
              <w:spacing w:line="240" w:lineRule="auto"/>
              <w:jc w:val="center"/>
              <w:rPr>
                <w:rFonts w:hint="eastAsia" w:ascii="Calibri" w:hAnsi="Calibri" w:eastAsia="宋体"/>
                <w:color w:val="auto"/>
                <w:kern w:val="24"/>
                <w:sz w:val="21"/>
                <w:szCs w:val="21"/>
                <w:highlight w:val="none"/>
                <w:lang w:eastAsia="zh-CN"/>
              </w:rPr>
            </w:pPr>
            <w:r>
              <w:rPr>
                <w:rFonts w:hint="eastAsia" w:ascii="Calibri" w:hAnsi="Calibri"/>
                <w:color w:val="auto"/>
                <w:kern w:val="24"/>
                <w:sz w:val="21"/>
                <w:szCs w:val="21"/>
                <w:highlight w:val="none"/>
                <w:lang w:eastAsia="zh-CN"/>
              </w:rPr>
              <w:t>喷淋废水</w:t>
            </w:r>
          </w:p>
        </w:tc>
        <w:tc>
          <w:tcPr>
            <w:tcW w:w="1110" w:type="dxa"/>
            <w:tcBorders>
              <w:tl2br w:val="nil"/>
              <w:tr2bl w:val="nil"/>
            </w:tcBorders>
            <w:vAlign w:val="center"/>
          </w:tcPr>
          <w:p>
            <w:pPr>
              <w:spacing w:line="240" w:lineRule="auto"/>
              <w:jc w:val="center"/>
              <w:rPr>
                <w:rFonts w:hint="default" w:ascii="Calibri" w:hAnsi="Calibri" w:eastAsia="宋体"/>
                <w:color w:val="auto"/>
                <w:kern w:val="24"/>
                <w:sz w:val="21"/>
                <w:szCs w:val="21"/>
                <w:highlight w:val="none"/>
                <w:lang w:val="en-US" w:eastAsia="zh-CN"/>
              </w:rPr>
            </w:pPr>
            <w:r>
              <w:rPr>
                <w:rFonts w:hint="eastAsia"/>
                <w:color w:val="auto"/>
                <w:kern w:val="0"/>
                <w:sz w:val="21"/>
                <w:szCs w:val="21"/>
                <w:highlight w:val="none"/>
                <w:lang w:val="en-US" w:eastAsia="zh-CN"/>
              </w:rPr>
              <w:t>16</w:t>
            </w: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/a</w:t>
            </w:r>
          </w:p>
        </w:tc>
        <w:tc>
          <w:tcPr>
            <w:tcW w:w="1440" w:type="dxa"/>
            <w:tcBorders>
              <w:tl2br w:val="nil"/>
              <w:tr2bl w:val="nil"/>
            </w:tcBorders>
            <w:vAlign w:val="center"/>
          </w:tcPr>
          <w:p>
            <w:pPr>
              <w:widowControl/>
              <w:spacing w:line="240" w:lineRule="auto"/>
              <w:jc w:val="center"/>
              <w:rPr>
                <w:rFonts w:hint="eastAsia" w:eastAsia="宋体"/>
                <w:color w:val="auto"/>
                <w:sz w:val="21"/>
                <w:szCs w:val="21"/>
                <w:highlight w:val="none"/>
                <w:lang w:val="en-US" w:eastAsia="zh-CN"/>
              </w:rPr>
            </w:pPr>
            <w:r>
              <w:rPr>
                <w:rFonts w:hint="eastAsia" w:ascii="Calibri" w:hAnsi="Calibri"/>
                <w:color w:val="auto"/>
                <w:kern w:val="24"/>
                <w:sz w:val="21"/>
                <w:szCs w:val="21"/>
                <w:highlight w:val="none"/>
                <w:lang w:eastAsia="zh-CN"/>
              </w:rPr>
              <w:t>石油类</w:t>
            </w:r>
          </w:p>
        </w:tc>
        <w:tc>
          <w:tcPr>
            <w:tcW w:w="2396" w:type="dxa"/>
            <w:tcBorders>
              <w:tl2br w:val="nil"/>
              <w:tr2bl w:val="nil"/>
            </w:tcBorders>
            <w:vAlign w:val="center"/>
          </w:tcPr>
          <w:p>
            <w:pPr>
              <w:spacing w:line="240" w:lineRule="auto"/>
              <w:jc w:val="center"/>
              <w:rPr>
                <w:color w:val="auto"/>
                <w:kern w:val="24"/>
                <w:sz w:val="21"/>
                <w:szCs w:val="21"/>
                <w:highlight w:val="none"/>
              </w:rPr>
            </w:pPr>
            <w:r>
              <w:rPr>
                <w:rFonts w:hint="default" w:ascii="Times New Roman" w:hAnsi="Times New Roman" w:cs="Times New Roman"/>
                <w:color w:val="auto"/>
                <w:kern w:val="0"/>
                <w:sz w:val="21"/>
                <w:szCs w:val="21"/>
                <w:highlight w:val="none"/>
                <w:lang w:val="en-US" w:eastAsia="zh-CN"/>
              </w:rPr>
              <w:t>经收集后</w:t>
            </w:r>
            <w:r>
              <w:rPr>
                <w:rFonts w:hint="eastAsia" w:cs="Times New Roman"/>
                <w:color w:val="auto"/>
                <w:kern w:val="0"/>
                <w:sz w:val="21"/>
                <w:szCs w:val="21"/>
                <w:highlight w:val="none"/>
                <w:lang w:val="en-US" w:eastAsia="zh-CN"/>
              </w:rPr>
              <w:t>定期交具有零星废水处理资质的单位处理，不外排</w:t>
            </w:r>
          </w:p>
        </w:tc>
        <w:tc>
          <w:tcPr>
            <w:tcW w:w="2815" w:type="dxa"/>
            <w:gridSpan w:val="3"/>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0</w:t>
            </w:r>
          </w:p>
        </w:tc>
        <w:tc>
          <w:tcPr>
            <w:tcW w:w="1790" w:type="dxa"/>
            <w:gridSpan w:val="2"/>
            <w:tcBorders>
              <w:tl2br w:val="nil"/>
              <w:tr2bl w:val="nil"/>
            </w:tcBorders>
            <w:vAlign w:val="center"/>
          </w:tcPr>
          <w:p>
            <w:pPr>
              <w:spacing w:line="240" w:lineRule="auto"/>
              <w:jc w:val="center"/>
              <w:rPr>
                <w:rFonts w:hint="eastAsia" w:ascii="Calibri" w:hAnsi="Calibri" w:eastAsia="宋体"/>
                <w:color w:val="auto"/>
                <w:kern w:val="24"/>
                <w:sz w:val="21"/>
                <w:szCs w:val="21"/>
                <w:highlight w:val="none"/>
                <w:lang w:eastAsia="zh-CN"/>
              </w:rPr>
            </w:pPr>
            <w:r>
              <w:rPr>
                <w:rFonts w:hint="eastAsia" w:ascii="Calibri" w:hAnsi="Calibri"/>
                <w:color w:val="auto"/>
                <w:kern w:val="24"/>
                <w:sz w:val="21"/>
                <w:szCs w:val="21"/>
                <w:highlight w:val="none"/>
                <w:lang w:eastAsia="zh-CN"/>
              </w:rPr>
              <w:t>符合环保要求</w:t>
            </w:r>
          </w:p>
        </w:tc>
        <w:tc>
          <w:tcPr>
            <w:tcW w:w="2732" w:type="dxa"/>
            <w:gridSpan w:val="4"/>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491" w:type="dxa"/>
            <w:vMerge w:val="restart"/>
            <w:tcBorders>
              <w:top w:val="single" w:color="auto" w:sz="4" w:space="0"/>
              <w:bottom w:val="single" w:color="auto" w:sz="4" w:space="0"/>
              <w:tl2br w:val="nil"/>
              <w:tr2bl w:val="nil"/>
            </w:tcBorders>
            <w:vAlign w:val="center"/>
          </w:tcPr>
          <w:p>
            <w:pPr>
              <w:spacing w:line="240" w:lineRule="auto"/>
              <w:jc w:val="center"/>
              <w:rPr>
                <w:rFonts w:ascii="Calibri" w:hAnsi="Calibri"/>
                <w:b/>
                <w:bCs/>
                <w:color w:val="auto"/>
                <w:kern w:val="24"/>
                <w:sz w:val="21"/>
                <w:szCs w:val="21"/>
                <w:highlight w:val="none"/>
              </w:rPr>
            </w:pPr>
            <w:r>
              <w:rPr>
                <w:rFonts w:ascii="Calibri" w:hAnsi="Calibri"/>
                <w:b/>
                <w:bCs/>
                <w:color w:val="auto"/>
                <w:kern w:val="24"/>
                <w:sz w:val="21"/>
                <w:szCs w:val="21"/>
                <w:highlight w:val="none"/>
              </w:rPr>
              <w:t>固废</w:t>
            </w:r>
          </w:p>
        </w:tc>
        <w:tc>
          <w:tcPr>
            <w:tcW w:w="1755" w:type="dxa"/>
            <w:gridSpan w:val="2"/>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一般工业固废</w:t>
            </w:r>
          </w:p>
        </w:tc>
        <w:tc>
          <w:tcPr>
            <w:tcW w:w="2550" w:type="dxa"/>
            <w:gridSpan w:val="2"/>
            <w:tcBorders>
              <w:right w:val="single" w:color="000000" w:sz="4" w:space="0"/>
              <w:tl2br w:val="nil"/>
              <w:tr2bl w:val="nil"/>
            </w:tcBorders>
            <w:vAlign w:val="center"/>
          </w:tcPr>
          <w:p>
            <w:pPr>
              <w:pStyle w:val="91"/>
              <w:spacing w:line="240" w:lineRule="auto"/>
              <w:rPr>
                <w:rFonts w:ascii="Calibri" w:hAnsi="Calibri"/>
                <w:color w:val="auto"/>
                <w:kern w:val="24"/>
                <w:sz w:val="21"/>
                <w:szCs w:val="21"/>
                <w:highlight w:val="none"/>
              </w:rPr>
            </w:pPr>
            <w:r>
              <w:rPr>
                <w:rFonts w:hint="eastAsia"/>
                <w:color w:val="auto"/>
                <w:spacing w:val="-2"/>
                <w:sz w:val="21"/>
                <w:szCs w:val="21"/>
                <w:highlight w:val="none"/>
                <w:shd w:val="clear" w:color="auto" w:fill="auto"/>
                <w:lang w:eastAsia="zh-CN"/>
              </w:rPr>
              <w:t>边角料、</w:t>
            </w:r>
            <w:r>
              <w:rPr>
                <w:rFonts w:hint="eastAsia"/>
                <w:color w:val="auto"/>
                <w:sz w:val="21"/>
                <w:szCs w:val="21"/>
                <w:highlight w:val="none"/>
                <w:lang w:eastAsia="zh-CN"/>
              </w:rPr>
              <w:t>不合格品、</w:t>
            </w:r>
            <w:r>
              <w:rPr>
                <w:rFonts w:hint="eastAsia"/>
                <w:color w:val="auto"/>
                <w:spacing w:val="-2"/>
                <w:sz w:val="21"/>
                <w:szCs w:val="21"/>
                <w:highlight w:val="none"/>
                <w:shd w:val="clear" w:color="auto" w:fill="auto"/>
                <w:lang w:eastAsia="zh-CN"/>
              </w:rPr>
              <w:t>废包装材料</w:t>
            </w:r>
          </w:p>
        </w:tc>
        <w:tc>
          <w:tcPr>
            <w:tcW w:w="2396" w:type="dxa"/>
            <w:tcBorders>
              <w:left w:val="single" w:color="000000" w:sz="4" w:space="0"/>
              <w:tl2br w:val="nil"/>
              <w:tr2bl w:val="nil"/>
            </w:tcBorders>
            <w:vAlign w:val="center"/>
          </w:tcPr>
          <w:p>
            <w:pPr>
              <w:pStyle w:val="91"/>
              <w:spacing w:line="240" w:lineRule="auto"/>
              <w:rPr>
                <w:rFonts w:hint="eastAsia"/>
                <w:color w:val="auto"/>
                <w:spacing w:val="-2"/>
                <w:sz w:val="21"/>
                <w:szCs w:val="21"/>
                <w:highlight w:val="none"/>
                <w:shd w:val="clear" w:color="auto" w:fill="auto"/>
                <w:lang w:eastAsia="zh-CN"/>
              </w:rPr>
            </w:pPr>
            <w:r>
              <w:rPr>
                <w:rFonts w:ascii="Calibri" w:hAnsi="Calibri"/>
                <w:color w:val="auto"/>
                <w:kern w:val="24"/>
                <w:sz w:val="21"/>
                <w:szCs w:val="21"/>
                <w:highlight w:val="none"/>
              </w:rPr>
              <w:t>专业公司</w:t>
            </w:r>
            <w:r>
              <w:rPr>
                <w:rFonts w:hint="eastAsia" w:ascii="Calibri" w:hAnsi="Calibri"/>
                <w:color w:val="auto"/>
                <w:kern w:val="24"/>
                <w:sz w:val="21"/>
                <w:szCs w:val="21"/>
                <w:highlight w:val="none"/>
              </w:rPr>
              <w:t>处理</w:t>
            </w:r>
          </w:p>
        </w:tc>
        <w:tc>
          <w:tcPr>
            <w:tcW w:w="2815" w:type="dxa"/>
            <w:gridSpan w:val="3"/>
            <w:tcBorders>
              <w:right w:val="single" w:color="000000" w:sz="4" w:space="0"/>
              <w:tl2br w:val="nil"/>
              <w:tr2bl w:val="nil"/>
            </w:tcBorders>
            <w:vAlign w:val="center"/>
          </w:tcPr>
          <w:p>
            <w:pPr>
              <w:spacing w:line="240" w:lineRule="auto"/>
              <w:jc w:val="center"/>
              <w:rPr>
                <w:rFonts w:hint="eastAsia" w:ascii="Calibri" w:hAnsi="Calibri" w:eastAsia="宋体"/>
                <w:color w:val="auto"/>
                <w:kern w:val="24"/>
                <w:sz w:val="21"/>
                <w:szCs w:val="21"/>
                <w:highlight w:val="none"/>
                <w:lang w:val="en-US" w:eastAsia="zh-CN"/>
              </w:rPr>
            </w:pPr>
            <w:r>
              <w:rPr>
                <w:rFonts w:hint="eastAsia" w:ascii="Calibri" w:hAnsi="Calibri"/>
                <w:color w:val="auto"/>
                <w:kern w:val="24"/>
                <w:sz w:val="21"/>
                <w:szCs w:val="21"/>
                <w:highlight w:val="none"/>
                <w:lang w:val="en-US" w:eastAsia="zh-CN"/>
              </w:rPr>
              <w:t>0</w:t>
            </w:r>
          </w:p>
        </w:tc>
        <w:tc>
          <w:tcPr>
            <w:tcW w:w="1790" w:type="dxa"/>
            <w:gridSpan w:val="2"/>
            <w:tcBorders>
              <w:left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r>
              <w:rPr>
                <w:rFonts w:hint="eastAsia" w:ascii="Calibri" w:hAnsi="Calibri"/>
                <w:color w:val="auto"/>
                <w:kern w:val="24"/>
                <w:sz w:val="21"/>
                <w:szCs w:val="21"/>
                <w:highlight w:val="none"/>
                <w:lang w:eastAsia="zh-CN"/>
              </w:rPr>
              <w:t>符合环保要求</w:t>
            </w:r>
          </w:p>
        </w:tc>
        <w:tc>
          <w:tcPr>
            <w:tcW w:w="2732" w:type="dxa"/>
            <w:gridSpan w:val="4"/>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491" w:type="dxa"/>
            <w:vMerge w:val="continue"/>
            <w:tcBorders>
              <w:top w:val="single" w:color="auto" w:sz="4" w:space="0"/>
              <w:bottom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p>
        </w:tc>
        <w:tc>
          <w:tcPr>
            <w:tcW w:w="1755"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kern w:val="24"/>
                <w:sz w:val="21"/>
                <w:szCs w:val="21"/>
                <w:highlight w:val="none"/>
                <w:lang w:eastAsia="zh-CN"/>
              </w:rPr>
            </w:pPr>
            <w:r>
              <w:rPr>
                <w:rFonts w:hint="default" w:ascii="Times New Roman" w:hAnsi="Times New Roman" w:cs="Times New Roman"/>
                <w:color w:val="auto"/>
                <w:kern w:val="24"/>
                <w:sz w:val="21"/>
                <w:szCs w:val="21"/>
                <w:highlight w:val="none"/>
                <w:lang w:eastAsia="zh-CN"/>
              </w:rPr>
              <w:t>危险废物</w:t>
            </w:r>
          </w:p>
        </w:tc>
        <w:tc>
          <w:tcPr>
            <w:tcW w:w="2550" w:type="dxa"/>
            <w:gridSpan w:val="2"/>
            <w:tcBorders>
              <w:right w:val="single" w:color="000000" w:sz="4" w:space="0"/>
              <w:tl2br w:val="nil"/>
              <w:tr2bl w:val="nil"/>
            </w:tcBorders>
            <w:vAlign w:val="center"/>
          </w:tcPr>
          <w:p>
            <w:pPr>
              <w:pStyle w:val="91"/>
              <w:spacing w:line="240" w:lineRule="auto"/>
              <w:rPr>
                <w:rFonts w:hint="default" w:ascii="Times New Roman" w:hAnsi="Times New Roman" w:eastAsia="宋体" w:cs="Times New Roman"/>
                <w:color w:val="auto"/>
                <w:kern w:val="24"/>
                <w:sz w:val="21"/>
                <w:szCs w:val="21"/>
                <w:highlight w:val="none"/>
                <w:lang w:val="en-US" w:eastAsia="zh-CN"/>
              </w:rPr>
            </w:pPr>
            <w:r>
              <w:rPr>
                <w:rFonts w:hint="eastAsia" w:ascii="Times New Roman" w:hAnsi="Times New Roman"/>
                <w:color w:val="auto"/>
                <w:kern w:val="0"/>
                <w:sz w:val="21"/>
                <w:szCs w:val="21"/>
                <w:highlight w:val="none"/>
                <w:vertAlign w:val="baseline"/>
                <w:lang w:val="en-US" w:eastAsia="zh-CN"/>
              </w:rPr>
              <w:t>含油废抹布、手套</w:t>
            </w:r>
            <w:r>
              <w:rPr>
                <w:rFonts w:hint="eastAsia"/>
                <w:color w:val="auto"/>
                <w:kern w:val="0"/>
                <w:sz w:val="21"/>
                <w:szCs w:val="21"/>
                <w:highlight w:val="none"/>
                <w:vertAlign w:val="baseline"/>
                <w:lang w:val="en-US" w:eastAsia="zh-CN"/>
              </w:rPr>
              <w:t>、</w:t>
            </w:r>
            <w:r>
              <w:rPr>
                <w:rFonts w:hint="eastAsia" w:ascii="Times New Roman" w:hAnsi="Times New Roman"/>
                <w:color w:val="auto"/>
                <w:kern w:val="0"/>
                <w:sz w:val="21"/>
                <w:szCs w:val="21"/>
                <w:highlight w:val="none"/>
                <w:vertAlign w:val="baseline"/>
                <w:lang w:val="en-US" w:eastAsia="zh-CN"/>
              </w:rPr>
              <w:t>废润滑油</w:t>
            </w:r>
            <w:r>
              <w:rPr>
                <w:rFonts w:hint="eastAsia"/>
                <w:color w:val="auto"/>
                <w:kern w:val="0"/>
                <w:sz w:val="21"/>
                <w:szCs w:val="21"/>
                <w:highlight w:val="none"/>
                <w:vertAlign w:val="baseline"/>
                <w:lang w:val="en-US" w:eastAsia="zh-CN"/>
              </w:rPr>
              <w:t>、</w:t>
            </w:r>
            <w:r>
              <w:rPr>
                <w:rFonts w:hint="eastAsia" w:ascii="Times New Roman" w:hAnsi="Times New Roman"/>
                <w:color w:val="auto"/>
                <w:kern w:val="0"/>
                <w:sz w:val="21"/>
                <w:szCs w:val="21"/>
                <w:highlight w:val="none"/>
                <w:vertAlign w:val="baseline"/>
                <w:lang w:val="en-US" w:eastAsia="zh-CN"/>
              </w:rPr>
              <w:t>废润滑油油桶</w:t>
            </w:r>
          </w:p>
        </w:tc>
        <w:tc>
          <w:tcPr>
            <w:tcW w:w="2396" w:type="dxa"/>
            <w:tcBorders>
              <w:left w:val="single" w:color="000000" w:sz="4" w:space="0"/>
              <w:tl2br w:val="nil"/>
              <w:tr2bl w:val="nil"/>
            </w:tcBorders>
            <w:vAlign w:val="center"/>
          </w:tcPr>
          <w:p>
            <w:pPr>
              <w:pStyle w:val="91"/>
              <w:spacing w:line="240" w:lineRule="auto"/>
              <w:rPr>
                <w:rFonts w:hint="eastAsia" w:ascii="Times New Roman" w:hAnsi="Times New Roman"/>
                <w:color w:val="auto"/>
                <w:sz w:val="21"/>
                <w:szCs w:val="21"/>
                <w:highlight w:val="none"/>
                <w:lang w:eastAsia="zh-CN"/>
              </w:rPr>
            </w:pPr>
            <w:r>
              <w:rPr>
                <w:rFonts w:hint="eastAsia"/>
                <w:color w:val="auto"/>
                <w:szCs w:val="22"/>
                <w:highlight w:val="none"/>
                <w:lang w:val="en-US" w:eastAsia="zh-CN"/>
              </w:rPr>
              <w:t>交给有危险废物处置资质单位处置</w:t>
            </w:r>
          </w:p>
        </w:tc>
        <w:tc>
          <w:tcPr>
            <w:tcW w:w="2815" w:type="dxa"/>
            <w:gridSpan w:val="3"/>
            <w:tcBorders>
              <w:right w:val="single" w:color="000000" w:sz="4" w:space="0"/>
              <w:tl2br w:val="nil"/>
              <w:tr2bl w:val="nil"/>
            </w:tcBorders>
            <w:vAlign w:val="center"/>
          </w:tcPr>
          <w:p>
            <w:pPr>
              <w:spacing w:line="240" w:lineRule="auto"/>
              <w:jc w:val="center"/>
              <w:rPr>
                <w:rFonts w:hint="default" w:ascii="Times New Roman" w:hAnsi="Times New Roman" w:eastAsia="宋体"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0</w:t>
            </w:r>
          </w:p>
        </w:tc>
        <w:tc>
          <w:tcPr>
            <w:tcW w:w="1790" w:type="dxa"/>
            <w:gridSpan w:val="2"/>
            <w:tcBorders>
              <w:left w:val="single" w:color="000000" w:sz="4" w:space="0"/>
              <w:tl2br w:val="nil"/>
              <w:tr2bl w:val="nil"/>
            </w:tcBorders>
            <w:vAlign w:val="center"/>
          </w:tcPr>
          <w:p>
            <w:pPr>
              <w:spacing w:line="240" w:lineRule="auto"/>
              <w:jc w:val="center"/>
              <w:rPr>
                <w:rFonts w:hint="default" w:ascii="Times New Roman" w:hAnsi="Times New Roman" w:eastAsia="宋体" w:cs="Times New Roman"/>
                <w:color w:val="auto"/>
                <w:kern w:val="24"/>
                <w:sz w:val="21"/>
                <w:szCs w:val="21"/>
                <w:highlight w:val="none"/>
                <w:lang w:val="en-US" w:eastAsia="zh-CN"/>
              </w:rPr>
            </w:pPr>
            <w:r>
              <w:rPr>
                <w:rFonts w:hint="eastAsia" w:ascii="Calibri" w:hAnsi="Calibri"/>
                <w:color w:val="auto"/>
                <w:kern w:val="24"/>
                <w:sz w:val="21"/>
                <w:szCs w:val="21"/>
                <w:highlight w:val="none"/>
                <w:lang w:eastAsia="zh-CN"/>
              </w:rPr>
              <w:t>符合环保要求</w:t>
            </w:r>
          </w:p>
        </w:tc>
        <w:tc>
          <w:tcPr>
            <w:tcW w:w="2732" w:type="dxa"/>
            <w:gridSpan w:val="4"/>
            <w:tcBorders>
              <w:tl2br w:val="nil"/>
              <w:tr2bl w:val="nil"/>
            </w:tcBorders>
            <w:vAlign w:val="center"/>
          </w:tcPr>
          <w:p>
            <w:pPr>
              <w:spacing w:line="240" w:lineRule="auto"/>
              <w:jc w:val="center"/>
              <w:rPr>
                <w:rFonts w:hint="default" w:ascii="Times New Roman" w:hAnsi="Times New Roman" w:eastAsia="宋体" w:cs="Times New Roman"/>
                <w:color w:val="auto"/>
                <w:kern w:val="24"/>
                <w:sz w:val="21"/>
                <w:szCs w:val="21"/>
                <w:highlight w:val="none"/>
                <w:lang w:val="en-US" w:eastAsia="zh-CN"/>
              </w:rPr>
            </w:pPr>
            <w:r>
              <w:rPr>
                <w:rFonts w:ascii="Calibri" w:hAnsi="Calibri"/>
                <w:color w:val="auto"/>
                <w:kern w:val="24"/>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491" w:type="dxa"/>
            <w:vMerge w:val="continue"/>
            <w:tcBorders>
              <w:top w:val="single" w:color="auto" w:sz="4" w:space="0"/>
              <w:bottom w:val="single" w:color="auto" w:sz="4" w:space="0"/>
              <w:tl2br w:val="nil"/>
              <w:tr2bl w:val="nil"/>
            </w:tcBorders>
            <w:vAlign w:val="center"/>
          </w:tcPr>
          <w:p>
            <w:pPr>
              <w:spacing w:line="240" w:lineRule="auto"/>
              <w:jc w:val="center"/>
              <w:rPr>
                <w:rFonts w:ascii="Calibri" w:hAnsi="Calibri"/>
                <w:color w:val="auto"/>
                <w:kern w:val="24"/>
                <w:sz w:val="21"/>
                <w:szCs w:val="21"/>
                <w:highlight w:val="none"/>
              </w:rPr>
            </w:pPr>
          </w:p>
        </w:tc>
        <w:tc>
          <w:tcPr>
            <w:tcW w:w="1755" w:type="dxa"/>
            <w:gridSpan w:val="2"/>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生活垃圾</w:t>
            </w:r>
          </w:p>
        </w:tc>
        <w:tc>
          <w:tcPr>
            <w:tcW w:w="2550" w:type="dxa"/>
            <w:gridSpan w:val="2"/>
            <w:tcBorders>
              <w:right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生活垃圾</w:t>
            </w:r>
          </w:p>
        </w:tc>
        <w:tc>
          <w:tcPr>
            <w:tcW w:w="2396" w:type="dxa"/>
            <w:tcBorders>
              <w:left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r>
              <w:rPr>
                <w:rFonts w:ascii="Times New Roman" w:hAnsi="Times New Roman" w:eastAsia="宋体" w:cs="Times New Roman"/>
                <w:color w:val="auto"/>
                <w:kern w:val="0"/>
                <w:sz w:val="21"/>
                <w:szCs w:val="21"/>
                <w:highlight w:val="none"/>
              </w:rPr>
              <w:t>交环卫部门处理</w:t>
            </w:r>
          </w:p>
        </w:tc>
        <w:tc>
          <w:tcPr>
            <w:tcW w:w="2815" w:type="dxa"/>
            <w:gridSpan w:val="3"/>
            <w:tcBorders>
              <w:right w:val="single" w:color="000000" w:sz="4" w:space="0"/>
              <w:tl2br w:val="nil"/>
              <w:tr2bl w:val="nil"/>
            </w:tcBorders>
            <w:vAlign w:val="center"/>
          </w:tcPr>
          <w:p>
            <w:pPr>
              <w:spacing w:line="240" w:lineRule="auto"/>
              <w:jc w:val="center"/>
              <w:rPr>
                <w:rFonts w:hint="eastAsia" w:ascii="Calibri" w:hAnsi="Calibri" w:eastAsia="宋体"/>
                <w:color w:val="auto"/>
                <w:kern w:val="24"/>
                <w:sz w:val="21"/>
                <w:szCs w:val="21"/>
                <w:highlight w:val="none"/>
                <w:lang w:val="en-US" w:eastAsia="zh-CN"/>
              </w:rPr>
            </w:pPr>
            <w:r>
              <w:rPr>
                <w:rFonts w:hint="eastAsia" w:ascii="Calibri" w:hAnsi="Calibri"/>
                <w:color w:val="auto"/>
                <w:kern w:val="24"/>
                <w:sz w:val="21"/>
                <w:szCs w:val="21"/>
                <w:highlight w:val="none"/>
                <w:lang w:val="en-US" w:eastAsia="zh-CN"/>
              </w:rPr>
              <w:t>0</w:t>
            </w:r>
          </w:p>
        </w:tc>
        <w:tc>
          <w:tcPr>
            <w:tcW w:w="1790" w:type="dxa"/>
            <w:gridSpan w:val="2"/>
            <w:tcBorders>
              <w:left w:val="single" w:color="000000" w:sz="4" w:space="0"/>
              <w:tl2br w:val="nil"/>
              <w:tr2bl w:val="nil"/>
            </w:tcBorders>
            <w:vAlign w:val="center"/>
          </w:tcPr>
          <w:p>
            <w:pPr>
              <w:spacing w:line="240" w:lineRule="auto"/>
              <w:jc w:val="center"/>
              <w:rPr>
                <w:rFonts w:ascii="Calibri" w:hAnsi="Calibri"/>
                <w:color w:val="auto"/>
                <w:kern w:val="24"/>
                <w:sz w:val="21"/>
                <w:szCs w:val="21"/>
                <w:highlight w:val="none"/>
              </w:rPr>
            </w:pPr>
            <w:r>
              <w:rPr>
                <w:rFonts w:hint="eastAsia" w:ascii="Calibri" w:hAnsi="Calibri"/>
                <w:color w:val="auto"/>
                <w:kern w:val="24"/>
                <w:sz w:val="21"/>
                <w:szCs w:val="21"/>
                <w:highlight w:val="none"/>
                <w:lang w:eastAsia="zh-CN"/>
              </w:rPr>
              <w:t>符合环保要求</w:t>
            </w:r>
          </w:p>
        </w:tc>
        <w:tc>
          <w:tcPr>
            <w:tcW w:w="2732" w:type="dxa"/>
            <w:gridSpan w:val="4"/>
            <w:tcBorders>
              <w:tl2br w:val="nil"/>
              <w:tr2bl w:val="nil"/>
            </w:tcBorders>
            <w:vAlign w:val="center"/>
          </w:tcPr>
          <w:p>
            <w:pPr>
              <w:spacing w:line="240" w:lineRule="auto"/>
              <w:jc w:val="center"/>
              <w:rPr>
                <w:rFonts w:ascii="Calibri" w:hAnsi="Calibri"/>
                <w:color w:val="auto"/>
                <w:kern w:val="24"/>
                <w:sz w:val="21"/>
                <w:szCs w:val="21"/>
                <w:highlight w:val="none"/>
              </w:rPr>
            </w:pPr>
            <w:r>
              <w:rPr>
                <w:rFonts w:ascii="Calibri" w:hAnsi="Calibri"/>
                <w:color w:val="auto"/>
                <w:kern w:val="24"/>
                <w:sz w:val="21"/>
                <w:szCs w:val="21"/>
                <w:highlight w:val="none"/>
              </w:rPr>
              <w:t>/</w:t>
            </w:r>
          </w:p>
        </w:tc>
      </w:tr>
    </w:tbl>
    <w:p>
      <w:pPr>
        <w:pStyle w:val="16"/>
        <w:spacing w:before="0" w:after="0" w:line="240" w:lineRule="auto"/>
        <w:rPr>
          <w:color w:val="auto"/>
          <w:sz w:val="28"/>
          <w:szCs w:val="28"/>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16"/>
        <w:spacing w:before="0" w:after="0" w:line="240" w:lineRule="auto"/>
        <w:rPr>
          <w:color w:val="auto"/>
          <w:sz w:val="28"/>
          <w:szCs w:val="28"/>
          <w:highlight w:val="none"/>
        </w:rPr>
      </w:pPr>
      <w:r>
        <w:rPr>
          <w:color w:val="auto"/>
          <w:sz w:val="28"/>
          <w:szCs w:val="28"/>
          <w:highlight w:val="none"/>
        </w:rPr>
        <w:t>八、建设项目拟采取的防治措施及预期治理效果</w:t>
      </w:r>
      <w:bookmarkEnd w:id="95"/>
      <w:bookmarkEnd w:id="96"/>
      <w:bookmarkEnd w:id="97"/>
      <w:bookmarkEnd w:id="98"/>
      <w:bookmarkEnd w:id="99"/>
      <w:bookmarkEnd w:id="100"/>
      <w:bookmarkEnd w:id="101"/>
      <w:bookmarkEnd w:id="102"/>
      <w:bookmarkEnd w:id="103"/>
      <w:bookmarkEnd w:id="104"/>
    </w:p>
    <w:tbl>
      <w:tblPr>
        <w:tblStyle w:val="34"/>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41" w:hRule="atLeast"/>
          <w:jc w:val="center"/>
        </w:trPr>
        <w:tc>
          <w:tcPr>
            <w:tcW w:w="9242" w:type="dxa"/>
            <w:tcBorders>
              <w:top w:val="single" w:color="auto" w:sz="12" w:space="0"/>
              <w:bottom w:val="single" w:color="auto" w:sz="12" w:space="0"/>
            </w:tcBorders>
          </w:tcPr>
          <w:tbl>
            <w:tblPr>
              <w:tblStyle w:val="34"/>
              <w:tblW w:w="9026" w:type="dxa"/>
              <w:jc w:val="center"/>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515"/>
              <w:gridCol w:w="1185"/>
              <w:gridCol w:w="2053"/>
              <w:gridCol w:w="3606"/>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67" w:type="dxa"/>
                  <w:tcBorders>
                    <w:tl2br w:val="nil"/>
                    <w:tr2bl w:val="nil"/>
                  </w:tcBorders>
                </w:tcPr>
                <w:p>
                  <w:pPr>
                    <w:jc w:val="right"/>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-84455</wp:posOffset>
                            </wp:positionH>
                            <wp:positionV relativeFrom="paragraph">
                              <wp:posOffset>0</wp:posOffset>
                            </wp:positionV>
                            <wp:extent cx="439420" cy="598170"/>
                            <wp:effectExtent l="3810" t="2540" r="13970" b="8890"/>
                            <wp:wrapNone/>
                            <wp:docPr id="14" name="直线 6"/>
                            <wp:cNvGraphicFramePr/>
                            <a:graphic xmlns:a="http://schemas.openxmlformats.org/drawingml/2006/main">
                              <a:graphicData uri="http://schemas.microsoft.com/office/word/2010/wordprocessingShape">
                                <wps:wsp>
                                  <wps:cNvCnPr/>
                                  <wps:spPr>
                                    <a:xfrm>
                                      <a:off x="0" y="0"/>
                                      <a:ext cx="439420" cy="59817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margin-left:-6.65pt;margin-top:0pt;height:47.1pt;width:34.6pt;z-index:251671552;mso-width-relative:page;mso-height-relative:page;" filled="f" stroked="t" coordsize="21600,21600" o:gfxdata="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T+AEPUAAAABgEAAA8AAAAAAAAAAQAgAAAAIgAAAGRycy9kb3du&#10;cmV2LnhtbFBLAQIUABQAAAAIAIdO4kDSqn80ygEAAIYDAAAOAAAAAAAAAAEAIAAAACMBAABkcnMv&#10;ZTJvRG9jLnhtbFBLBQYAAAAABgAGAFkBAABfBQAAAAA=&#10;">
                            <v:fill on="f" focussize="0,0"/>
                            <v:stroke weight="0.5pt" color="#000000" joinstyle="round"/>
                            <v:imagedata o:title=""/>
                            <o:lock v:ext="edit" aspectratio="f"/>
                          </v:line>
                        </w:pict>
                      </mc:Fallback>
                    </mc:AlternateContent>
                  </w:r>
                  <w:r>
                    <w:rPr>
                      <w:color w:val="auto"/>
                      <w:highlight w:val="none"/>
                    </w:rPr>
                    <w:t>内容</w:t>
                  </w:r>
                </w:p>
                <w:p>
                  <w:pPr>
                    <w:rPr>
                      <w:color w:val="auto"/>
                      <w:highlight w:val="none"/>
                    </w:rPr>
                  </w:pPr>
                </w:p>
                <w:p>
                  <w:pPr>
                    <w:rPr>
                      <w:color w:val="auto"/>
                      <w:highlight w:val="none"/>
                    </w:rPr>
                  </w:pPr>
                  <w:r>
                    <w:rPr>
                      <w:color w:val="auto"/>
                      <w:highlight w:val="none"/>
                    </w:rPr>
                    <w:t>类型</w:t>
                  </w:r>
                </w:p>
              </w:tc>
              <w:tc>
                <w:tcPr>
                  <w:tcW w:w="1515" w:type="dxa"/>
                  <w:tcBorders>
                    <w:tl2br w:val="nil"/>
                    <w:tr2bl w:val="nil"/>
                  </w:tcBorders>
                  <w:vAlign w:val="center"/>
                </w:tcPr>
                <w:p>
                  <w:pPr>
                    <w:jc w:val="center"/>
                    <w:rPr>
                      <w:color w:val="auto"/>
                      <w:highlight w:val="none"/>
                    </w:rPr>
                  </w:pPr>
                  <w:r>
                    <w:rPr>
                      <w:color w:val="auto"/>
                      <w:highlight w:val="none"/>
                    </w:rPr>
                    <w:t>排放源</w:t>
                  </w:r>
                </w:p>
                <w:p>
                  <w:pPr>
                    <w:jc w:val="center"/>
                    <w:rPr>
                      <w:color w:val="auto"/>
                      <w:highlight w:val="none"/>
                    </w:rPr>
                  </w:pPr>
                  <w:r>
                    <w:rPr>
                      <w:color w:val="auto"/>
                      <w:highlight w:val="none"/>
                    </w:rPr>
                    <w:t>(编号)</w:t>
                  </w:r>
                </w:p>
              </w:tc>
              <w:tc>
                <w:tcPr>
                  <w:tcW w:w="1185" w:type="dxa"/>
                  <w:tcBorders>
                    <w:tl2br w:val="nil"/>
                    <w:tr2bl w:val="nil"/>
                  </w:tcBorders>
                  <w:vAlign w:val="center"/>
                </w:tcPr>
                <w:p>
                  <w:pPr>
                    <w:jc w:val="center"/>
                    <w:rPr>
                      <w:color w:val="auto"/>
                      <w:highlight w:val="none"/>
                    </w:rPr>
                  </w:pPr>
                  <w:r>
                    <w:rPr>
                      <w:color w:val="auto"/>
                      <w:highlight w:val="none"/>
                    </w:rPr>
                    <w:t>污染物</w:t>
                  </w:r>
                </w:p>
                <w:p>
                  <w:pPr>
                    <w:jc w:val="center"/>
                    <w:rPr>
                      <w:color w:val="auto"/>
                      <w:highlight w:val="none"/>
                    </w:rPr>
                  </w:pPr>
                  <w:r>
                    <w:rPr>
                      <w:color w:val="auto"/>
                      <w:highlight w:val="none"/>
                    </w:rPr>
                    <w:t>名称</w:t>
                  </w:r>
                </w:p>
              </w:tc>
              <w:tc>
                <w:tcPr>
                  <w:tcW w:w="2053" w:type="dxa"/>
                  <w:tcBorders>
                    <w:tl2br w:val="nil"/>
                    <w:tr2bl w:val="nil"/>
                  </w:tcBorders>
                  <w:vAlign w:val="center"/>
                </w:tcPr>
                <w:p>
                  <w:pPr>
                    <w:jc w:val="center"/>
                    <w:rPr>
                      <w:color w:val="auto"/>
                      <w:highlight w:val="none"/>
                    </w:rPr>
                  </w:pPr>
                  <w:r>
                    <w:rPr>
                      <w:color w:val="auto"/>
                      <w:highlight w:val="none"/>
                    </w:rPr>
                    <w:t>防治措施</w:t>
                  </w:r>
                </w:p>
              </w:tc>
              <w:tc>
                <w:tcPr>
                  <w:tcW w:w="3606" w:type="dxa"/>
                  <w:tcBorders>
                    <w:tl2br w:val="nil"/>
                    <w:tr2bl w:val="nil"/>
                  </w:tcBorders>
                  <w:vAlign w:val="center"/>
                </w:tcPr>
                <w:p>
                  <w:pPr>
                    <w:jc w:val="center"/>
                    <w:rPr>
                      <w:color w:val="auto"/>
                      <w:highlight w:val="none"/>
                    </w:rPr>
                  </w:pPr>
                  <w:r>
                    <w:rPr>
                      <w:color w:val="auto"/>
                      <w:highlight w:val="none"/>
                    </w:rPr>
                    <w:t>预期处理效果</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667" w:type="dxa"/>
                  <w:vMerge w:val="restart"/>
                  <w:tcBorders>
                    <w:tl2br w:val="nil"/>
                    <w:tr2bl w:val="nil"/>
                  </w:tcBorders>
                  <w:textDirection w:val="tbRlV"/>
                  <w:vAlign w:val="center"/>
                </w:tcPr>
                <w:p>
                  <w:pPr>
                    <w:ind w:left="113" w:right="113"/>
                    <w:jc w:val="center"/>
                    <w:rPr>
                      <w:color w:val="auto"/>
                      <w:highlight w:val="none"/>
                    </w:rPr>
                  </w:pPr>
                  <w:r>
                    <w:rPr>
                      <w:color w:val="auto"/>
                      <w:highlight w:val="none"/>
                    </w:rPr>
                    <w:t>水污染物</w:t>
                  </w:r>
                </w:p>
              </w:tc>
              <w:tc>
                <w:tcPr>
                  <w:tcW w:w="1515" w:type="dxa"/>
                  <w:tcBorders>
                    <w:tl2br w:val="nil"/>
                    <w:tr2bl w:val="nil"/>
                  </w:tcBorders>
                  <w:vAlign w:val="center"/>
                </w:tcPr>
                <w:p>
                  <w:pPr>
                    <w:pStyle w:val="49"/>
                    <w:rPr>
                      <w:color w:val="auto"/>
                      <w:highlight w:val="none"/>
                    </w:rPr>
                  </w:pPr>
                  <w:r>
                    <w:rPr>
                      <w:rFonts w:hint="eastAsia" w:ascii="Times New Roman" w:hAnsi="Times New Roman"/>
                      <w:color w:val="auto"/>
                      <w:highlight w:val="none"/>
                    </w:rPr>
                    <w:t>生活污水</w:t>
                  </w:r>
                </w:p>
              </w:tc>
              <w:tc>
                <w:tcPr>
                  <w:tcW w:w="1185" w:type="dxa"/>
                  <w:tcBorders>
                    <w:tl2br w:val="nil"/>
                    <w:tr2bl w:val="nil"/>
                  </w:tcBorders>
                  <w:vAlign w:val="center"/>
                </w:tcPr>
                <w:p>
                  <w:pPr>
                    <w:jc w:val="center"/>
                    <w:rPr>
                      <w:color w:val="auto"/>
                      <w:highlight w:val="none"/>
                    </w:rPr>
                  </w:pPr>
                  <w:r>
                    <w:rPr>
                      <w:color w:val="auto"/>
                      <w:highlight w:val="none"/>
                    </w:rPr>
                    <w:t>COD、</w:t>
                  </w:r>
                </w:p>
                <w:p>
                  <w:pPr>
                    <w:jc w:val="center"/>
                    <w:rPr>
                      <w:color w:val="auto"/>
                      <w:highlight w:val="none"/>
                    </w:rPr>
                  </w:pPr>
                  <w:r>
                    <w:rPr>
                      <w:color w:val="auto"/>
                      <w:highlight w:val="none"/>
                    </w:rPr>
                    <w:t>BOD</w:t>
                  </w:r>
                  <w:r>
                    <w:rPr>
                      <w:color w:val="auto"/>
                      <w:highlight w:val="none"/>
                      <w:vertAlign w:val="subscript"/>
                    </w:rPr>
                    <w:t>5</w:t>
                  </w:r>
                  <w:r>
                    <w:rPr>
                      <w:color w:val="auto"/>
                      <w:highlight w:val="none"/>
                    </w:rPr>
                    <w:t>、</w:t>
                  </w:r>
                </w:p>
                <w:p>
                  <w:pPr>
                    <w:jc w:val="center"/>
                    <w:rPr>
                      <w:color w:val="auto"/>
                      <w:highlight w:val="none"/>
                    </w:rPr>
                  </w:pPr>
                  <w:r>
                    <w:rPr>
                      <w:color w:val="auto"/>
                      <w:highlight w:val="none"/>
                    </w:rPr>
                    <w:t>SS、</w:t>
                  </w:r>
                </w:p>
                <w:p>
                  <w:pPr>
                    <w:jc w:val="center"/>
                    <w:rPr>
                      <w:rFonts w:hint="eastAsia" w:eastAsia="宋体"/>
                      <w:color w:val="auto"/>
                      <w:highlight w:val="none"/>
                      <w:lang w:eastAsia="zh-CN"/>
                    </w:rPr>
                  </w:pPr>
                  <w:r>
                    <w:rPr>
                      <w:color w:val="auto"/>
                      <w:highlight w:val="none"/>
                    </w:rPr>
                    <w:t>NH</w:t>
                  </w:r>
                  <w:r>
                    <w:rPr>
                      <w:color w:val="auto"/>
                      <w:highlight w:val="none"/>
                      <w:vertAlign w:val="subscript"/>
                    </w:rPr>
                    <w:t>3</w:t>
                  </w:r>
                  <w:r>
                    <w:rPr>
                      <w:color w:val="auto"/>
                      <w:highlight w:val="none"/>
                    </w:rPr>
                    <w:t>-N</w:t>
                  </w:r>
                </w:p>
              </w:tc>
              <w:tc>
                <w:tcPr>
                  <w:tcW w:w="2053" w:type="dxa"/>
                  <w:tcBorders>
                    <w:tl2br w:val="nil"/>
                    <w:tr2bl w:val="nil"/>
                  </w:tcBorders>
                  <w:vAlign w:val="center"/>
                </w:tcPr>
                <w:p>
                  <w:pPr>
                    <w:pStyle w:val="49"/>
                    <w:rPr>
                      <w:color w:val="auto"/>
                      <w:highlight w:val="none"/>
                    </w:rPr>
                  </w:pPr>
                  <w:r>
                    <w:rPr>
                      <w:rFonts w:hint="eastAsia" w:ascii="Times New Roman" w:hAnsi="Times New Roman"/>
                      <w:color w:val="auto"/>
                      <w:highlight w:val="none"/>
                    </w:rPr>
                    <w:t>经三级化粪池预处理后排入市政污水管网，引至</w:t>
                  </w:r>
                  <w:r>
                    <w:rPr>
                      <w:rFonts w:hint="eastAsia"/>
                      <w:color w:val="auto"/>
                      <w:highlight w:val="none"/>
                      <w:lang w:eastAsia="zh-CN"/>
                    </w:rPr>
                    <w:t>开平市水口污水处理厂</w:t>
                  </w:r>
                  <w:r>
                    <w:rPr>
                      <w:rFonts w:hint="eastAsia" w:ascii="Times New Roman" w:hAnsi="Times New Roman"/>
                      <w:color w:val="auto"/>
                      <w:highlight w:val="none"/>
                    </w:rPr>
                    <w:t>集中处理</w:t>
                  </w:r>
                </w:p>
              </w:tc>
              <w:tc>
                <w:tcPr>
                  <w:tcW w:w="3606" w:type="dxa"/>
                  <w:tcBorders>
                    <w:tl2br w:val="nil"/>
                    <w:tr2bl w:val="nil"/>
                  </w:tcBorders>
                  <w:vAlign w:val="center"/>
                </w:tcPr>
                <w:p>
                  <w:pPr>
                    <w:pStyle w:val="49"/>
                    <w:rPr>
                      <w:color w:val="auto"/>
                      <w:highlight w:val="none"/>
                    </w:rPr>
                  </w:pPr>
                  <w:r>
                    <w:rPr>
                      <w:rFonts w:hint="eastAsia" w:ascii="Times New Roman" w:hAnsi="Times New Roman"/>
                      <w:color w:val="auto"/>
                      <w:highlight w:val="none"/>
                    </w:rPr>
                    <w:t>达到广东省地方标准《水污染物排放限值》</w:t>
                  </w:r>
                  <w:r>
                    <w:rPr>
                      <w:rFonts w:hint="eastAsia" w:ascii="Times New Roman" w:hAnsi="Times New Roman"/>
                      <w:bCs/>
                      <w:color w:val="auto"/>
                      <w:highlight w:val="none"/>
                    </w:rPr>
                    <w:t>（DB44/26-2001）</w:t>
                  </w:r>
                  <w:r>
                    <w:rPr>
                      <w:rFonts w:hint="eastAsia" w:ascii="Times New Roman" w:hAnsi="Times New Roman" w:cs="Times New Roman"/>
                      <w:bCs/>
                      <w:color w:val="auto"/>
                      <w:highlight w:val="none"/>
                    </w:rPr>
                    <w:t>第二时段三级标准</w:t>
                  </w:r>
                  <w:r>
                    <w:rPr>
                      <w:rFonts w:hint="eastAsia"/>
                      <w:color w:val="auto"/>
                      <w:highlight w:val="none"/>
                      <w:lang w:eastAsia="zh-CN"/>
                    </w:rPr>
                    <w:t>和</w:t>
                  </w:r>
                  <w:r>
                    <w:rPr>
                      <w:rFonts w:hint="eastAsia"/>
                      <w:color w:val="auto"/>
                      <w:highlight w:val="none"/>
                    </w:rPr>
                    <w:t>《污水排入城镇下水道水质标准》(GB/T31962-2015 )B级标准较严者</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tcBorders>
                    <w:tl2br w:val="nil"/>
                    <w:tr2bl w:val="nil"/>
                  </w:tcBorders>
                  <w:vAlign w:val="center"/>
                </w:tcPr>
                <w:p>
                  <w:pPr>
                    <w:spacing w:line="240" w:lineRule="auto"/>
                    <w:jc w:val="center"/>
                    <w:rPr>
                      <w:color w:val="auto"/>
                      <w:highlight w:val="none"/>
                    </w:rPr>
                  </w:pPr>
                  <w:r>
                    <w:rPr>
                      <w:rFonts w:hint="eastAsia"/>
                      <w:color w:val="auto"/>
                      <w:sz w:val="21"/>
                      <w:szCs w:val="21"/>
                      <w:highlight w:val="none"/>
                      <w:lang w:eastAsia="zh-CN"/>
                    </w:rPr>
                    <w:t>喷淋废水</w:t>
                  </w:r>
                </w:p>
              </w:tc>
              <w:tc>
                <w:tcPr>
                  <w:tcW w:w="6844" w:type="dxa"/>
                  <w:gridSpan w:val="3"/>
                  <w:tcBorders>
                    <w:tl2br w:val="nil"/>
                    <w:tr2bl w:val="nil"/>
                  </w:tcBorders>
                  <w:vAlign w:val="center"/>
                </w:tcPr>
                <w:p>
                  <w:pPr>
                    <w:widowControl/>
                    <w:jc w:val="center"/>
                    <w:rPr>
                      <w:color w:val="auto"/>
                      <w:highlight w:val="none"/>
                    </w:rPr>
                  </w:pPr>
                  <w:r>
                    <w:rPr>
                      <w:rFonts w:hint="default" w:ascii="Times New Roman" w:hAnsi="Times New Roman" w:cs="Times New Roman"/>
                      <w:color w:val="auto"/>
                      <w:kern w:val="0"/>
                      <w:sz w:val="21"/>
                      <w:szCs w:val="21"/>
                      <w:highlight w:val="none"/>
                      <w:lang w:val="en-US" w:eastAsia="zh-CN"/>
                    </w:rPr>
                    <w:t>产生量为16t/a，经收集后</w:t>
                  </w:r>
                  <w:r>
                    <w:rPr>
                      <w:rFonts w:hint="eastAsia" w:cs="Times New Roman"/>
                      <w:color w:val="auto"/>
                      <w:kern w:val="0"/>
                      <w:sz w:val="21"/>
                      <w:szCs w:val="21"/>
                      <w:highlight w:val="none"/>
                      <w:lang w:val="en-US" w:eastAsia="zh-CN"/>
                    </w:rPr>
                    <w:t>定期交具有零星废水处理资质的单位处理，不外排</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667" w:type="dxa"/>
                  <w:vMerge w:val="restart"/>
                  <w:tcBorders>
                    <w:tl2br w:val="nil"/>
                    <w:tr2bl w:val="nil"/>
                  </w:tcBorders>
                  <w:textDirection w:val="tbRlV"/>
                  <w:vAlign w:val="center"/>
                </w:tcPr>
                <w:p>
                  <w:pPr>
                    <w:ind w:left="113" w:right="113"/>
                    <w:jc w:val="center"/>
                    <w:rPr>
                      <w:color w:val="auto"/>
                      <w:highlight w:val="none"/>
                    </w:rPr>
                  </w:pPr>
                  <w:r>
                    <w:rPr>
                      <w:color w:val="auto"/>
                      <w:highlight w:val="none"/>
                    </w:rPr>
                    <w:t>大气污染物</w:t>
                  </w:r>
                </w:p>
              </w:tc>
              <w:tc>
                <w:tcPr>
                  <w:tcW w:w="1515" w:type="dxa"/>
                  <w:tcBorders>
                    <w:tl2br w:val="nil"/>
                    <w:tr2bl w:val="nil"/>
                  </w:tcBorders>
                  <w:vAlign w:val="center"/>
                </w:tcPr>
                <w:p>
                  <w:pPr>
                    <w:pStyle w:val="49"/>
                    <w:rPr>
                      <w:color w:val="auto"/>
                      <w:highlight w:val="none"/>
                    </w:rPr>
                  </w:pPr>
                  <w:r>
                    <w:rPr>
                      <w:rFonts w:hint="eastAsia"/>
                      <w:bCs/>
                      <w:color w:val="auto"/>
                      <w:kern w:val="0"/>
                      <w:sz w:val="21"/>
                      <w:szCs w:val="21"/>
                      <w:highlight w:val="none"/>
                      <w:lang w:eastAsia="zh-CN"/>
                    </w:rPr>
                    <w:t>锻压工序</w:t>
                  </w:r>
                </w:p>
              </w:tc>
              <w:tc>
                <w:tcPr>
                  <w:tcW w:w="1185" w:type="dxa"/>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eastAsia="zh-CN"/>
                    </w:rPr>
                    <w:t>非甲烷总烃</w:t>
                  </w:r>
                </w:p>
              </w:tc>
              <w:tc>
                <w:tcPr>
                  <w:tcW w:w="2053" w:type="dxa"/>
                  <w:tcBorders>
                    <w:tl2br w:val="nil"/>
                    <w:tr2bl w:val="nil"/>
                  </w:tcBorders>
                  <w:vAlign w:val="center"/>
                </w:tcPr>
                <w:p>
                  <w:pPr>
                    <w:jc w:val="center"/>
                    <w:rPr>
                      <w:color w:val="auto"/>
                      <w:highlight w:val="none"/>
                    </w:rPr>
                  </w:pPr>
                  <w:r>
                    <w:rPr>
                      <w:rFonts w:hint="eastAsia" w:ascii="Times New Roman" w:hAnsi="Times New Roman" w:eastAsia="宋体" w:cs="Times New Roman"/>
                      <w:color w:val="auto"/>
                      <w:kern w:val="2"/>
                      <w:sz w:val="21"/>
                      <w:szCs w:val="21"/>
                      <w:highlight w:val="none"/>
                    </w:rPr>
                    <w:t>设置集气装置将废气进行收集后引至</w:t>
                  </w:r>
                  <w:r>
                    <w:rPr>
                      <w:rFonts w:hint="eastAsia" w:cs="Times New Roman"/>
                      <w:color w:val="auto"/>
                      <w:kern w:val="0"/>
                      <w:sz w:val="21"/>
                      <w:szCs w:val="21"/>
                      <w:highlight w:val="none"/>
                      <w:lang w:val="en-US" w:eastAsia="zh-CN" w:bidi="ar-SA"/>
                    </w:rPr>
                    <w:t>水喷淋塔+等离子油烟净化器处后</w:t>
                  </w:r>
                  <w:r>
                    <w:rPr>
                      <w:rFonts w:hint="default" w:ascii="Times New Roman" w:hAnsi="Times New Roman" w:eastAsia="宋体" w:cs="Times New Roman"/>
                      <w:color w:val="auto"/>
                      <w:kern w:val="0"/>
                      <w:sz w:val="21"/>
                      <w:szCs w:val="21"/>
                      <w:highlight w:val="none"/>
                      <w:lang w:val="en-US" w:eastAsia="zh-CN" w:bidi="ar-SA"/>
                    </w:rPr>
                    <w:t>通过15米排气筒排放</w:t>
                  </w:r>
                </w:p>
              </w:tc>
              <w:tc>
                <w:tcPr>
                  <w:tcW w:w="3606" w:type="dxa"/>
                  <w:tcBorders>
                    <w:tl2br w:val="nil"/>
                    <w:tr2bl w:val="nil"/>
                  </w:tcBorders>
                  <w:vAlign w:val="center"/>
                </w:tcPr>
                <w:p>
                  <w:pPr>
                    <w:jc w:val="center"/>
                    <w:rPr>
                      <w:color w:val="auto"/>
                      <w:highlight w:val="none"/>
                    </w:rPr>
                  </w:pPr>
                  <w:r>
                    <w:rPr>
                      <w:rFonts w:ascii="Times New Roman" w:hAnsi="Times New Roman" w:eastAsia="宋体" w:cs="Times New Roman"/>
                      <w:color w:val="auto"/>
                      <w:kern w:val="2"/>
                      <w:sz w:val="21"/>
                      <w:szCs w:val="21"/>
                      <w:highlight w:val="none"/>
                    </w:rPr>
                    <w:t>达到广东省地方标准《大气污染物排放限值》（DB44/27-2001）中第二时段二级标准和第二时段无组织排放监控浓度限值</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tcBorders>
                    <w:tl2br w:val="nil"/>
                    <w:tr2bl w:val="nil"/>
                  </w:tcBorders>
                  <w:vAlign w:val="center"/>
                </w:tcPr>
                <w:p>
                  <w:pPr>
                    <w:pStyle w:val="49"/>
                    <w:rPr>
                      <w:rFonts w:hint="eastAsia"/>
                      <w:bCs/>
                      <w:color w:val="auto"/>
                      <w:kern w:val="0"/>
                      <w:sz w:val="21"/>
                      <w:szCs w:val="21"/>
                      <w:highlight w:val="none"/>
                      <w:lang w:eastAsia="zh-CN"/>
                    </w:rPr>
                  </w:pPr>
                  <w:r>
                    <w:rPr>
                      <w:rFonts w:hint="eastAsia"/>
                      <w:bCs/>
                      <w:color w:val="auto"/>
                      <w:kern w:val="0"/>
                      <w:sz w:val="21"/>
                      <w:szCs w:val="21"/>
                      <w:highlight w:val="none"/>
                      <w:lang w:eastAsia="zh-CN"/>
                    </w:rPr>
                    <w:t>燃料废气</w:t>
                  </w:r>
                </w:p>
              </w:tc>
              <w:tc>
                <w:tcPr>
                  <w:tcW w:w="1185" w:type="dxa"/>
                  <w:tcBorders>
                    <w:tl2br w:val="nil"/>
                    <w:tr2bl w:val="nil"/>
                  </w:tcBorders>
                  <w:vAlign w:val="center"/>
                </w:tcPr>
                <w:p>
                  <w:pPr>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SO</w:t>
                  </w:r>
                  <w:r>
                    <w:rPr>
                      <w:rFonts w:hint="eastAsia" w:ascii="Times New Roman" w:hAnsi="Times New Roman" w:eastAsia="宋体" w:cs="Times New Roman"/>
                      <w:bCs/>
                      <w:color w:val="auto"/>
                      <w:kern w:val="0"/>
                      <w:sz w:val="21"/>
                      <w:szCs w:val="21"/>
                      <w:highlight w:val="none"/>
                      <w:vertAlign w:val="subscript"/>
                      <w:lang w:val="en-US" w:eastAsia="zh-CN" w:bidi="ar-SA"/>
                    </w:rPr>
                    <w:t>2</w:t>
                  </w:r>
                  <w:r>
                    <w:rPr>
                      <w:color w:val="auto"/>
                      <w:highlight w:val="none"/>
                    </w:rPr>
                    <w:t>、</w:t>
                  </w:r>
                  <w:r>
                    <w:rPr>
                      <w:rFonts w:hint="eastAsia"/>
                      <w:b w:val="0"/>
                      <w:bCs w:val="0"/>
                      <w:color w:val="auto"/>
                      <w:kern w:val="0"/>
                      <w:sz w:val="21"/>
                      <w:szCs w:val="21"/>
                      <w:highlight w:val="none"/>
                    </w:rPr>
                    <w:t>NOx</w:t>
                  </w:r>
                  <w:r>
                    <w:rPr>
                      <w:color w:val="auto"/>
                      <w:highlight w:val="none"/>
                    </w:rPr>
                    <w:t>、</w:t>
                  </w:r>
                  <w:r>
                    <w:rPr>
                      <w:rFonts w:hint="eastAsia"/>
                      <w:color w:val="auto"/>
                      <w:highlight w:val="none"/>
                      <w:lang w:eastAsia="zh-CN"/>
                    </w:rPr>
                    <w:t>烟尘</w:t>
                  </w:r>
                </w:p>
              </w:tc>
              <w:tc>
                <w:tcPr>
                  <w:tcW w:w="2053" w:type="dxa"/>
                  <w:tcBorders>
                    <w:tl2br w:val="nil"/>
                    <w:tr2bl w:val="nil"/>
                  </w:tcBorders>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eastAsia="zh-CN"/>
                    </w:rPr>
                    <w:t>设置集气装置收集后经15米排气筒排放</w:t>
                  </w:r>
                </w:p>
              </w:tc>
              <w:tc>
                <w:tcPr>
                  <w:tcW w:w="3606" w:type="dxa"/>
                  <w:tcBorders>
                    <w:tl2br w:val="nil"/>
                    <w:tr2bl w:val="nil"/>
                  </w:tcBorders>
                  <w:vAlign w:val="center"/>
                </w:tcPr>
                <w:p>
                  <w:pPr>
                    <w:jc w:val="center"/>
                    <w:rPr>
                      <w:rFonts w:hint="eastAsia" w:eastAsia="宋体"/>
                      <w:bCs/>
                      <w:color w:val="auto"/>
                      <w:sz w:val="21"/>
                      <w:szCs w:val="21"/>
                      <w:highlight w:val="none"/>
                      <w:lang w:eastAsia="zh-CN"/>
                    </w:rPr>
                  </w:pPr>
                  <w:r>
                    <w:rPr>
                      <w:rFonts w:ascii="Times New Roman" w:hAnsi="Times New Roman" w:eastAsia="宋体" w:cs="Times New Roman"/>
                      <w:color w:val="auto"/>
                      <w:kern w:val="24"/>
                      <w:sz w:val="21"/>
                      <w:szCs w:val="21"/>
                      <w:highlight w:val="none"/>
                    </w:rPr>
                    <w:t>SO</w:t>
                  </w:r>
                  <w:r>
                    <w:rPr>
                      <w:rFonts w:ascii="Times New Roman" w:hAnsi="Times New Roman" w:eastAsia="宋体" w:cs="Times New Roman"/>
                      <w:color w:val="auto"/>
                      <w:kern w:val="24"/>
                      <w:sz w:val="21"/>
                      <w:szCs w:val="21"/>
                      <w:highlight w:val="none"/>
                      <w:vertAlign w:val="subscript"/>
                    </w:rPr>
                    <w:t>2</w:t>
                  </w:r>
                  <w:r>
                    <w:rPr>
                      <w:rFonts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4"/>
                      <w:sz w:val="21"/>
                      <w:szCs w:val="21"/>
                      <w:highlight w:val="none"/>
                    </w:rPr>
                    <w:t>NO</w:t>
                  </w:r>
                  <w:r>
                    <w:rPr>
                      <w:rFonts w:ascii="Times New Roman" w:hAnsi="Times New Roman" w:eastAsia="宋体" w:cs="Times New Roman"/>
                      <w:color w:val="auto"/>
                      <w:kern w:val="2"/>
                      <w:sz w:val="21"/>
                      <w:szCs w:val="21"/>
                      <w:highlight w:val="none"/>
                    </w:rPr>
                    <w:t>x达到广东省地方标准《大气污染物排放限值》（DB44/27-2001）中第二时段二级标准</w:t>
                  </w:r>
                  <w:r>
                    <w:rPr>
                      <w:rFonts w:hint="eastAsia" w:cs="Times New Roman"/>
                      <w:color w:val="auto"/>
                      <w:kern w:val="2"/>
                      <w:sz w:val="21"/>
                      <w:szCs w:val="21"/>
                      <w:highlight w:val="none"/>
                      <w:lang w:eastAsia="zh-CN"/>
                    </w:rPr>
                    <w:t>、烟尘达到《工业炉窑大气污染物排放标准》表2“金属压延、锻造加热炉”二级标准</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tcBorders>
                    <w:tl2br w:val="nil"/>
                    <w:tr2bl w:val="nil"/>
                  </w:tcBorders>
                  <w:vAlign w:val="center"/>
                </w:tcPr>
                <w:p>
                  <w:pPr>
                    <w:pStyle w:val="49"/>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kern w:val="0"/>
                      <w:sz w:val="21"/>
                      <w:szCs w:val="21"/>
                      <w:highlight w:val="none"/>
                      <w:lang w:eastAsia="zh-CN"/>
                    </w:rPr>
                    <w:t>开料、机加工工序</w:t>
                  </w:r>
                </w:p>
              </w:tc>
              <w:tc>
                <w:tcPr>
                  <w:tcW w:w="1185" w:type="dxa"/>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eastAsia="zh-CN"/>
                    </w:rPr>
                    <w:t>粉尘</w:t>
                  </w:r>
                </w:p>
              </w:tc>
              <w:tc>
                <w:tcPr>
                  <w:tcW w:w="2053" w:type="dxa"/>
                  <w:tcBorders>
                    <w:tl2br w:val="nil"/>
                    <w:tr2bl w:val="nil"/>
                  </w:tcBorders>
                  <w:vAlign w:val="center"/>
                </w:tcPr>
                <w:p>
                  <w:pPr>
                    <w:jc w:val="center"/>
                    <w:rPr>
                      <w:rFonts w:hint="eastAsia" w:ascii="Times New Roman" w:hAnsi="Times New Roman"/>
                      <w:bCs/>
                      <w:color w:val="auto"/>
                      <w:szCs w:val="21"/>
                      <w:highlight w:val="none"/>
                    </w:rPr>
                  </w:pPr>
                  <w:r>
                    <w:rPr>
                      <w:rFonts w:hint="eastAsia" w:ascii="Times New Roman" w:hAnsi="Times New Roman"/>
                      <w:bCs/>
                      <w:color w:val="auto"/>
                      <w:szCs w:val="21"/>
                      <w:highlight w:val="none"/>
                    </w:rPr>
                    <w:t>加强机械通风措施</w:t>
                  </w:r>
                </w:p>
              </w:tc>
              <w:tc>
                <w:tcPr>
                  <w:tcW w:w="3606" w:type="dxa"/>
                  <w:tcBorders>
                    <w:tl2br w:val="nil"/>
                    <w:tr2bl w:val="nil"/>
                  </w:tcBorders>
                  <w:vAlign w:val="center"/>
                </w:tcPr>
                <w:p>
                  <w:pPr>
                    <w:jc w:val="center"/>
                    <w:rPr>
                      <w:rFonts w:hint="eastAsia" w:ascii="Times New Roman" w:hAnsi="Times New Roman"/>
                      <w:bCs/>
                      <w:color w:val="auto"/>
                      <w:szCs w:val="21"/>
                      <w:highlight w:val="none"/>
                    </w:rPr>
                  </w:pPr>
                  <w:r>
                    <w:rPr>
                      <w:rFonts w:hint="eastAsia"/>
                      <w:b w:val="0"/>
                      <w:bCs w:val="0"/>
                      <w:color w:val="auto"/>
                      <w:sz w:val="21"/>
                      <w:szCs w:val="21"/>
                      <w:highlight w:val="none"/>
                      <w:lang w:val="en-US" w:eastAsia="zh-CN"/>
                    </w:rPr>
                    <w:t>达到</w:t>
                  </w:r>
                  <w:r>
                    <w:rPr>
                      <w:rFonts w:hint="eastAsia"/>
                      <w:b w:val="0"/>
                      <w:bCs w:val="0"/>
                      <w:color w:val="auto"/>
                      <w:kern w:val="0"/>
                      <w:sz w:val="21"/>
                      <w:szCs w:val="21"/>
                      <w:highlight w:val="none"/>
                      <w:lang w:val="en-US" w:eastAsia="zh-CN"/>
                    </w:rPr>
                    <w:t>广东省地方标准《大气污染物排放限值》（DB44/27-2001）第二时段无组织排放监控浓度限值的要求</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667" w:type="dxa"/>
                  <w:tcBorders>
                    <w:tl2br w:val="nil"/>
                    <w:tr2bl w:val="nil"/>
                  </w:tcBorders>
                  <w:textDirection w:val="tbRlV"/>
                  <w:vAlign w:val="center"/>
                </w:tcPr>
                <w:p>
                  <w:pPr>
                    <w:ind w:left="113" w:right="113"/>
                    <w:jc w:val="center"/>
                    <w:rPr>
                      <w:color w:val="auto"/>
                      <w:highlight w:val="none"/>
                    </w:rPr>
                  </w:pPr>
                  <w:r>
                    <w:rPr>
                      <w:color w:val="auto"/>
                      <w:highlight w:val="none"/>
                    </w:rPr>
                    <w:t>噪声</w:t>
                  </w:r>
                </w:p>
              </w:tc>
              <w:tc>
                <w:tcPr>
                  <w:tcW w:w="1515" w:type="dxa"/>
                  <w:tcBorders>
                    <w:tl2br w:val="nil"/>
                    <w:tr2bl w:val="nil"/>
                  </w:tcBorders>
                  <w:vAlign w:val="center"/>
                </w:tcPr>
                <w:p>
                  <w:pPr>
                    <w:jc w:val="center"/>
                    <w:rPr>
                      <w:color w:val="auto"/>
                      <w:highlight w:val="none"/>
                    </w:rPr>
                  </w:pPr>
                  <w:r>
                    <w:rPr>
                      <w:color w:val="auto"/>
                      <w:highlight w:val="none"/>
                    </w:rPr>
                    <w:t>生产车间</w:t>
                  </w:r>
                </w:p>
              </w:tc>
              <w:tc>
                <w:tcPr>
                  <w:tcW w:w="1185" w:type="dxa"/>
                  <w:tcBorders>
                    <w:tl2br w:val="nil"/>
                    <w:tr2bl w:val="nil"/>
                  </w:tcBorders>
                  <w:vAlign w:val="center"/>
                </w:tcPr>
                <w:p>
                  <w:pPr>
                    <w:jc w:val="center"/>
                    <w:rPr>
                      <w:color w:val="auto"/>
                      <w:highlight w:val="none"/>
                    </w:rPr>
                  </w:pPr>
                  <w:r>
                    <w:rPr>
                      <w:color w:val="auto"/>
                      <w:highlight w:val="none"/>
                    </w:rPr>
                    <w:t>噪声</w:t>
                  </w:r>
                </w:p>
              </w:tc>
              <w:tc>
                <w:tcPr>
                  <w:tcW w:w="2053" w:type="dxa"/>
                  <w:tcBorders>
                    <w:tl2br w:val="nil"/>
                    <w:tr2bl w:val="nil"/>
                  </w:tcBorders>
                  <w:vAlign w:val="center"/>
                </w:tcPr>
                <w:p>
                  <w:pPr>
                    <w:jc w:val="center"/>
                    <w:rPr>
                      <w:color w:val="auto"/>
                      <w:highlight w:val="none"/>
                    </w:rPr>
                  </w:pPr>
                  <w:r>
                    <w:rPr>
                      <w:color w:val="auto"/>
                      <w:highlight w:val="none"/>
                    </w:rPr>
                    <w:t>通过墙体隔声、合理布局</w:t>
                  </w:r>
                </w:p>
              </w:tc>
              <w:tc>
                <w:tcPr>
                  <w:tcW w:w="3606" w:type="dxa"/>
                  <w:tcBorders>
                    <w:tl2br w:val="nil"/>
                    <w:tr2bl w:val="nil"/>
                  </w:tcBorders>
                  <w:vAlign w:val="center"/>
                </w:tcPr>
                <w:p>
                  <w:pPr>
                    <w:jc w:val="center"/>
                    <w:rPr>
                      <w:color w:val="auto"/>
                      <w:highlight w:val="none"/>
                    </w:rPr>
                  </w:pPr>
                  <w:r>
                    <w:rPr>
                      <w:rFonts w:hint="eastAsia"/>
                      <w:color w:val="auto"/>
                      <w:szCs w:val="22"/>
                      <w:highlight w:val="none"/>
                    </w:rPr>
                    <w:t>项目厂界</w:t>
                  </w:r>
                  <w:r>
                    <w:rPr>
                      <w:color w:val="auto"/>
                      <w:szCs w:val="22"/>
                      <w:highlight w:val="none"/>
                    </w:rPr>
                    <w:t>达到《工业企业厂界环境噪声排放标准》（G</w:t>
                  </w:r>
                  <w:r>
                    <w:rPr>
                      <w:color w:val="auto"/>
                      <w:highlight w:val="none"/>
                    </w:rPr>
                    <w:t>B12348-2008）中的</w:t>
                  </w:r>
                  <w:r>
                    <w:rPr>
                      <w:rFonts w:hint="eastAsia"/>
                      <w:color w:val="auto"/>
                      <w:highlight w:val="none"/>
                    </w:rPr>
                    <w:t>2</w:t>
                  </w:r>
                  <w:r>
                    <w:rPr>
                      <w:color w:val="auto"/>
                      <w:highlight w:val="none"/>
                    </w:rPr>
                    <w:t>类标准</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restart"/>
                  <w:tcBorders>
                    <w:tl2br w:val="nil"/>
                    <w:tr2bl w:val="nil"/>
                  </w:tcBorders>
                  <w:textDirection w:val="tbRlV"/>
                  <w:vAlign w:val="center"/>
                </w:tcPr>
                <w:p>
                  <w:pPr>
                    <w:ind w:left="113" w:right="113"/>
                    <w:jc w:val="center"/>
                    <w:rPr>
                      <w:color w:val="auto"/>
                      <w:highlight w:val="none"/>
                    </w:rPr>
                  </w:pPr>
                  <w:r>
                    <w:rPr>
                      <w:color w:val="auto"/>
                      <w:highlight w:val="none"/>
                    </w:rPr>
                    <w:t>固体废物</w:t>
                  </w:r>
                </w:p>
              </w:tc>
              <w:tc>
                <w:tcPr>
                  <w:tcW w:w="1515" w:type="dxa"/>
                  <w:tcBorders>
                    <w:tl2br w:val="nil"/>
                    <w:tr2bl w:val="nil"/>
                  </w:tcBorders>
                  <w:vAlign w:val="center"/>
                </w:tcPr>
                <w:p>
                  <w:pPr>
                    <w:jc w:val="center"/>
                    <w:rPr>
                      <w:color w:val="auto"/>
                      <w:highlight w:val="none"/>
                    </w:rPr>
                  </w:pPr>
                  <w:r>
                    <w:rPr>
                      <w:color w:val="auto"/>
                      <w:highlight w:val="none"/>
                    </w:rPr>
                    <w:t>员工生活</w:t>
                  </w:r>
                </w:p>
              </w:tc>
              <w:tc>
                <w:tcPr>
                  <w:tcW w:w="1185" w:type="dxa"/>
                  <w:tcBorders>
                    <w:tl2br w:val="nil"/>
                    <w:tr2bl w:val="nil"/>
                  </w:tcBorders>
                  <w:vAlign w:val="center"/>
                </w:tcPr>
                <w:p>
                  <w:pPr>
                    <w:pStyle w:val="49"/>
                    <w:jc w:val="center"/>
                    <w:rPr>
                      <w:color w:val="auto"/>
                      <w:highlight w:val="none"/>
                    </w:rPr>
                  </w:pPr>
                  <w:r>
                    <w:rPr>
                      <w:color w:val="auto"/>
                      <w:highlight w:val="none"/>
                    </w:rPr>
                    <w:t>生活垃圾</w:t>
                  </w:r>
                </w:p>
              </w:tc>
              <w:tc>
                <w:tcPr>
                  <w:tcW w:w="2053" w:type="dxa"/>
                  <w:tcBorders>
                    <w:tl2br w:val="nil"/>
                    <w:tr2bl w:val="nil"/>
                  </w:tcBorders>
                  <w:vAlign w:val="center"/>
                </w:tcPr>
                <w:p>
                  <w:pPr>
                    <w:pStyle w:val="49"/>
                    <w:rPr>
                      <w:color w:val="auto"/>
                      <w:highlight w:val="none"/>
                    </w:rPr>
                  </w:pPr>
                  <w:r>
                    <w:rPr>
                      <w:color w:val="auto"/>
                      <w:highlight w:val="none"/>
                    </w:rPr>
                    <w:t>收集后统一交由环卫部门处理</w:t>
                  </w:r>
                </w:p>
              </w:tc>
              <w:tc>
                <w:tcPr>
                  <w:tcW w:w="3606" w:type="dxa"/>
                  <w:vMerge w:val="restart"/>
                  <w:tcBorders>
                    <w:tl2br w:val="nil"/>
                    <w:tr2bl w:val="nil"/>
                  </w:tcBorders>
                  <w:vAlign w:val="center"/>
                </w:tcPr>
                <w:p>
                  <w:pPr>
                    <w:jc w:val="center"/>
                    <w:rPr>
                      <w:color w:val="auto"/>
                      <w:szCs w:val="22"/>
                      <w:highlight w:val="none"/>
                    </w:rPr>
                  </w:pPr>
                  <w:r>
                    <w:rPr>
                      <w:rFonts w:ascii="Times New Roman" w:hAnsi="宋体" w:eastAsia="宋体" w:cs="Times New Roman"/>
                      <w:color w:val="auto"/>
                      <w:kern w:val="2"/>
                      <w:sz w:val="21"/>
                      <w:szCs w:val="21"/>
                      <w:highlight w:val="none"/>
                    </w:rPr>
                    <w:t>符合环保有关要求</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eastAsia="zh-CN"/>
                    </w:rPr>
                    <w:t>一般固体废物</w:t>
                  </w:r>
                </w:p>
              </w:tc>
              <w:tc>
                <w:tcPr>
                  <w:tcW w:w="1185" w:type="dxa"/>
                  <w:tcBorders>
                    <w:tl2br w:val="nil"/>
                    <w:tr2bl w:val="nil"/>
                  </w:tcBorders>
                  <w:vAlign w:val="center"/>
                </w:tcPr>
                <w:p>
                  <w:pPr>
                    <w:pStyle w:val="49"/>
                    <w:rPr>
                      <w:color w:val="auto"/>
                      <w:highlight w:val="none"/>
                    </w:rPr>
                  </w:pPr>
                  <w:r>
                    <w:rPr>
                      <w:rFonts w:hint="eastAsia" w:cs="Times New Roman"/>
                      <w:bCs w:val="0"/>
                      <w:color w:val="auto"/>
                      <w:kern w:val="2"/>
                      <w:sz w:val="21"/>
                      <w:szCs w:val="22"/>
                      <w:highlight w:val="none"/>
                      <w:lang w:val="en-US" w:eastAsia="zh-CN" w:bidi="ar-SA"/>
                    </w:rPr>
                    <w:t>边角料、不合格品、</w:t>
                  </w:r>
                  <w:r>
                    <w:rPr>
                      <w:rFonts w:hint="eastAsia" w:ascii="Times New Roman" w:hAnsi="Times New Roman" w:eastAsia="宋体" w:cs="Times New Roman"/>
                      <w:bCs w:val="0"/>
                      <w:color w:val="auto"/>
                      <w:kern w:val="2"/>
                      <w:sz w:val="21"/>
                      <w:szCs w:val="22"/>
                      <w:highlight w:val="none"/>
                      <w:lang w:val="en-US" w:eastAsia="zh-CN" w:bidi="ar-SA"/>
                    </w:rPr>
                    <w:t>废包装材料</w:t>
                  </w:r>
                </w:p>
              </w:tc>
              <w:tc>
                <w:tcPr>
                  <w:tcW w:w="2053" w:type="dxa"/>
                  <w:tcBorders>
                    <w:tl2br w:val="nil"/>
                    <w:tr2bl w:val="nil"/>
                  </w:tcBorders>
                  <w:vAlign w:val="center"/>
                </w:tcPr>
                <w:p>
                  <w:pPr>
                    <w:jc w:val="center"/>
                    <w:rPr>
                      <w:color w:val="auto"/>
                      <w:highlight w:val="none"/>
                    </w:rPr>
                  </w:pPr>
                  <w:r>
                    <w:rPr>
                      <w:rFonts w:hint="eastAsia"/>
                      <w:color w:val="auto"/>
                      <w:highlight w:val="none"/>
                    </w:rPr>
                    <w:t>交专业公司回收处理</w:t>
                  </w:r>
                </w:p>
              </w:tc>
              <w:tc>
                <w:tcPr>
                  <w:tcW w:w="3606" w:type="dxa"/>
                  <w:vMerge w:val="continue"/>
                  <w:tcBorders>
                    <w:tl2br w:val="nil"/>
                    <w:tr2bl w:val="nil"/>
                  </w:tcBorders>
                  <w:vAlign w:val="center"/>
                </w:tcPr>
                <w:p>
                  <w:pPr>
                    <w:jc w:val="center"/>
                    <w:rPr>
                      <w:color w:val="auto"/>
                      <w:highlight w:val="none"/>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vMerge w:val="restart"/>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eastAsia="zh-CN"/>
                    </w:rPr>
                    <w:t>危险废物</w:t>
                  </w:r>
                </w:p>
              </w:tc>
              <w:tc>
                <w:tcPr>
                  <w:tcW w:w="1185" w:type="dxa"/>
                  <w:tcBorders>
                    <w:tl2br w:val="nil"/>
                    <w:tr2bl w:val="nil"/>
                  </w:tcBorders>
                  <w:vAlign w:val="center"/>
                </w:tcPr>
                <w:p>
                  <w:pPr>
                    <w:pStyle w:val="2"/>
                    <w:jc w:val="center"/>
                    <w:rPr>
                      <w:rFonts w:hint="eastAsia" w:cs="Times New Roman"/>
                      <w:bCs w:val="0"/>
                      <w:color w:val="auto"/>
                      <w:kern w:val="2"/>
                      <w:sz w:val="21"/>
                      <w:szCs w:val="22"/>
                      <w:highlight w:val="none"/>
                      <w:lang w:val="en-US" w:eastAsia="zh-CN" w:bidi="ar-SA"/>
                    </w:rPr>
                  </w:pPr>
                  <w:r>
                    <w:rPr>
                      <w:rFonts w:hint="eastAsia" w:ascii="Times New Roman" w:hAnsi="Times New Roman"/>
                      <w:color w:val="auto"/>
                      <w:kern w:val="0"/>
                      <w:sz w:val="21"/>
                      <w:szCs w:val="21"/>
                      <w:highlight w:val="none"/>
                      <w:vertAlign w:val="baseline"/>
                      <w:lang w:val="en-US" w:eastAsia="zh-CN"/>
                    </w:rPr>
                    <w:t>含油废抹布、手套</w:t>
                  </w:r>
                </w:p>
              </w:tc>
              <w:tc>
                <w:tcPr>
                  <w:tcW w:w="2053" w:type="dxa"/>
                  <w:vMerge w:val="restart"/>
                  <w:tcBorders>
                    <w:tl2br w:val="nil"/>
                    <w:tr2bl w:val="nil"/>
                  </w:tcBorders>
                  <w:vAlign w:val="center"/>
                </w:tcPr>
                <w:p>
                  <w:pPr>
                    <w:rPr>
                      <w:color w:val="auto"/>
                      <w:szCs w:val="22"/>
                      <w:highlight w:val="none"/>
                    </w:rPr>
                  </w:pPr>
                  <w:r>
                    <w:rPr>
                      <w:rFonts w:hint="eastAsia"/>
                      <w:color w:val="auto"/>
                      <w:szCs w:val="22"/>
                      <w:highlight w:val="none"/>
                      <w:lang w:val="en-US" w:eastAsia="zh-CN"/>
                    </w:rPr>
                    <w:t>交给有危险废物处置资质单位处置</w:t>
                  </w:r>
                </w:p>
              </w:tc>
              <w:tc>
                <w:tcPr>
                  <w:tcW w:w="3606" w:type="dxa"/>
                  <w:vMerge w:val="continue"/>
                  <w:tcBorders>
                    <w:tl2br w:val="nil"/>
                    <w:tr2bl w:val="nil"/>
                  </w:tcBorders>
                  <w:vAlign w:val="center"/>
                </w:tcPr>
                <w:p>
                  <w:pPr>
                    <w:rPr>
                      <w:color w:val="auto"/>
                      <w:szCs w:val="22"/>
                      <w:highlight w:val="none"/>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vMerge w:val="continue"/>
                  <w:tcBorders>
                    <w:tl2br w:val="nil"/>
                    <w:tr2bl w:val="nil"/>
                  </w:tcBorders>
                  <w:vAlign w:val="center"/>
                </w:tcPr>
                <w:p>
                  <w:pPr>
                    <w:jc w:val="center"/>
                    <w:rPr>
                      <w:color w:val="auto"/>
                      <w:highlight w:val="none"/>
                    </w:rPr>
                  </w:pPr>
                </w:p>
              </w:tc>
              <w:tc>
                <w:tcPr>
                  <w:tcW w:w="1185" w:type="dxa"/>
                  <w:tcBorders>
                    <w:tl2br w:val="nil"/>
                    <w:tr2bl w:val="nil"/>
                  </w:tcBorders>
                  <w:vAlign w:val="center"/>
                </w:tcPr>
                <w:p>
                  <w:pPr>
                    <w:pStyle w:val="2"/>
                    <w:jc w:val="center"/>
                    <w:rPr>
                      <w:rFonts w:hint="eastAsia" w:cs="Times New Roman"/>
                      <w:bCs w:val="0"/>
                      <w:color w:val="auto"/>
                      <w:kern w:val="2"/>
                      <w:sz w:val="21"/>
                      <w:szCs w:val="22"/>
                      <w:highlight w:val="none"/>
                      <w:lang w:val="en-US" w:eastAsia="zh-CN" w:bidi="ar-SA"/>
                    </w:rPr>
                  </w:pPr>
                  <w:r>
                    <w:rPr>
                      <w:rFonts w:hint="eastAsia" w:ascii="Times New Roman" w:hAnsi="Times New Roman"/>
                      <w:color w:val="auto"/>
                      <w:kern w:val="0"/>
                      <w:sz w:val="21"/>
                      <w:szCs w:val="21"/>
                      <w:highlight w:val="none"/>
                      <w:vertAlign w:val="baseline"/>
                      <w:lang w:val="en-US" w:eastAsia="zh-CN"/>
                    </w:rPr>
                    <w:t>废润滑油</w:t>
                  </w:r>
                </w:p>
              </w:tc>
              <w:tc>
                <w:tcPr>
                  <w:tcW w:w="2053" w:type="dxa"/>
                  <w:vMerge w:val="continue"/>
                  <w:tcBorders>
                    <w:tl2br w:val="nil"/>
                    <w:tr2bl w:val="nil"/>
                  </w:tcBorders>
                  <w:vAlign w:val="center"/>
                </w:tcPr>
                <w:p>
                  <w:pPr>
                    <w:jc w:val="center"/>
                    <w:rPr>
                      <w:bCs/>
                      <w:color w:val="auto"/>
                      <w:szCs w:val="21"/>
                      <w:highlight w:val="none"/>
                    </w:rPr>
                  </w:pPr>
                </w:p>
              </w:tc>
              <w:tc>
                <w:tcPr>
                  <w:tcW w:w="3606" w:type="dxa"/>
                  <w:vMerge w:val="continue"/>
                  <w:tcBorders>
                    <w:tl2br w:val="nil"/>
                    <w:tr2bl w:val="nil"/>
                  </w:tcBorders>
                  <w:vAlign w:val="center"/>
                </w:tcPr>
                <w:p>
                  <w:pPr>
                    <w:jc w:val="center"/>
                    <w:rPr>
                      <w:color w:val="auto"/>
                      <w:highlight w:val="none"/>
                    </w:rPr>
                  </w:pP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tcBorders>
                    <w:tl2br w:val="nil"/>
                    <w:tr2bl w:val="nil"/>
                  </w:tcBorders>
                  <w:textDirection w:val="tbRlV"/>
                  <w:vAlign w:val="center"/>
                </w:tcPr>
                <w:p>
                  <w:pPr>
                    <w:ind w:left="113" w:right="113"/>
                    <w:jc w:val="center"/>
                    <w:rPr>
                      <w:color w:val="auto"/>
                      <w:highlight w:val="none"/>
                    </w:rPr>
                  </w:pPr>
                </w:p>
              </w:tc>
              <w:tc>
                <w:tcPr>
                  <w:tcW w:w="1515" w:type="dxa"/>
                  <w:vMerge w:val="continue"/>
                  <w:tcBorders>
                    <w:tl2br w:val="nil"/>
                    <w:tr2bl w:val="nil"/>
                  </w:tcBorders>
                  <w:vAlign w:val="center"/>
                </w:tcPr>
                <w:p>
                  <w:pPr>
                    <w:jc w:val="center"/>
                    <w:rPr>
                      <w:color w:val="auto"/>
                      <w:highlight w:val="none"/>
                    </w:rPr>
                  </w:pPr>
                </w:p>
              </w:tc>
              <w:tc>
                <w:tcPr>
                  <w:tcW w:w="1185" w:type="dxa"/>
                  <w:tcBorders>
                    <w:tl2br w:val="nil"/>
                    <w:tr2bl w:val="nil"/>
                  </w:tcBorders>
                  <w:vAlign w:val="center"/>
                </w:tcPr>
                <w:p>
                  <w:pPr>
                    <w:pStyle w:val="2"/>
                    <w:jc w:val="center"/>
                    <w:rPr>
                      <w:rFonts w:hint="eastAsia" w:cs="Times New Roman"/>
                      <w:bCs w:val="0"/>
                      <w:color w:val="auto"/>
                      <w:kern w:val="2"/>
                      <w:sz w:val="21"/>
                      <w:szCs w:val="22"/>
                      <w:highlight w:val="none"/>
                      <w:lang w:val="en-US" w:eastAsia="zh-CN" w:bidi="ar-SA"/>
                    </w:rPr>
                  </w:pPr>
                  <w:r>
                    <w:rPr>
                      <w:rFonts w:hint="eastAsia" w:ascii="Times New Roman" w:hAnsi="Times New Roman"/>
                      <w:color w:val="auto"/>
                      <w:kern w:val="0"/>
                      <w:sz w:val="21"/>
                      <w:szCs w:val="21"/>
                      <w:highlight w:val="none"/>
                      <w:vertAlign w:val="baseline"/>
                      <w:lang w:val="en-US" w:eastAsia="zh-CN"/>
                    </w:rPr>
                    <w:t>废润滑油油桶</w:t>
                  </w:r>
                </w:p>
              </w:tc>
              <w:tc>
                <w:tcPr>
                  <w:tcW w:w="2053" w:type="dxa"/>
                  <w:vMerge w:val="continue"/>
                  <w:tcBorders>
                    <w:tl2br w:val="nil"/>
                    <w:tr2bl w:val="nil"/>
                  </w:tcBorders>
                  <w:vAlign w:val="center"/>
                </w:tcPr>
                <w:p>
                  <w:pPr>
                    <w:jc w:val="center"/>
                    <w:rPr>
                      <w:bCs/>
                      <w:color w:val="auto"/>
                      <w:szCs w:val="21"/>
                      <w:highlight w:val="none"/>
                    </w:rPr>
                  </w:pPr>
                </w:p>
              </w:tc>
              <w:tc>
                <w:tcPr>
                  <w:tcW w:w="3606" w:type="dxa"/>
                  <w:vMerge w:val="continue"/>
                  <w:tcBorders>
                    <w:tl2br w:val="nil"/>
                    <w:tr2bl w:val="nil"/>
                  </w:tcBorders>
                  <w:vAlign w:val="center"/>
                </w:tcPr>
                <w:p>
                  <w:pPr>
                    <w:jc w:val="center"/>
                    <w:rPr>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12" w:lineRule="auto"/>
              <w:textAlignment w:val="auto"/>
              <w:rPr>
                <w:b/>
                <w:color w:val="auto"/>
                <w:sz w:val="24"/>
                <w:szCs w:val="24"/>
                <w:highlight w:val="none"/>
              </w:rPr>
            </w:pPr>
            <w:r>
              <w:rPr>
                <w:b/>
                <w:color w:val="auto"/>
                <w:sz w:val="24"/>
                <w:szCs w:val="24"/>
                <w:highlight w:val="none"/>
              </w:rPr>
              <w:t>生态保护措施及预防效果</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sz w:val="24"/>
                <w:szCs w:val="24"/>
                <w:highlight w:val="none"/>
              </w:rPr>
            </w:pPr>
            <w:r>
              <w:rPr>
                <w:color w:val="auto"/>
                <w:highlight w:val="none"/>
              </w:rPr>
              <w:t xml:space="preserve">    </w:t>
            </w:r>
            <w:r>
              <w:rPr>
                <w:color w:val="auto"/>
                <w:sz w:val="24"/>
                <w:szCs w:val="24"/>
                <w:highlight w:val="none"/>
              </w:rPr>
              <w:t>本项目无需特别的生态保护措施。</w:t>
            </w:r>
          </w:p>
        </w:tc>
      </w:tr>
    </w:tbl>
    <w:p>
      <w:pPr>
        <w:pStyle w:val="16"/>
        <w:spacing w:before="0" w:after="0" w:line="240" w:lineRule="auto"/>
        <w:rPr>
          <w:color w:val="auto"/>
          <w:sz w:val="28"/>
          <w:szCs w:val="28"/>
          <w:highlight w:val="none"/>
        </w:rPr>
      </w:pPr>
      <w:bookmarkStart w:id="105" w:name="_Toc451440909"/>
      <w:bookmarkStart w:id="106" w:name="_Toc21906"/>
      <w:bookmarkStart w:id="107" w:name="_Toc429307991"/>
      <w:bookmarkStart w:id="108" w:name="_Toc423079062"/>
      <w:bookmarkStart w:id="109" w:name="_Toc421053066"/>
      <w:bookmarkStart w:id="110" w:name="_Toc421087976"/>
      <w:bookmarkStart w:id="111" w:name="_Toc419969249"/>
      <w:bookmarkStart w:id="112" w:name="_Toc32499"/>
      <w:bookmarkStart w:id="113" w:name="_Toc420709136"/>
      <w:bookmarkStart w:id="114" w:name="_Toc23039"/>
      <w:r>
        <w:rPr>
          <w:color w:val="auto"/>
          <w:sz w:val="28"/>
          <w:szCs w:val="28"/>
          <w:highlight w:val="none"/>
        </w:rPr>
        <w:t>九、结论与建议</w:t>
      </w:r>
      <w:bookmarkEnd w:id="105"/>
      <w:bookmarkEnd w:id="106"/>
      <w:bookmarkEnd w:id="107"/>
      <w:bookmarkEnd w:id="108"/>
      <w:bookmarkEnd w:id="109"/>
      <w:bookmarkEnd w:id="110"/>
      <w:bookmarkEnd w:id="111"/>
      <w:bookmarkEnd w:id="112"/>
      <w:bookmarkEnd w:id="113"/>
      <w:bookmarkEnd w:id="114"/>
    </w:p>
    <w:tbl>
      <w:tblPr>
        <w:tblStyle w:val="34"/>
        <w:tblW w:w="92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
        <w:gridCol w:w="9119"/>
        <w:gridCol w:w="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1" w:type="dxa"/>
          <w:trHeight w:val="10499" w:hRule="atLeast"/>
          <w:jc w:val="center"/>
        </w:trPr>
        <w:tc>
          <w:tcPr>
            <w:tcW w:w="9181" w:type="dxa"/>
            <w:gridSpan w:val="2"/>
            <w:tcBorders>
              <w:top w:val="single" w:color="auto" w:sz="12" w:space="0"/>
            </w:tcBorders>
          </w:tcPr>
          <w:p>
            <w:pPr>
              <w:spacing w:line="360" w:lineRule="auto"/>
              <w:rPr>
                <w:color w:val="auto"/>
                <w:sz w:val="24"/>
                <w:szCs w:val="24"/>
                <w:highlight w:val="none"/>
              </w:rPr>
            </w:pPr>
            <w:r>
              <w:rPr>
                <w:color w:val="auto"/>
                <w:sz w:val="24"/>
                <w:szCs w:val="24"/>
                <w:highlight w:val="none"/>
              </w:rPr>
              <w:t>一、结论</w:t>
            </w:r>
          </w:p>
          <w:p>
            <w:pPr>
              <w:spacing w:line="360" w:lineRule="auto"/>
              <w:ind w:firstLine="480" w:firstLineChars="200"/>
              <w:rPr>
                <w:color w:val="auto"/>
                <w:sz w:val="24"/>
                <w:szCs w:val="24"/>
                <w:highlight w:val="none"/>
              </w:rPr>
            </w:pPr>
            <w:r>
              <w:rPr>
                <w:color w:val="auto"/>
                <w:sz w:val="24"/>
                <w:szCs w:val="24"/>
                <w:highlight w:val="none"/>
              </w:rPr>
              <w:t>1、项目概况</w:t>
            </w:r>
          </w:p>
          <w:p>
            <w:pPr>
              <w:spacing w:line="360" w:lineRule="auto"/>
              <w:ind w:firstLine="480" w:firstLineChars="200"/>
              <w:rPr>
                <w:color w:val="auto"/>
                <w:sz w:val="24"/>
                <w:szCs w:val="24"/>
                <w:highlight w:val="none"/>
              </w:rPr>
            </w:pPr>
            <w:r>
              <w:rPr>
                <w:rFonts w:hint="eastAsia"/>
                <w:color w:val="auto"/>
                <w:sz w:val="24"/>
                <w:szCs w:val="22"/>
                <w:highlight w:val="none"/>
                <w:lang w:eastAsia="zh-CN"/>
              </w:rPr>
              <w:t>开平市水口镇海旺五金制品厂年产五金卫浴配件30吨项目</w:t>
            </w:r>
            <w:r>
              <w:rPr>
                <w:color w:val="auto"/>
                <w:sz w:val="24"/>
                <w:szCs w:val="24"/>
                <w:highlight w:val="none"/>
              </w:rPr>
              <w:t>位</w:t>
            </w:r>
            <w:r>
              <w:rPr>
                <w:rFonts w:hint="eastAsia"/>
                <w:color w:val="auto"/>
                <w:sz w:val="24"/>
                <w:szCs w:val="22"/>
                <w:highlight w:val="none"/>
                <w:lang w:eastAsia="zh-CN"/>
              </w:rPr>
              <w:t>于</w:t>
            </w:r>
            <w:r>
              <w:rPr>
                <w:rFonts w:hint="eastAsia"/>
                <w:b w:val="0"/>
                <w:bCs w:val="0"/>
                <w:color w:val="auto"/>
                <w:sz w:val="24"/>
                <w:szCs w:val="22"/>
                <w:highlight w:val="none"/>
                <w:lang w:eastAsia="zh-CN"/>
              </w:rPr>
              <w:t>开平市水口镇第二工业园合龙路A15-1号之一</w:t>
            </w:r>
            <w:r>
              <w:rPr>
                <w:color w:val="auto"/>
                <w:sz w:val="24"/>
                <w:szCs w:val="24"/>
                <w:highlight w:val="none"/>
              </w:rPr>
              <w:t>，中心位置坐标为（N</w:t>
            </w:r>
            <w:r>
              <w:rPr>
                <w:rFonts w:hint="default" w:ascii="Times New Roman" w:hAnsi="Times New Roman" w:eastAsia="宋体" w:cs="Times New Roman"/>
                <w:color w:val="auto"/>
                <w:sz w:val="24"/>
                <w:szCs w:val="22"/>
                <w:highlight w:val="none"/>
                <w:lang w:eastAsia="zh-CN"/>
              </w:rPr>
              <w:t>22.4502173°</w:t>
            </w:r>
            <w:r>
              <w:rPr>
                <w:color w:val="auto"/>
                <w:sz w:val="24"/>
                <w:szCs w:val="24"/>
                <w:highlight w:val="none"/>
              </w:rPr>
              <w:t>，E</w:t>
            </w:r>
            <w:r>
              <w:rPr>
                <w:rFonts w:hint="default" w:ascii="Times New Roman" w:hAnsi="Times New Roman" w:eastAsia="宋体" w:cs="Times New Roman"/>
                <w:color w:val="auto"/>
                <w:sz w:val="24"/>
                <w:szCs w:val="22"/>
                <w:highlight w:val="none"/>
                <w:lang w:eastAsia="zh-CN"/>
              </w:rPr>
              <w:t>112.777926°</w:t>
            </w:r>
            <w:r>
              <w:rPr>
                <w:color w:val="auto"/>
                <w:sz w:val="24"/>
                <w:szCs w:val="24"/>
                <w:highlight w:val="none"/>
              </w:rPr>
              <w:t>）。项目占地面积</w:t>
            </w:r>
            <w:r>
              <w:rPr>
                <w:rFonts w:hint="eastAsia"/>
                <w:color w:val="auto"/>
                <w:sz w:val="24"/>
                <w:szCs w:val="24"/>
                <w:highlight w:val="none"/>
                <w:lang w:val="en-US" w:eastAsia="zh-CN"/>
              </w:rPr>
              <w:t>1000</w:t>
            </w:r>
            <w:r>
              <w:rPr>
                <w:color w:val="auto"/>
                <w:sz w:val="24"/>
                <w:szCs w:val="24"/>
                <w:highlight w:val="none"/>
              </w:rPr>
              <w:t>平方米，</w:t>
            </w:r>
            <w:r>
              <w:rPr>
                <w:rFonts w:hint="eastAsia"/>
                <w:color w:val="auto"/>
                <w:sz w:val="24"/>
                <w:szCs w:val="24"/>
                <w:highlight w:val="none"/>
                <w:lang w:eastAsia="zh-CN"/>
              </w:rPr>
              <w:t>建筑面积</w:t>
            </w:r>
            <w:r>
              <w:rPr>
                <w:rFonts w:hint="eastAsia"/>
                <w:color w:val="auto"/>
                <w:sz w:val="24"/>
                <w:szCs w:val="24"/>
                <w:highlight w:val="none"/>
                <w:lang w:val="en-US" w:eastAsia="zh-CN"/>
              </w:rPr>
              <w:t>1000</w:t>
            </w:r>
            <w:r>
              <w:rPr>
                <w:color w:val="auto"/>
                <w:sz w:val="24"/>
                <w:szCs w:val="24"/>
                <w:highlight w:val="none"/>
              </w:rPr>
              <w:t>平方米，总投资</w:t>
            </w:r>
            <w:r>
              <w:rPr>
                <w:rFonts w:hint="eastAsia"/>
                <w:color w:val="auto"/>
                <w:sz w:val="24"/>
                <w:szCs w:val="24"/>
                <w:highlight w:val="none"/>
                <w:lang w:val="en-US" w:eastAsia="zh-CN"/>
              </w:rPr>
              <w:t>50</w:t>
            </w:r>
            <w:r>
              <w:rPr>
                <w:color w:val="auto"/>
                <w:sz w:val="24"/>
                <w:szCs w:val="24"/>
                <w:highlight w:val="none"/>
              </w:rPr>
              <w:t>万元。</w:t>
            </w:r>
            <w:r>
              <w:rPr>
                <w:rFonts w:hint="eastAsia"/>
                <w:color w:val="auto"/>
                <w:sz w:val="24"/>
                <w:szCs w:val="24"/>
                <w:highlight w:val="none"/>
              </w:rPr>
              <w:t>主要从事</w:t>
            </w:r>
            <w:r>
              <w:rPr>
                <w:rFonts w:hint="eastAsia"/>
                <w:color w:val="auto"/>
                <w:sz w:val="24"/>
                <w:highlight w:val="none"/>
                <w:lang w:eastAsia="zh-CN"/>
              </w:rPr>
              <w:t>五金卫浴配件</w:t>
            </w:r>
            <w:r>
              <w:rPr>
                <w:rFonts w:hint="eastAsia"/>
                <w:color w:val="auto"/>
                <w:sz w:val="24"/>
                <w:szCs w:val="24"/>
                <w:highlight w:val="none"/>
                <w:lang w:eastAsia="zh-CN"/>
              </w:rPr>
              <w:t>加工</w:t>
            </w:r>
            <w:r>
              <w:rPr>
                <w:color w:val="auto"/>
                <w:sz w:val="24"/>
                <w:szCs w:val="24"/>
                <w:highlight w:val="none"/>
              </w:rPr>
              <w:t>。</w:t>
            </w:r>
            <w:r>
              <w:rPr>
                <w:rFonts w:hint="eastAsia"/>
                <w:color w:val="auto"/>
                <w:sz w:val="24"/>
                <w:szCs w:val="24"/>
                <w:highlight w:val="none"/>
                <w:lang w:eastAsia="zh-CN"/>
              </w:rPr>
              <w:t>生产能力：</w:t>
            </w:r>
            <w:r>
              <w:rPr>
                <w:rFonts w:hint="eastAsia"/>
                <w:color w:val="auto"/>
                <w:sz w:val="24"/>
                <w:highlight w:val="none"/>
                <w:lang w:eastAsia="zh-CN"/>
              </w:rPr>
              <w:t>五金卫浴配件</w:t>
            </w:r>
            <w:r>
              <w:rPr>
                <w:rFonts w:hint="eastAsia"/>
                <w:color w:val="auto"/>
                <w:sz w:val="24"/>
                <w:szCs w:val="24"/>
                <w:highlight w:val="none"/>
                <w:lang w:val="en-US" w:eastAsia="zh-CN"/>
              </w:rPr>
              <w:t>30吨/年</w:t>
            </w:r>
            <w:r>
              <w:rPr>
                <w:rFonts w:hint="eastAsia"/>
                <w:color w:val="auto"/>
                <w:sz w:val="24"/>
                <w:szCs w:val="24"/>
                <w:highlight w:val="none"/>
                <w:lang w:eastAsia="zh-CN"/>
              </w:rPr>
              <w:t>。</w:t>
            </w:r>
          </w:p>
          <w:p>
            <w:pPr>
              <w:spacing w:line="360" w:lineRule="auto"/>
              <w:ind w:firstLine="480" w:firstLineChars="200"/>
              <w:rPr>
                <w:color w:val="auto"/>
                <w:sz w:val="24"/>
                <w:szCs w:val="24"/>
                <w:highlight w:val="none"/>
              </w:rPr>
            </w:pPr>
            <w:r>
              <w:rPr>
                <w:color w:val="auto"/>
                <w:sz w:val="24"/>
                <w:szCs w:val="24"/>
                <w:highlight w:val="none"/>
              </w:rPr>
              <w:t>2、环境质量现状结论</w:t>
            </w:r>
          </w:p>
          <w:p>
            <w:pPr>
              <w:widowControl/>
              <w:spacing w:line="360" w:lineRule="auto"/>
              <w:ind w:firstLine="480" w:firstLineChars="200"/>
              <w:rPr>
                <w:color w:val="auto"/>
                <w:sz w:val="24"/>
                <w:szCs w:val="24"/>
                <w:highlight w:val="none"/>
              </w:rPr>
            </w:pPr>
            <w:r>
              <w:rPr>
                <w:color w:val="auto"/>
                <w:sz w:val="24"/>
                <w:szCs w:val="24"/>
                <w:highlight w:val="none"/>
              </w:rPr>
              <w:t>⑴地表水环境质量现状评价</w:t>
            </w:r>
          </w:p>
          <w:p>
            <w:pPr>
              <w:widowControl/>
              <w:spacing w:line="360" w:lineRule="auto"/>
              <w:ind w:firstLine="480" w:firstLineChars="200"/>
              <w:rPr>
                <w:rFonts w:hint="eastAsia" w:cs="Times New Roman"/>
                <w:b w:val="0"/>
                <w:bCs/>
                <w:color w:val="auto"/>
                <w:sz w:val="24"/>
                <w:highlight w:val="none"/>
                <w:shd w:val="clear" w:color="auto" w:fill="auto"/>
                <w:lang w:eastAsia="zh-CN"/>
              </w:rPr>
            </w:pPr>
            <w:r>
              <w:rPr>
                <w:rFonts w:hint="default" w:ascii="Times New Roman" w:hAnsi="Times New Roman" w:cs="Times New Roman"/>
                <w:b w:val="0"/>
                <w:bCs/>
                <w:color w:val="auto"/>
                <w:sz w:val="24"/>
                <w:highlight w:val="none"/>
                <w:shd w:val="clear" w:color="auto" w:fill="auto"/>
              </w:rPr>
              <w:t>根据江门市生态环境局发布的《2018年11月江门市江河水水质月报》，潭江干流牛湾（退潮）断面地表水水质未能达到《地表水环境质量标准》（GB3838-2002）</w:t>
            </w:r>
            <w:r>
              <w:rPr>
                <w:rFonts w:hint="eastAsia" w:cs="Times New Roman"/>
                <w:b w:val="0"/>
                <w:bCs/>
                <w:color w:val="auto"/>
                <w:sz w:val="24"/>
                <w:highlight w:val="none"/>
                <w:shd w:val="clear" w:color="auto" w:fill="auto"/>
                <w:lang w:val="en-US" w:eastAsia="zh-CN"/>
              </w:rPr>
              <w:t>II</w:t>
            </w:r>
            <w:r>
              <w:rPr>
                <w:rFonts w:hint="default" w:ascii="Times New Roman" w:hAnsi="Times New Roman" w:cs="Times New Roman"/>
                <w:b w:val="0"/>
                <w:bCs/>
                <w:color w:val="auto"/>
                <w:sz w:val="24"/>
                <w:highlight w:val="none"/>
                <w:shd w:val="clear" w:color="auto" w:fill="auto"/>
              </w:rPr>
              <w:t>类标准的要求</w:t>
            </w:r>
            <w:r>
              <w:rPr>
                <w:rFonts w:hint="eastAsia" w:cs="Times New Roman"/>
                <w:b w:val="0"/>
                <w:bCs/>
                <w:color w:val="auto"/>
                <w:sz w:val="24"/>
                <w:highlight w:val="none"/>
                <w:shd w:val="clear" w:color="auto" w:fill="auto"/>
                <w:lang w:eastAsia="zh-CN"/>
              </w:rPr>
              <w:t>，说明本项目地表水环境质量一般，故该区域为地表水环境质量不达标区域。</w:t>
            </w:r>
          </w:p>
          <w:p>
            <w:pPr>
              <w:widowControl/>
              <w:spacing w:line="360" w:lineRule="auto"/>
              <w:ind w:firstLine="480" w:firstLineChars="200"/>
              <w:rPr>
                <w:color w:val="auto"/>
                <w:sz w:val="24"/>
                <w:szCs w:val="24"/>
                <w:highlight w:val="none"/>
              </w:rPr>
            </w:pPr>
            <w:r>
              <w:rPr>
                <w:color w:val="auto"/>
                <w:sz w:val="24"/>
                <w:szCs w:val="24"/>
                <w:highlight w:val="none"/>
              </w:rPr>
              <w:t>⑵环境空气质量现状评价</w:t>
            </w:r>
          </w:p>
          <w:p>
            <w:pPr>
              <w:spacing w:line="360" w:lineRule="auto"/>
              <w:ind w:firstLine="480" w:firstLineChars="200"/>
              <w:rPr>
                <w:color w:val="auto"/>
                <w:sz w:val="24"/>
                <w:szCs w:val="24"/>
                <w:highlight w:val="none"/>
              </w:rPr>
            </w:pPr>
            <w:r>
              <w:rPr>
                <w:rFonts w:hint="eastAsia" w:cs="Times New Roman"/>
                <w:color w:val="auto"/>
                <w:kern w:val="2"/>
                <w:sz w:val="24"/>
                <w:szCs w:val="24"/>
                <w:highlight w:val="none"/>
                <w:lang w:val="en-US" w:eastAsia="zh-CN" w:bidi="ar-SA"/>
              </w:rPr>
              <w:t>由表3-2可见，该地区</w:t>
            </w:r>
            <w:r>
              <w:rPr>
                <w:rFonts w:hint="eastAsia" w:ascii="Times New Roman" w:hAnsi="Times New Roman" w:eastAsia="宋体" w:cs="Times New Roman"/>
                <w:b w:val="0"/>
                <w:bCs/>
                <w:color w:val="auto"/>
                <w:kern w:val="2"/>
                <w:sz w:val="24"/>
                <w:szCs w:val="24"/>
                <w:highlight w:val="none"/>
                <w:vertAlign w:val="baseline"/>
                <w:lang w:val="en-US" w:eastAsia="zh-CN" w:bidi="ar-SA"/>
              </w:rPr>
              <w:t>SO</w:t>
            </w:r>
            <w:r>
              <w:rPr>
                <w:rFonts w:hint="eastAsia" w:ascii="Times New Roman" w:hAnsi="Times New Roman" w:eastAsia="宋体" w:cs="Times New Roman"/>
                <w:b w:val="0"/>
                <w:bCs/>
                <w:color w:val="auto"/>
                <w:kern w:val="2"/>
                <w:sz w:val="24"/>
                <w:szCs w:val="24"/>
                <w:highlight w:val="none"/>
                <w:vertAlign w:val="subscript"/>
                <w:lang w:val="en-US" w:eastAsia="zh-CN" w:bidi="ar-SA"/>
              </w:rPr>
              <w:t>2</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NO</w:t>
            </w:r>
            <w:r>
              <w:rPr>
                <w:rFonts w:hint="eastAsia" w:ascii="Times New Roman" w:hAnsi="Times New Roman" w:eastAsia="宋体" w:cs="Times New Roman"/>
                <w:b w:val="0"/>
                <w:bCs/>
                <w:color w:val="auto"/>
                <w:kern w:val="2"/>
                <w:sz w:val="24"/>
                <w:szCs w:val="24"/>
                <w:highlight w:val="none"/>
                <w:vertAlign w:val="subscript"/>
                <w:lang w:val="en-US" w:eastAsia="zh-CN" w:bidi="ar-SA"/>
              </w:rPr>
              <w:t>2</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PM</w:t>
            </w:r>
            <w:r>
              <w:rPr>
                <w:rFonts w:hint="eastAsia" w:ascii="Times New Roman" w:hAnsi="Times New Roman" w:eastAsia="宋体" w:cs="Times New Roman"/>
                <w:b w:val="0"/>
                <w:bCs/>
                <w:color w:val="auto"/>
                <w:kern w:val="2"/>
                <w:sz w:val="24"/>
                <w:szCs w:val="24"/>
                <w:highlight w:val="none"/>
                <w:vertAlign w:val="subscript"/>
                <w:lang w:val="en-US" w:eastAsia="zh-CN" w:bidi="ar-SA"/>
              </w:rPr>
              <w:t>2.5</w:t>
            </w:r>
            <w:r>
              <w:rPr>
                <w:rFonts w:hint="eastAsia" w:cs="Times New Roman"/>
                <w:b w:val="0"/>
                <w:bCs/>
                <w:color w:val="auto"/>
                <w:kern w:val="2"/>
                <w:sz w:val="24"/>
                <w:szCs w:val="24"/>
                <w:highlight w:val="none"/>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PM</w:t>
            </w:r>
            <w:r>
              <w:rPr>
                <w:rFonts w:hint="eastAsia" w:cs="Times New Roman"/>
                <w:b w:val="0"/>
                <w:bCs/>
                <w:color w:val="auto"/>
                <w:kern w:val="2"/>
                <w:sz w:val="24"/>
                <w:szCs w:val="24"/>
                <w:highlight w:val="none"/>
                <w:vertAlign w:val="subscript"/>
                <w:lang w:val="en-US" w:eastAsia="zh-CN" w:bidi="ar-SA"/>
              </w:rPr>
              <w:t>10</w:t>
            </w:r>
            <w:r>
              <w:rPr>
                <w:rFonts w:hint="eastAsia" w:cs="Times New Roman"/>
                <w:b w:val="0"/>
                <w:bCs/>
                <w:color w:val="auto"/>
                <w:kern w:val="2"/>
                <w:sz w:val="24"/>
                <w:szCs w:val="24"/>
                <w:highlight w:val="none"/>
                <w:vertAlign w:val="baseline"/>
                <w:lang w:val="en-US" w:eastAsia="zh-CN" w:bidi="ar-SA"/>
              </w:rPr>
              <w:t>年平均质量浓度以及CO日均值第95百分位数浓度均满足《环境空气质量标准》（GB3095-2012）及2018年修改单二级标准要求，O</w:t>
            </w:r>
            <w:r>
              <w:rPr>
                <w:rFonts w:hint="eastAsia" w:cs="Times New Roman"/>
                <w:b w:val="0"/>
                <w:bCs/>
                <w:color w:val="auto"/>
                <w:kern w:val="2"/>
                <w:sz w:val="24"/>
                <w:szCs w:val="24"/>
                <w:highlight w:val="none"/>
                <w:vertAlign w:val="subscript"/>
                <w:lang w:val="en-US" w:eastAsia="zh-CN" w:bidi="ar-SA"/>
              </w:rPr>
              <w:t>3</w:t>
            </w:r>
            <w:r>
              <w:rPr>
                <w:rFonts w:hint="eastAsia" w:cs="Times New Roman"/>
                <w:b w:val="0"/>
                <w:bCs/>
                <w:color w:val="auto"/>
                <w:kern w:val="2"/>
                <w:sz w:val="24"/>
                <w:szCs w:val="24"/>
                <w:highlight w:val="none"/>
                <w:vertAlign w:val="baseline"/>
                <w:lang w:val="en-US" w:eastAsia="zh-CN" w:bidi="ar-SA"/>
              </w:rPr>
              <w:t>日最大8小时平均第90百分位数不能满足《环境空气质量标准》（GB3095-2012）及2018年修改单二级标准要求，故该区域为环境空气质量不达标区域。</w:t>
            </w:r>
          </w:p>
          <w:p>
            <w:pPr>
              <w:spacing w:line="360" w:lineRule="auto"/>
              <w:ind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3 \* GB2 \* MERGEFORMAT </w:instrText>
            </w:r>
            <w:r>
              <w:rPr>
                <w:color w:val="auto"/>
                <w:sz w:val="24"/>
                <w:szCs w:val="24"/>
                <w:highlight w:val="none"/>
              </w:rPr>
              <w:fldChar w:fldCharType="separate"/>
            </w:r>
            <w:r>
              <w:rPr>
                <w:color w:val="auto"/>
                <w:sz w:val="24"/>
                <w:szCs w:val="24"/>
                <w:highlight w:val="none"/>
              </w:rPr>
              <w:t>⑶</w:t>
            </w:r>
            <w:r>
              <w:rPr>
                <w:color w:val="auto"/>
                <w:sz w:val="24"/>
                <w:szCs w:val="24"/>
                <w:highlight w:val="none"/>
              </w:rPr>
              <w:fldChar w:fldCharType="end"/>
            </w:r>
            <w:r>
              <w:rPr>
                <w:color w:val="auto"/>
                <w:sz w:val="24"/>
                <w:szCs w:val="24"/>
                <w:highlight w:val="none"/>
              </w:rPr>
              <w:t>声环境质量现状评价</w:t>
            </w:r>
          </w:p>
          <w:p>
            <w:pPr>
              <w:adjustRightInd w:val="0"/>
              <w:snapToGrid w:val="0"/>
              <w:spacing w:line="360" w:lineRule="auto"/>
              <w:ind w:firstLine="480" w:firstLineChars="200"/>
              <w:rPr>
                <w:color w:val="auto"/>
                <w:sz w:val="24"/>
                <w:szCs w:val="24"/>
                <w:highlight w:val="none"/>
              </w:rPr>
            </w:pPr>
            <w:r>
              <w:rPr>
                <w:color w:val="auto"/>
                <w:sz w:val="24"/>
                <w:szCs w:val="24"/>
                <w:highlight w:val="none"/>
              </w:rPr>
              <w:t>从监测结果可以看出，</w:t>
            </w:r>
            <w:r>
              <w:rPr>
                <w:rFonts w:hint="eastAsia" w:ascii="Times New Roman" w:hAnsi="Times New Roman"/>
                <w:color w:val="auto"/>
                <w:sz w:val="24"/>
                <w:highlight w:val="none"/>
              </w:rPr>
              <w:t>项目</w:t>
            </w:r>
            <w:r>
              <w:rPr>
                <w:rFonts w:hint="eastAsia" w:ascii="Times New Roman" w:hAnsi="Times New Roman"/>
                <w:color w:val="auto"/>
                <w:kern w:val="0"/>
                <w:sz w:val="24"/>
                <w:highlight w:val="none"/>
              </w:rPr>
              <w:t>厂界</w:t>
            </w:r>
            <w:r>
              <w:rPr>
                <w:color w:val="auto"/>
                <w:sz w:val="24"/>
                <w:szCs w:val="24"/>
                <w:highlight w:val="none"/>
              </w:rPr>
              <w:t>监测点昼夜间噪声值达到《声环境质量标准》（GB3096-2008）</w:t>
            </w:r>
            <w:r>
              <w:rPr>
                <w:rFonts w:hint="eastAsia"/>
                <w:color w:val="auto"/>
                <w:sz w:val="24"/>
                <w:szCs w:val="24"/>
                <w:highlight w:val="none"/>
              </w:rPr>
              <w:t>2</w:t>
            </w:r>
            <w:r>
              <w:rPr>
                <w:color w:val="auto"/>
                <w:sz w:val="24"/>
                <w:szCs w:val="24"/>
                <w:highlight w:val="none"/>
              </w:rPr>
              <w:t>类标准（即昼间6</w:t>
            </w:r>
            <w:r>
              <w:rPr>
                <w:rFonts w:hint="eastAsia"/>
                <w:color w:val="auto"/>
                <w:sz w:val="24"/>
                <w:szCs w:val="24"/>
                <w:highlight w:val="none"/>
              </w:rPr>
              <w:t>0</w:t>
            </w:r>
            <w:r>
              <w:rPr>
                <w:color w:val="auto"/>
                <w:sz w:val="24"/>
                <w:szCs w:val="24"/>
                <w:highlight w:val="none"/>
              </w:rPr>
              <w:t>dB（A）、夜间5</w:t>
            </w:r>
            <w:r>
              <w:rPr>
                <w:rFonts w:hint="eastAsia"/>
                <w:color w:val="auto"/>
                <w:sz w:val="24"/>
                <w:szCs w:val="24"/>
                <w:highlight w:val="none"/>
              </w:rPr>
              <w:t>0</w:t>
            </w:r>
            <w:r>
              <w:rPr>
                <w:color w:val="auto"/>
                <w:sz w:val="24"/>
                <w:szCs w:val="24"/>
                <w:highlight w:val="none"/>
              </w:rPr>
              <w:t>dB（A）），所在地周边声环境质量良好。</w:t>
            </w:r>
          </w:p>
          <w:p>
            <w:pPr>
              <w:adjustRightInd w:val="0"/>
              <w:snapToGrid w:val="0"/>
              <w:spacing w:line="360" w:lineRule="auto"/>
              <w:ind w:firstLine="480" w:firstLineChars="200"/>
              <w:rPr>
                <w:color w:val="auto"/>
                <w:sz w:val="24"/>
                <w:szCs w:val="24"/>
                <w:highlight w:val="none"/>
              </w:rPr>
            </w:pPr>
            <w:r>
              <w:rPr>
                <w:color w:val="auto"/>
                <w:sz w:val="24"/>
                <w:szCs w:val="24"/>
                <w:highlight w:val="none"/>
              </w:rPr>
              <w:t>3、运营期环境影响分析结论</w:t>
            </w:r>
          </w:p>
          <w:p>
            <w:pPr>
              <w:adjustRightInd w:val="0"/>
              <w:snapToGrid w:val="0"/>
              <w:spacing w:line="360" w:lineRule="auto"/>
              <w:ind w:firstLine="480" w:firstLineChars="200"/>
              <w:rPr>
                <w:color w:val="auto"/>
                <w:sz w:val="24"/>
                <w:szCs w:val="24"/>
                <w:highlight w:val="none"/>
              </w:rPr>
            </w:pPr>
            <w:r>
              <w:rPr>
                <w:color w:val="auto"/>
                <w:sz w:val="24"/>
                <w:szCs w:val="24"/>
                <w:highlight w:val="none"/>
              </w:rPr>
              <w:t>⑴污水环境影响分析结论</w:t>
            </w:r>
          </w:p>
          <w:p>
            <w:pPr>
              <w:pStyle w:val="24"/>
              <w:spacing w:line="360" w:lineRule="auto"/>
              <w:ind w:left="420" w:leftChars="200"/>
              <w:rPr>
                <w:rFonts w:ascii="Times New Roman" w:hAnsi="Times New Roman"/>
                <w:b w:val="0"/>
                <w:bCs w:val="0"/>
                <w:color w:val="auto"/>
                <w:sz w:val="24"/>
                <w:szCs w:val="24"/>
                <w:highlight w:val="none"/>
              </w:rPr>
            </w:pPr>
            <w:r>
              <w:rPr>
                <w:rFonts w:hint="eastAsia" w:hAnsi="宋体" w:cs="宋体"/>
                <w:b w:val="0"/>
                <w:bCs w:val="0"/>
                <w:color w:val="auto"/>
                <w:kern w:val="0"/>
                <w:sz w:val="24"/>
                <w:szCs w:val="24"/>
                <w:highlight w:val="none"/>
              </w:rPr>
              <w:t>◇</w:t>
            </w:r>
            <w:r>
              <w:rPr>
                <w:rFonts w:hint="eastAsia" w:ascii="Times New Roman" w:hAnsi="Times New Roman"/>
                <w:b w:val="0"/>
                <w:bCs w:val="0"/>
                <w:color w:val="auto"/>
                <w:sz w:val="24"/>
                <w:szCs w:val="24"/>
                <w:highlight w:val="none"/>
              </w:rPr>
              <w:t>生活污水</w:t>
            </w:r>
          </w:p>
          <w:p>
            <w:pPr>
              <w:pStyle w:val="24"/>
              <w:spacing w:line="360" w:lineRule="auto"/>
              <w:ind w:firstLine="480" w:firstLineChars="200"/>
              <w:rPr>
                <w:rFonts w:ascii="Times New Roman" w:hAnsi="Times New Roman"/>
                <w:bCs/>
                <w:color w:val="auto"/>
                <w:kern w:val="0"/>
                <w:sz w:val="24"/>
                <w:szCs w:val="22"/>
                <w:highlight w:val="none"/>
              </w:rPr>
            </w:pPr>
            <w:r>
              <w:rPr>
                <w:rFonts w:hint="eastAsia" w:ascii="Times New Roman" w:hAnsi="Times New Roman"/>
                <w:color w:val="auto"/>
                <w:sz w:val="24"/>
                <w:highlight w:val="none"/>
                <w:lang w:eastAsia="zh-CN"/>
              </w:rPr>
              <w:t>项目</w:t>
            </w:r>
            <w:r>
              <w:rPr>
                <w:rFonts w:hint="eastAsia" w:ascii="Times New Roman" w:hAnsi="Times New Roman"/>
                <w:bCs/>
                <w:color w:val="auto"/>
                <w:kern w:val="0"/>
                <w:sz w:val="24"/>
                <w:szCs w:val="22"/>
                <w:highlight w:val="none"/>
              </w:rPr>
              <w:t>员工人数</w:t>
            </w:r>
            <w:r>
              <w:rPr>
                <w:rFonts w:hint="eastAsia" w:ascii="Times New Roman" w:hAnsi="Times New Roman"/>
                <w:bCs/>
                <w:color w:val="auto"/>
                <w:kern w:val="0"/>
                <w:sz w:val="24"/>
                <w:szCs w:val="22"/>
                <w:highlight w:val="none"/>
                <w:lang w:val="en-US" w:eastAsia="zh-CN"/>
              </w:rPr>
              <w:t>5</w:t>
            </w:r>
            <w:r>
              <w:rPr>
                <w:rFonts w:hint="eastAsia" w:ascii="Times New Roman" w:hAnsi="Times New Roman"/>
                <w:bCs/>
                <w:color w:val="auto"/>
                <w:kern w:val="0"/>
                <w:sz w:val="24"/>
                <w:szCs w:val="22"/>
                <w:highlight w:val="none"/>
              </w:rPr>
              <w:t>人，</w:t>
            </w:r>
            <w:r>
              <w:rPr>
                <w:rFonts w:hint="eastAsia"/>
                <w:color w:val="auto"/>
                <w:sz w:val="24"/>
                <w:szCs w:val="24"/>
                <w:highlight w:val="none"/>
                <w:lang w:eastAsia="zh-CN"/>
              </w:rPr>
              <w:t>不设置食堂及</w:t>
            </w:r>
            <w:r>
              <w:rPr>
                <w:color w:val="auto"/>
                <w:sz w:val="24"/>
                <w:szCs w:val="24"/>
                <w:highlight w:val="none"/>
              </w:rPr>
              <w:t>员工宿舍</w:t>
            </w:r>
            <w:r>
              <w:rPr>
                <w:rFonts w:hint="eastAsia" w:ascii="Times New Roman" w:hAnsi="Times New Roman"/>
                <w:bCs/>
                <w:color w:val="auto"/>
                <w:kern w:val="0"/>
                <w:sz w:val="24"/>
                <w:szCs w:val="22"/>
                <w:highlight w:val="none"/>
                <w:lang w:eastAsia="zh-CN"/>
              </w:rPr>
              <w:t>。</w:t>
            </w:r>
            <w:r>
              <w:rPr>
                <w:rFonts w:hint="eastAsia" w:ascii="Times New Roman" w:hAnsi="Times New Roman"/>
                <w:bCs/>
                <w:color w:val="auto"/>
                <w:kern w:val="0"/>
                <w:sz w:val="24"/>
                <w:szCs w:val="22"/>
                <w:highlight w:val="none"/>
              </w:rPr>
              <w:t>废水来源于从业人员在工作时产生的生活污水，主要为洗手和冲便废水，废水产生量为</w:t>
            </w:r>
            <w:r>
              <w:rPr>
                <w:rFonts w:hint="eastAsia" w:ascii="Times New Roman" w:hAnsi="Times New Roman"/>
                <w:bCs/>
                <w:color w:val="auto"/>
                <w:kern w:val="0"/>
                <w:sz w:val="24"/>
                <w:szCs w:val="22"/>
                <w:highlight w:val="none"/>
                <w:lang w:val="en-US" w:eastAsia="zh-CN"/>
              </w:rPr>
              <w:t>54</w:t>
            </w:r>
            <w:r>
              <w:rPr>
                <w:rFonts w:hint="eastAsia" w:ascii="Times New Roman" w:hAnsi="Times New Roman"/>
                <w:bCs/>
                <w:color w:val="auto"/>
                <w:kern w:val="0"/>
                <w:sz w:val="24"/>
                <w:szCs w:val="22"/>
                <w:highlight w:val="none"/>
              </w:rPr>
              <w:t>m</w:t>
            </w:r>
            <w:r>
              <w:rPr>
                <w:rFonts w:hint="eastAsia" w:ascii="Times New Roman" w:hAnsi="Times New Roman"/>
                <w:bCs/>
                <w:color w:val="auto"/>
                <w:kern w:val="0"/>
                <w:sz w:val="24"/>
                <w:szCs w:val="22"/>
                <w:highlight w:val="none"/>
                <w:vertAlign w:val="superscript"/>
              </w:rPr>
              <w:t>3</w:t>
            </w:r>
            <w:r>
              <w:rPr>
                <w:rFonts w:hint="eastAsia" w:ascii="Times New Roman" w:hAnsi="Times New Roman"/>
                <w:bCs/>
                <w:color w:val="auto"/>
                <w:kern w:val="0"/>
                <w:sz w:val="24"/>
                <w:szCs w:val="22"/>
                <w:highlight w:val="none"/>
              </w:rPr>
              <w:t>/a，废水的污染物主要是COD</w:t>
            </w:r>
            <w:r>
              <w:rPr>
                <w:rFonts w:hint="eastAsia" w:ascii="Times New Roman" w:hAnsi="Times New Roman"/>
                <w:bCs/>
                <w:color w:val="auto"/>
                <w:kern w:val="0"/>
                <w:sz w:val="24"/>
                <w:szCs w:val="22"/>
                <w:highlight w:val="none"/>
                <w:vertAlign w:val="subscript"/>
              </w:rPr>
              <w:t>Cr</w:t>
            </w:r>
            <w:r>
              <w:rPr>
                <w:rFonts w:hint="eastAsia" w:ascii="Times New Roman" w:hAnsi="Times New Roman"/>
                <w:bCs/>
                <w:color w:val="auto"/>
                <w:kern w:val="0"/>
                <w:sz w:val="24"/>
                <w:szCs w:val="22"/>
                <w:highlight w:val="none"/>
              </w:rPr>
              <w:t>、BOD</w:t>
            </w:r>
            <w:r>
              <w:rPr>
                <w:rFonts w:hint="eastAsia" w:ascii="Times New Roman" w:hAnsi="Times New Roman"/>
                <w:bCs/>
                <w:color w:val="auto"/>
                <w:kern w:val="0"/>
                <w:sz w:val="24"/>
                <w:szCs w:val="22"/>
                <w:highlight w:val="none"/>
                <w:vertAlign w:val="subscript"/>
              </w:rPr>
              <w:t>5</w:t>
            </w:r>
            <w:r>
              <w:rPr>
                <w:rFonts w:hint="eastAsia" w:ascii="Times New Roman" w:hAnsi="Times New Roman"/>
                <w:bCs/>
                <w:color w:val="auto"/>
                <w:kern w:val="0"/>
                <w:sz w:val="24"/>
                <w:szCs w:val="22"/>
                <w:highlight w:val="none"/>
              </w:rPr>
              <w:t>、NH</w:t>
            </w:r>
            <w:r>
              <w:rPr>
                <w:rFonts w:hint="eastAsia" w:ascii="Times New Roman" w:hAnsi="Times New Roman"/>
                <w:bCs/>
                <w:color w:val="auto"/>
                <w:kern w:val="0"/>
                <w:sz w:val="24"/>
                <w:szCs w:val="22"/>
                <w:highlight w:val="none"/>
                <w:vertAlign w:val="subscript"/>
              </w:rPr>
              <w:t>3</w:t>
            </w:r>
            <w:r>
              <w:rPr>
                <w:rFonts w:hint="eastAsia" w:ascii="Times New Roman" w:hAnsi="Times New Roman"/>
                <w:bCs/>
                <w:color w:val="auto"/>
                <w:kern w:val="0"/>
                <w:sz w:val="24"/>
                <w:szCs w:val="22"/>
                <w:highlight w:val="none"/>
              </w:rPr>
              <w:t>-N</w:t>
            </w:r>
            <w:r>
              <w:rPr>
                <w:rFonts w:hint="eastAsia" w:ascii="Times New Roman" w:hAnsi="Times New Roman"/>
                <w:bCs/>
                <w:color w:val="auto"/>
                <w:kern w:val="0"/>
                <w:sz w:val="24"/>
                <w:szCs w:val="22"/>
                <w:highlight w:val="none"/>
                <w:lang w:eastAsia="zh-CN"/>
              </w:rPr>
              <w:t>、</w:t>
            </w:r>
            <w:r>
              <w:rPr>
                <w:rFonts w:hint="eastAsia" w:ascii="Times New Roman" w:hAnsi="Times New Roman"/>
                <w:bCs/>
                <w:color w:val="auto"/>
                <w:kern w:val="0"/>
                <w:sz w:val="24"/>
                <w:szCs w:val="22"/>
                <w:highlight w:val="none"/>
              </w:rPr>
              <w:t>SS等。生活污水经三级化粪处理后排入</w:t>
            </w:r>
            <w:r>
              <w:rPr>
                <w:rFonts w:hint="eastAsia" w:ascii="Times New Roman" w:hAnsi="Times New Roman"/>
                <w:bCs/>
                <w:color w:val="auto"/>
                <w:kern w:val="0"/>
                <w:sz w:val="24"/>
                <w:szCs w:val="22"/>
                <w:highlight w:val="none"/>
                <w:lang w:eastAsia="zh-CN"/>
              </w:rPr>
              <w:t>开平市水口污水处理厂</w:t>
            </w:r>
            <w:r>
              <w:rPr>
                <w:rFonts w:hint="eastAsia" w:ascii="Times New Roman" w:hAnsi="Times New Roman"/>
                <w:bCs/>
                <w:color w:val="auto"/>
                <w:kern w:val="0"/>
                <w:sz w:val="24"/>
                <w:szCs w:val="22"/>
                <w:highlight w:val="none"/>
              </w:rPr>
              <w:t>处理后排入</w:t>
            </w:r>
            <w:r>
              <w:rPr>
                <w:rFonts w:hint="eastAsia" w:ascii="Times New Roman" w:hAnsi="Times New Roman"/>
                <w:bCs/>
                <w:color w:val="auto"/>
                <w:kern w:val="0"/>
                <w:sz w:val="24"/>
                <w:szCs w:val="22"/>
                <w:highlight w:val="none"/>
                <w:lang w:eastAsia="zh-CN"/>
              </w:rPr>
              <w:t>潭江</w:t>
            </w:r>
            <w:r>
              <w:rPr>
                <w:rFonts w:hint="eastAsia" w:ascii="Times New Roman" w:hAnsi="Times New Roman"/>
                <w:bCs/>
                <w:color w:val="auto"/>
                <w:kern w:val="0"/>
                <w:sz w:val="24"/>
                <w:szCs w:val="22"/>
                <w:highlight w:val="none"/>
              </w:rPr>
              <w:t>，项目生活污水不会对该地区水环境造成明显的影响。</w:t>
            </w:r>
          </w:p>
          <w:p>
            <w:pPr>
              <w:autoSpaceDE w:val="0"/>
              <w:autoSpaceDN w:val="0"/>
              <w:adjustRightInd w:val="0"/>
              <w:spacing w:line="360" w:lineRule="auto"/>
              <w:ind w:firstLine="480" w:firstLineChars="200"/>
              <w:rPr>
                <w:rFonts w:hint="eastAsia" w:ascii="Times New Roman" w:hAnsi="Times New Roman" w:eastAsia="宋体" w:cs="Times New Roman"/>
                <w:bCs/>
                <w:color w:val="auto"/>
                <w:kern w:val="0"/>
                <w:sz w:val="24"/>
                <w:szCs w:val="22"/>
                <w:highlight w:val="none"/>
                <w:lang w:val="en-US" w:eastAsia="zh-CN" w:bidi="ar-SA"/>
              </w:rPr>
            </w:pPr>
            <w:r>
              <w:rPr>
                <w:rFonts w:hint="eastAsia" w:ascii="Times New Roman" w:hAnsi="Times New Roman" w:eastAsia="宋体" w:cs="Times New Roman"/>
                <w:bCs/>
                <w:color w:val="auto"/>
                <w:kern w:val="0"/>
                <w:sz w:val="24"/>
                <w:szCs w:val="22"/>
                <w:highlight w:val="none"/>
                <w:lang w:val="en-US" w:eastAsia="zh-CN" w:bidi="ar-SA"/>
              </w:rPr>
              <w:t>◇</w:t>
            </w:r>
            <w:r>
              <w:rPr>
                <w:rFonts w:hint="eastAsia" w:cs="Times New Roman"/>
                <w:bCs/>
                <w:color w:val="auto"/>
                <w:kern w:val="0"/>
                <w:sz w:val="24"/>
                <w:szCs w:val="22"/>
                <w:highlight w:val="none"/>
                <w:lang w:val="en-US" w:eastAsia="zh-CN" w:bidi="ar-SA"/>
              </w:rPr>
              <w:t>喷淋废水</w:t>
            </w:r>
          </w:p>
          <w:p>
            <w:pPr>
              <w:widowControl w:val="0"/>
              <w:spacing w:after="0" w:line="360" w:lineRule="auto"/>
              <w:ind w:right="170" w:firstLine="470" w:firstLineChars="196"/>
              <w:jc w:val="both"/>
              <w:rPr>
                <w:rFonts w:hint="default" w:ascii="Times New Roman" w:hAnsi="Times New Roman" w:cs="Times New Roman"/>
                <w:bCs/>
                <w:color w:val="auto"/>
                <w:kern w:val="0"/>
                <w:sz w:val="24"/>
                <w:szCs w:val="24"/>
                <w:highlight w:val="none"/>
                <w:lang w:val="en-US" w:eastAsia="zh-CN"/>
              </w:rPr>
            </w:pPr>
            <w:r>
              <w:rPr>
                <w:rFonts w:hint="eastAsia" w:hAnsi="宋体"/>
                <w:color w:val="auto"/>
                <w:sz w:val="24"/>
                <w:highlight w:val="none"/>
              </w:rPr>
              <w:t>项目采用</w:t>
            </w:r>
            <w:r>
              <w:rPr>
                <w:rFonts w:hint="eastAsia" w:hAnsi="宋体"/>
                <w:color w:val="auto"/>
                <w:sz w:val="24"/>
                <w:highlight w:val="none"/>
                <w:lang w:val="en-US" w:eastAsia="zh-CN"/>
              </w:rPr>
              <w:t>水喷淋塔+等离子油烟净化器</w:t>
            </w:r>
            <w:r>
              <w:rPr>
                <w:rFonts w:hint="eastAsia" w:hAnsi="宋体"/>
                <w:color w:val="auto"/>
                <w:sz w:val="24"/>
                <w:highlight w:val="none"/>
              </w:rPr>
              <w:t>对</w:t>
            </w:r>
            <w:r>
              <w:rPr>
                <w:rFonts w:hint="eastAsia" w:hAnsi="宋体"/>
                <w:color w:val="auto"/>
                <w:sz w:val="24"/>
                <w:highlight w:val="none"/>
                <w:lang w:eastAsia="zh-CN"/>
              </w:rPr>
              <w:t>锻压</w:t>
            </w:r>
            <w:r>
              <w:rPr>
                <w:rFonts w:hint="eastAsia" w:hAnsi="宋体"/>
                <w:color w:val="auto"/>
                <w:sz w:val="24"/>
                <w:highlight w:val="none"/>
              </w:rPr>
              <w:t>工序产生的</w:t>
            </w:r>
            <w:r>
              <w:rPr>
                <w:rFonts w:hint="eastAsia" w:hAnsi="宋体"/>
                <w:color w:val="auto"/>
                <w:sz w:val="24"/>
                <w:highlight w:val="none"/>
                <w:lang w:eastAsia="zh-CN"/>
              </w:rPr>
              <w:t>废气</w:t>
            </w:r>
            <w:r>
              <w:rPr>
                <w:rFonts w:hint="eastAsia" w:hAnsi="宋体"/>
                <w:color w:val="auto"/>
                <w:sz w:val="24"/>
                <w:highlight w:val="none"/>
              </w:rPr>
              <w:t>进行处理，</w:t>
            </w:r>
            <w:r>
              <w:rPr>
                <w:rFonts w:hint="default" w:ascii="Times New Roman" w:hAnsi="Times New Roman" w:eastAsia="宋体" w:cs="Times New Roman"/>
                <w:color w:val="auto"/>
                <w:kern w:val="2"/>
                <w:sz w:val="24"/>
                <w:szCs w:val="24"/>
                <w:highlight w:val="none"/>
              </w:rPr>
              <w:t>喷淋废水经喷淋塔配套循环水池循环后使用，</w:t>
            </w:r>
            <w:r>
              <w:rPr>
                <w:rFonts w:hint="default" w:ascii="Times New Roman" w:hAnsi="Times New Roman" w:cs="Times New Roman"/>
                <w:color w:val="auto"/>
                <w:sz w:val="24"/>
                <w:highlight w:val="none"/>
              </w:rPr>
              <w:t>因受热等因素损失，需定期补充新鲜水，</w:t>
            </w:r>
            <w:r>
              <w:rPr>
                <w:rFonts w:hint="default" w:ascii="Times New Roman" w:hAnsi="Times New Roman" w:cs="Times New Roman"/>
                <w:color w:val="auto"/>
                <w:sz w:val="24"/>
                <w:highlight w:val="none"/>
                <w:lang w:eastAsia="zh-CN"/>
              </w:rPr>
              <w:t>根据建设单位提供的资料，水喷淋装置循环水池有效水容积为</w:t>
            </w:r>
            <w:r>
              <w:rPr>
                <w:rFonts w:hint="default" w:ascii="Times New Roman" w:hAnsi="Times New Roman" w:cs="Times New Roman"/>
                <w:color w:val="auto"/>
                <w:sz w:val="24"/>
                <w:highlight w:val="none"/>
                <w:lang w:val="en-US" w:eastAsia="zh-CN"/>
              </w:rPr>
              <w:t>4m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eastAsia="zh-CN"/>
              </w:rPr>
              <w:t>，每天</w:t>
            </w:r>
            <w:r>
              <w:rPr>
                <w:rFonts w:hint="default" w:ascii="Times New Roman" w:hAnsi="Times New Roman" w:cs="Times New Roman"/>
                <w:color w:val="auto"/>
                <w:sz w:val="24"/>
                <w:highlight w:val="none"/>
              </w:rPr>
              <w:t>补充损耗水量约为</w:t>
            </w:r>
            <w:r>
              <w:rPr>
                <w:rFonts w:hint="default" w:ascii="Times New Roman" w:hAnsi="Times New Roman" w:cs="Times New Roman"/>
                <w:color w:val="auto"/>
                <w:sz w:val="24"/>
                <w:highlight w:val="none"/>
                <w:lang w:eastAsia="zh-CN"/>
              </w:rPr>
              <w:t>水池容积的</w:t>
            </w:r>
            <w:r>
              <w:rPr>
                <w:rFonts w:hint="default" w:ascii="Times New Roman" w:hAnsi="Times New Roman" w:cs="Times New Roman"/>
                <w:color w:val="auto"/>
                <w:sz w:val="24"/>
                <w:highlight w:val="none"/>
                <w:lang w:val="en-US" w:eastAsia="zh-CN"/>
              </w:rPr>
              <w:t>5%，0.2</w:t>
            </w:r>
            <w:r>
              <w:rPr>
                <w:rFonts w:hint="default" w:ascii="Times New Roman" w:hAnsi="Times New Roman" w:cs="Times New Roman"/>
                <w:color w:val="auto"/>
                <w:sz w:val="24"/>
                <w:highlight w:val="none"/>
              </w:rPr>
              <w:t>t/</w:t>
            </w:r>
            <w:r>
              <w:rPr>
                <w:rFonts w:hint="default" w:ascii="Times New Roman" w:hAnsi="Times New Roman" w:eastAsia="宋体" w:cs="Times New Roman"/>
                <w:color w:val="auto"/>
                <w:sz w:val="24"/>
                <w:highlight w:val="none"/>
                <w:lang w:val="en-US" w:eastAsia="zh-CN"/>
              </w:rPr>
              <w:t>d，即60</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喷淋废水</w:t>
            </w:r>
            <w:r>
              <w:rPr>
                <w:rFonts w:hint="eastAsia" w:ascii="Times New Roman" w:hAnsi="Times New Roman" w:cs="Times New Roman"/>
                <w:bCs/>
                <w:color w:val="auto"/>
                <w:sz w:val="24"/>
                <w:szCs w:val="24"/>
                <w:highlight w:val="none"/>
                <w:lang w:eastAsia="zh-CN"/>
              </w:rPr>
              <w:t>循环</w:t>
            </w:r>
            <w:r>
              <w:rPr>
                <w:rFonts w:hint="default" w:ascii="Times New Roman" w:hAnsi="Times New Roman" w:cs="Times New Roman"/>
                <w:bCs/>
                <w:color w:val="auto"/>
                <w:sz w:val="24"/>
                <w:szCs w:val="24"/>
                <w:highlight w:val="none"/>
              </w:rPr>
              <w:t>一段时间后需定期更换</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2"/>
                <w:highlight w:val="none"/>
              </w:rPr>
              <w:t>每</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个月更换一次，更换水量为</w:t>
            </w:r>
            <w:r>
              <w:rPr>
                <w:rFonts w:hint="eastAsia" w:ascii="Times New Roman" w:hAnsi="Times New Roman" w:cs="Times New Roman"/>
                <w:color w:val="auto"/>
                <w:sz w:val="24"/>
                <w:szCs w:val="22"/>
                <w:highlight w:val="none"/>
                <w:lang w:val="en-US" w:eastAsia="zh-CN"/>
              </w:rPr>
              <w:t>4</w:t>
            </w:r>
            <w:r>
              <w:rPr>
                <w:rFonts w:hint="default" w:ascii="Times New Roman" w:hAnsi="Times New Roman" w:cs="Times New Roman"/>
                <w:color w:val="auto"/>
                <w:sz w:val="24"/>
                <w:szCs w:val="22"/>
                <w:highlight w:val="none"/>
              </w:rPr>
              <w:t>吨/次，则更换废水产生量为</w:t>
            </w:r>
            <w:r>
              <w:rPr>
                <w:rFonts w:hint="eastAsia" w:ascii="Times New Roman" w:hAnsi="Times New Roman" w:cs="Times New Roman"/>
                <w:color w:val="auto"/>
                <w:sz w:val="24"/>
                <w:szCs w:val="22"/>
                <w:highlight w:val="none"/>
                <w:lang w:val="en-US" w:eastAsia="zh-CN"/>
              </w:rPr>
              <w:t>16</w:t>
            </w:r>
            <w:r>
              <w:rPr>
                <w:rFonts w:hint="default" w:ascii="Times New Roman" w:hAnsi="Times New Roman" w:cs="Times New Roman"/>
                <w:color w:val="auto"/>
                <w:sz w:val="24"/>
                <w:szCs w:val="22"/>
                <w:highlight w:val="none"/>
              </w:rPr>
              <w:t>t/a。该废水经收集后</w:t>
            </w:r>
            <w:r>
              <w:rPr>
                <w:rFonts w:hint="eastAsia" w:cs="Times New Roman"/>
                <w:color w:val="auto"/>
                <w:sz w:val="24"/>
                <w:szCs w:val="22"/>
                <w:highlight w:val="none"/>
                <w:lang w:eastAsia="zh-CN"/>
              </w:rPr>
              <w:t>定期交具有零星废水处理资质的单位处理，不外排</w:t>
            </w:r>
            <w:r>
              <w:rPr>
                <w:rFonts w:hint="default" w:ascii="Times New Roman" w:hAnsi="Times New Roman" w:cs="Times New Roman"/>
                <w:color w:val="auto"/>
                <w:sz w:val="24"/>
                <w:szCs w:val="22"/>
                <w:highlight w:val="none"/>
              </w:rPr>
              <w:t>。</w:t>
            </w:r>
          </w:p>
          <w:p>
            <w:pPr>
              <w:pStyle w:val="10"/>
              <w:adjustRightInd w:val="0"/>
              <w:snapToGrid w:val="0"/>
              <w:spacing w:line="360" w:lineRule="auto"/>
              <w:ind w:firstLine="480" w:firstLineChars="200"/>
              <w:rPr>
                <w:color w:val="auto"/>
                <w:szCs w:val="24"/>
                <w:highlight w:val="none"/>
              </w:rPr>
            </w:pPr>
            <w:r>
              <w:rPr>
                <w:color w:val="auto"/>
                <w:szCs w:val="24"/>
                <w:highlight w:val="none"/>
              </w:rPr>
              <w:t>⑵大气环境影响分析结论</w:t>
            </w:r>
          </w:p>
          <w:p>
            <w:pPr>
              <w:spacing w:line="360" w:lineRule="auto"/>
              <w:ind w:firstLine="480" w:firstLineChars="200"/>
              <w:rPr>
                <w:rFonts w:hint="eastAsia" w:ascii="Times New Roman" w:hAnsi="Times New Roman"/>
                <w:b w:val="0"/>
                <w:bCs/>
                <w:color w:val="auto"/>
                <w:sz w:val="24"/>
                <w:szCs w:val="22"/>
                <w:highlight w:val="none"/>
              </w:rPr>
            </w:pPr>
            <w:r>
              <w:rPr>
                <w:rFonts w:hint="eastAsia" w:ascii="Times New Roman" w:hAnsi="Times New Roman" w:eastAsia="宋体" w:cs="Times New Roman"/>
                <w:b w:val="0"/>
                <w:bCs/>
                <w:color w:val="auto"/>
                <w:kern w:val="0"/>
                <w:sz w:val="24"/>
                <w:szCs w:val="22"/>
                <w:highlight w:val="none"/>
                <w:lang w:val="en-US" w:eastAsia="zh-CN" w:bidi="ar-SA"/>
              </w:rPr>
              <w:t>◇</w:t>
            </w:r>
            <w:r>
              <w:rPr>
                <w:rFonts w:hint="eastAsia" w:ascii="Times New Roman" w:hAnsi="Times New Roman"/>
                <w:b w:val="0"/>
                <w:bCs/>
                <w:color w:val="auto"/>
                <w:sz w:val="24"/>
                <w:szCs w:val="22"/>
                <w:highlight w:val="none"/>
                <w:lang w:eastAsia="zh-CN"/>
              </w:rPr>
              <w:t>锻压过程中产生的</w:t>
            </w:r>
            <w:r>
              <w:rPr>
                <w:color w:val="auto"/>
                <w:sz w:val="24"/>
                <w:highlight w:val="none"/>
              </w:rPr>
              <w:t>非甲烷总烃</w:t>
            </w:r>
          </w:p>
          <w:p>
            <w:pPr>
              <w:spacing w:line="360" w:lineRule="auto"/>
              <w:ind w:firstLine="480" w:firstLineChars="200"/>
              <w:rPr>
                <w:rFonts w:hint="eastAsia"/>
                <w:color w:val="auto"/>
                <w:sz w:val="24"/>
                <w:highlight w:val="none"/>
              </w:rPr>
            </w:pPr>
            <w:r>
              <w:rPr>
                <w:rFonts w:hint="eastAsia" w:cs="Times New Roman"/>
                <w:b w:val="0"/>
                <w:bCs w:val="0"/>
                <w:color w:val="auto"/>
                <w:kern w:val="0"/>
                <w:sz w:val="24"/>
                <w:szCs w:val="24"/>
                <w:highlight w:val="none"/>
                <w:lang w:val="en-US" w:eastAsia="zh-CN" w:bidi="ar-SA"/>
              </w:rPr>
              <w:t>根据工程分析，锻压工序产生的</w:t>
            </w:r>
            <w:r>
              <w:rPr>
                <w:color w:val="auto"/>
                <w:sz w:val="24"/>
                <w:highlight w:val="none"/>
              </w:rPr>
              <w:t>非甲烷总烃</w:t>
            </w:r>
            <w:r>
              <w:rPr>
                <w:rFonts w:hint="eastAsia"/>
                <w:color w:val="auto"/>
                <w:sz w:val="24"/>
                <w:highlight w:val="none"/>
                <w:lang w:eastAsia="zh-CN"/>
              </w:rPr>
              <w:t>经过</w:t>
            </w:r>
            <w:r>
              <w:rPr>
                <w:rFonts w:hint="eastAsia" w:ascii="Times New Roman" w:hAnsi="Times New Roman" w:cs="Times New Roman"/>
                <w:color w:val="auto"/>
                <w:sz w:val="24"/>
                <w:highlight w:val="none"/>
                <w:lang w:eastAsia="zh-CN"/>
              </w:rPr>
              <w:t>水喷淋塔</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低温等离子油烟净化器处理</w:t>
            </w:r>
            <w:r>
              <w:rPr>
                <w:rFonts w:hint="eastAsia" w:cs="Times New Roman"/>
                <w:color w:val="auto"/>
                <w:sz w:val="24"/>
                <w:highlight w:val="none"/>
                <w:lang w:eastAsia="zh-CN"/>
              </w:rPr>
              <w:t>后，</w:t>
            </w:r>
            <w:r>
              <w:rPr>
                <w:rFonts w:hint="eastAsia"/>
                <w:color w:val="auto"/>
                <w:sz w:val="24"/>
                <w:highlight w:val="none"/>
              </w:rPr>
              <w:t>有组织</w:t>
            </w:r>
            <w:r>
              <w:rPr>
                <w:color w:val="auto"/>
                <w:sz w:val="24"/>
                <w:highlight w:val="none"/>
              </w:rPr>
              <w:t>排放浓度</w:t>
            </w:r>
            <w:r>
              <w:rPr>
                <w:rFonts w:hint="eastAsia"/>
                <w:color w:val="auto"/>
                <w:sz w:val="24"/>
                <w:highlight w:val="none"/>
                <w:lang w:eastAsia="zh-CN"/>
              </w:rPr>
              <w:t>为</w:t>
            </w:r>
            <w:r>
              <w:rPr>
                <w:rFonts w:hint="eastAsia"/>
                <w:color w:val="auto"/>
                <w:sz w:val="24"/>
                <w:highlight w:val="none"/>
                <w:lang w:val="en-US" w:eastAsia="zh-CN"/>
              </w:rPr>
              <w:t>0.148</w:t>
            </w:r>
            <w:r>
              <w:rPr>
                <w:b w:val="0"/>
                <w:bCs/>
                <w:color w:val="auto"/>
                <w:sz w:val="24"/>
                <w:szCs w:val="24"/>
                <w:highlight w:val="none"/>
              </w:rPr>
              <w:t>mg/m³</w:t>
            </w:r>
            <w:r>
              <w:rPr>
                <w:rFonts w:hint="eastAsia"/>
                <w:color w:val="auto"/>
                <w:sz w:val="24"/>
                <w:highlight w:val="none"/>
              </w:rPr>
              <w:t>，</w:t>
            </w:r>
            <w:r>
              <w:rPr>
                <w:color w:val="auto"/>
                <w:sz w:val="24"/>
                <w:highlight w:val="none"/>
              </w:rPr>
              <w:t>排放速率</w:t>
            </w:r>
            <w:r>
              <w:rPr>
                <w:rFonts w:hint="eastAsia"/>
                <w:color w:val="auto"/>
                <w:sz w:val="24"/>
                <w:highlight w:val="none"/>
                <w:lang w:eastAsia="zh-CN"/>
              </w:rPr>
              <w:t>为</w:t>
            </w:r>
            <w:r>
              <w:rPr>
                <w:rFonts w:hint="eastAsia"/>
                <w:color w:val="auto"/>
                <w:sz w:val="24"/>
                <w:highlight w:val="none"/>
                <w:lang w:val="en-US" w:eastAsia="zh-CN"/>
              </w:rPr>
              <w:t>0.001kg/h，排放量为0.003t/a；无组织</w:t>
            </w:r>
            <w:r>
              <w:rPr>
                <w:color w:val="auto"/>
                <w:sz w:val="24"/>
                <w:highlight w:val="none"/>
              </w:rPr>
              <w:t>排放速率</w:t>
            </w:r>
            <w:r>
              <w:rPr>
                <w:rFonts w:hint="eastAsia"/>
                <w:color w:val="auto"/>
                <w:sz w:val="24"/>
                <w:highlight w:val="none"/>
                <w:lang w:eastAsia="zh-CN"/>
              </w:rPr>
              <w:t>为</w:t>
            </w:r>
            <w:r>
              <w:rPr>
                <w:rFonts w:hint="eastAsia"/>
                <w:color w:val="auto"/>
                <w:sz w:val="24"/>
                <w:highlight w:val="none"/>
                <w:lang w:val="en-US" w:eastAsia="zh-CN"/>
              </w:rPr>
              <w:t>0.002kg/h，排放量为0.004t/a</w:t>
            </w:r>
            <w:r>
              <w:rPr>
                <w:rFonts w:hint="eastAsia" w:hAnsi="宋体"/>
                <w:color w:val="auto"/>
                <w:sz w:val="24"/>
                <w:highlight w:val="none"/>
                <w:lang w:val="en-US" w:eastAsia="zh-CN"/>
              </w:rPr>
              <w:t>，</w:t>
            </w:r>
            <w:r>
              <w:rPr>
                <w:rFonts w:hint="eastAsia"/>
                <w:color w:val="auto"/>
                <w:kern w:val="0"/>
                <w:sz w:val="24"/>
                <w:highlight w:val="none"/>
                <w:lang w:eastAsia="zh-CN"/>
              </w:rPr>
              <w:t>可以达到</w:t>
            </w:r>
            <w:r>
              <w:rPr>
                <w:color w:val="auto"/>
                <w:sz w:val="24"/>
                <w:highlight w:val="none"/>
              </w:rPr>
              <w:t>广东省地方标准《大气污染物排放限值》（DB44/27-2001）中第二时段二级标准</w:t>
            </w:r>
            <w:r>
              <w:rPr>
                <w:rFonts w:hint="eastAsia" w:ascii="Times New Roman" w:hAnsi="Times New Roman" w:cs="Times New Roman"/>
                <w:color w:val="auto"/>
                <w:sz w:val="24"/>
                <w:highlight w:val="none"/>
                <w:u w:val="none"/>
                <w:lang w:val="en-US" w:eastAsia="zh-CN"/>
              </w:rPr>
              <w:t>和</w:t>
            </w:r>
            <w:r>
              <w:rPr>
                <w:color w:val="auto"/>
                <w:sz w:val="24"/>
                <w:highlight w:val="none"/>
              </w:rPr>
              <w:t>第二时段无组织排放监控浓度限值</w:t>
            </w:r>
            <w:r>
              <w:rPr>
                <w:rFonts w:hint="eastAsia" w:ascii="Times New Roman" w:hAnsi="Times New Roman" w:cs="Times New Roman"/>
                <w:color w:val="auto"/>
                <w:sz w:val="24"/>
                <w:highlight w:val="none"/>
                <w:u w:val="none"/>
                <w:lang w:val="en-US" w:eastAsia="zh-CN"/>
              </w:rPr>
              <w:t>，</w:t>
            </w:r>
            <w:r>
              <w:rPr>
                <w:rFonts w:hint="eastAsia"/>
                <w:color w:val="auto"/>
                <w:sz w:val="24"/>
                <w:highlight w:val="none"/>
              </w:rPr>
              <w:t>对周围环境影响较小。</w:t>
            </w:r>
          </w:p>
          <w:p>
            <w:pPr>
              <w:pStyle w:val="19"/>
              <w:spacing w:line="360" w:lineRule="auto"/>
              <w:rPr>
                <w:rFonts w:hint="eastAsia"/>
                <w:b w:val="0"/>
                <w:bCs w:val="0"/>
                <w:color w:val="auto"/>
                <w:kern w:val="0"/>
                <w:sz w:val="24"/>
                <w:szCs w:val="24"/>
                <w:highlight w:val="none"/>
              </w:rPr>
            </w:pPr>
            <w:r>
              <w:rPr>
                <w:rFonts w:hint="eastAsia" w:cs="Times New Roman"/>
                <w:b w:val="0"/>
                <w:bCs w:val="0"/>
                <w:color w:val="auto"/>
                <w:kern w:val="0"/>
                <w:sz w:val="24"/>
                <w:szCs w:val="22"/>
                <w:highlight w:val="none"/>
                <w:lang w:val="en-US" w:eastAsia="zh-CN" w:bidi="ar-SA"/>
              </w:rPr>
              <w:t xml:space="preserve">   </w:t>
            </w:r>
            <w:r>
              <w:rPr>
                <w:rFonts w:hint="eastAsia" w:ascii="Times New Roman" w:hAnsi="Times New Roman" w:eastAsia="宋体" w:cs="Times New Roman"/>
                <w:b w:val="0"/>
                <w:bCs/>
                <w:color w:val="auto"/>
                <w:kern w:val="0"/>
                <w:sz w:val="24"/>
                <w:szCs w:val="22"/>
                <w:highlight w:val="none"/>
                <w:lang w:val="en-US" w:eastAsia="zh-CN" w:bidi="ar-SA"/>
              </w:rPr>
              <w:t>◇</w:t>
            </w:r>
            <w:r>
              <w:rPr>
                <w:rFonts w:hint="eastAsia"/>
                <w:b w:val="0"/>
                <w:bCs w:val="0"/>
                <w:color w:val="auto"/>
                <w:kern w:val="0"/>
                <w:sz w:val="24"/>
                <w:szCs w:val="24"/>
                <w:highlight w:val="none"/>
              </w:rPr>
              <w:t>燃料废气</w:t>
            </w:r>
          </w:p>
          <w:p>
            <w:pPr>
              <w:pStyle w:val="19"/>
              <w:spacing w:line="360" w:lineRule="auto"/>
              <w:ind w:firstLine="480" w:firstLineChars="200"/>
              <w:rPr>
                <w:rFonts w:hint="eastAsia"/>
                <w:b w:val="0"/>
                <w:bCs w:val="0"/>
                <w:color w:val="auto"/>
                <w:kern w:val="0"/>
                <w:sz w:val="24"/>
                <w:szCs w:val="24"/>
                <w:highlight w:val="none"/>
                <w:lang w:eastAsia="zh-CN"/>
              </w:rPr>
            </w:pPr>
            <w:r>
              <w:rPr>
                <w:rFonts w:hint="eastAsia"/>
                <w:b w:val="0"/>
                <w:bCs w:val="0"/>
                <w:color w:val="auto"/>
                <w:kern w:val="0"/>
                <w:sz w:val="24"/>
                <w:szCs w:val="24"/>
                <w:highlight w:val="none"/>
                <w:lang w:eastAsia="zh-CN"/>
              </w:rPr>
              <w:t>根据工程分析，</w:t>
            </w:r>
            <w:r>
              <w:rPr>
                <w:rFonts w:hint="eastAsia" w:ascii="宋体" w:hAnsi="Times New Roman" w:eastAsia="宋体" w:cs="Times New Roman"/>
                <w:color w:val="auto"/>
                <w:kern w:val="2"/>
                <w:sz w:val="24"/>
                <w:szCs w:val="24"/>
                <w:highlight w:val="none"/>
                <w:lang w:val="en-US" w:eastAsia="zh-CN" w:bidi="ar-SA"/>
              </w:rPr>
              <w:t>天然气</w:t>
            </w:r>
            <w:r>
              <w:rPr>
                <w:rFonts w:hint="eastAsia" w:ascii="宋体" w:hAnsi="宋体" w:eastAsia="宋体" w:cs="Times New Roman"/>
                <w:color w:val="auto"/>
                <w:kern w:val="2"/>
                <w:sz w:val="24"/>
                <w:szCs w:val="24"/>
                <w:highlight w:val="none"/>
                <w:lang w:val="en-US" w:eastAsia="zh-CN" w:bidi="ar-SA"/>
              </w:rPr>
              <w:t>属于清洁能源，</w:t>
            </w:r>
            <w:r>
              <w:rPr>
                <w:rFonts w:ascii="宋体" w:hAnsi="宋体" w:eastAsia="宋体" w:cs="Times New Roman"/>
                <w:color w:val="auto"/>
                <w:kern w:val="2"/>
                <w:sz w:val="24"/>
                <w:szCs w:val="24"/>
                <w:highlight w:val="none"/>
                <w:lang w:val="en-US" w:eastAsia="zh-CN" w:bidi="ar-SA"/>
              </w:rPr>
              <w:t>其燃烧产生的大气污染物排放量较低，</w:t>
            </w:r>
            <w:r>
              <w:rPr>
                <w:rFonts w:hint="eastAsia" w:ascii="宋体" w:hAnsi="宋体" w:eastAsia="宋体" w:cs="Times New Roman"/>
                <w:color w:val="auto"/>
                <w:kern w:val="2"/>
                <w:sz w:val="24"/>
                <w:szCs w:val="24"/>
                <w:highlight w:val="none"/>
                <w:lang w:val="en-US" w:eastAsia="zh-CN" w:bidi="ar-SA"/>
              </w:rPr>
              <w:t>拟设</w:t>
            </w:r>
            <w:r>
              <w:rPr>
                <w:rFonts w:ascii="宋体" w:hAnsi="宋体" w:eastAsia="宋体" w:cs="Times New Roman"/>
                <w:color w:val="auto"/>
                <w:kern w:val="2"/>
                <w:sz w:val="24"/>
                <w:szCs w:val="24"/>
                <w:highlight w:val="none"/>
                <w:lang w:val="en-US" w:eastAsia="zh-CN" w:bidi="ar-SA"/>
              </w:rPr>
              <w:t>集气装置收集后引至楼顶高空排放</w:t>
            </w:r>
            <w:r>
              <w:rPr>
                <w:rFonts w:hint="eastAsia" w:ascii="宋体" w:hAnsi="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rPr>
              <w:t>SO</w:t>
            </w:r>
            <w:r>
              <w:rPr>
                <w:rFonts w:ascii="Times New Roman" w:hAnsi="Times New Roman" w:eastAsia="宋体" w:cs="Times New Roman"/>
                <w:color w:val="auto"/>
                <w:kern w:val="2"/>
                <w:sz w:val="24"/>
                <w:szCs w:val="24"/>
                <w:highlight w:val="none"/>
                <w:vertAlign w:val="subscript"/>
              </w:rPr>
              <w:t>2</w:t>
            </w:r>
            <w:r>
              <w:rPr>
                <w:rFonts w:ascii="Times New Roman" w:hAnsi="宋体" w:eastAsia="宋体" w:cs="Times New Roman"/>
                <w:color w:val="auto"/>
                <w:kern w:val="2"/>
                <w:sz w:val="24"/>
                <w:szCs w:val="24"/>
                <w:highlight w:val="none"/>
              </w:rPr>
              <w:t>、</w:t>
            </w:r>
            <w:r>
              <w:rPr>
                <w:rFonts w:ascii="Times New Roman" w:hAnsi="Times New Roman" w:eastAsia="宋体" w:cs="Times New Roman"/>
                <w:color w:val="auto"/>
                <w:kern w:val="2"/>
                <w:sz w:val="24"/>
                <w:szCs w:val="24"/>
                <w:highlight w:val="none"/>
              </w:rPr>
              <w:t>NOx</w:t>
            </w:r>
            <w:r>
              <w:rPr>
                <w:rFonts w:hint="eastAsia" w:ascii="Times New Roman" w:hAnsi="Times New Roman" w:eastAsia="宋体" w:cs="Times New Roman"/>
                <w:color w:val="auto"/>
                <w:kern w:val="2"/>
                <w:sz w:val="24"/>
                <w:szCs w:val="24"/>
                <w:highlight w:val="none"/>
              </w:rPr>
              <w:t>有组织</w:t>
            </w:r>
            <w:r>
              <w:rPr>
                <w:rFonts w:ascii="Times New Roman" w:hAnsi="宋体" w:eastAsia="宋体" w:cs="Times New Roman"/>
                <w:color w:val="auto"/>
                <w:kern w:val="2"/>
                <w:sz w:val="24"/>
                <w:szCs w:val="24"/>
                <w:highlight w:val="none"/>
              </w:rPr>
              <w:t>排放浓度</w:t>
            </w:r>
            <w:r>
              <w:rPr>
                <w:rFonts w:hint="eastAsia" w:ascii="Times New Roman" w:hAnsi="宋体" w:eastAsia="宋体" w:cs="Times New Roman"/>
                <w:color w:val="auto"/>
                <w:kern w:val="2"/>
                <w:sz w:val="24"/>
                <w:szCs w:val="24"/>
                <w:highlight w:val="none"/>
              </w:rPr>
              <w:t>和排放速率可以达到广东省</w:t>
            </w:r>
            <w:r>
              <w:rPr>
                <w:rFonts w:hint="eastAsia" w:hAnsi="宋体" w:cs="Times New Roman"/>
                <w:color w:val="auto"/>
                <w:kern w:val="2"/>
                <w:sz w:val="24"/>
                <w:szCs w:val="24"/>
                <w:highlight w:val="none"/>
                <w:lang w:eastAsia="zh-CN"/>
              </w:rPr>
              <w:t>地方标准</w:t>
            </w:r>
            <w:r>
              <w:rPr>
                <w:rFonts w:hint="eastAsia" w:ascii="Times New Roman" w:hAnsi="宋体" w:eastAsia="宋体" w:cs="Times New Roman"/>
                <w:color w:val="auto"/>
                <w:kern w:val="2"/>
                <w:sz w:val="24"/>
                <w:szCs w:val="24"/>
                <w:highlight w:val="none"/>
              </w:rPr>
              <w:t>《大气污染物排放限值》（DB44/27－2001）第二时段二级标准</w:t>
            </w:r>
            <w:r>
              <w:rPr>
                <w:rFonts w:hint="eastAsia" w:hAnsi="宋体" w:cs="Times New Roman"/>
                <w:color w:val="auto"/>
                <w:kern w:val="2"/>
                <w:sz w:val="24"/>
                <w:szCs w:val="24"/>
                <w:highlight w:val="none"/>
                <w:lang w:eastAsia="zh-CN"/>
              </w:rPr>
              <w:t>；</w:t>
            </w:r>
            <w:r>
              <w:rPr>
                <w:rFonts w:hint="eastAsia" w:cs="Times New Roman"/>
                <w:color w:val="auto"/>
                <w:kern w:val="2"/>
                <w:sz w:val="24"/>
                <w:szCs w:val="24"/>
                <w:highlight w:val="none"/>
                <w:lang w:eastAsia="zh-CN"/>
              </w:rPr>
              <w:t>烟尘有组织排放浓度可以达到《工业炉窑大气污染物排放标准》表2“金属压延、锻造加热炉”二级标准</w:t>
            </w:r>
            <w:r>
              <w:rPr>
                <w:rFonts w:hint="eastAsia" w:hAnsi="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rPr>
              <w:t>对周围环境影响较小。</w:t>
            </w:r>
          </w:p>
          <w:p>
            <w:pPr>
              <w:autoSpaceDE w:val="0"/>
              <w:autoSpaceDN w:val="0"/>
              <w:adjustRightInd w:val="0"/>
              <w:spacing w:line="360" w:lineRule="auto"/>
              <w:ind w:firstLine="480" w:firstLineChars="200"/>
              <w:jc w:val="left"/>
              <w:rPr>
                <w:rFonts w:ascii="Times New Roman" w:hAnsi="Times New Roman"/>
                <w:b w:val="0"/>
                <w:bCs/>
                <w:color w:val="auto"/>
                <w:kern w:val="0"/>
                <w:sz w:val="24"/>
                <w:highlight w:val="none"/>
              </w:rPr>
            </w:pPr>
            <w:r>
              <w:rPr>
                <w:rFonts w:hint="eastAsia" w:ascii="Times New Roman" w:hAnsi="Times New Roman" w:eastAsia="宋体" w:cs="Times New Roman"/>
                <w:b w:val="0"/>
                <w:bCs/>
                <w:color w:val="auto"/>
                <w:kern w:val="0"/>
                <w:sz w:val="24"/>
                <w:szCs w:val="22"/>
                <w:highlight w:val="none"/>
                <w:lang w:val="en-US" w:eastAsia="zh-CN" w:bidi="ar-SA"/>
              </w:rPr>
              <w:t>◇</w:t>
            </w:r>
            <w:r>
              <w:rPr>
                <w:rFonts w:hint="eastAsia" w:ascii="Times New Roman" w:hAnsi="Times New Roman"/>
                <w:b w:val="0"/>
                <w:bCs/>
                <w:color w:val="auto"/>
                <w:kern w:val="0"/>
                <w:sz w:val="24"/>
                <w:szCs w:val="22"/>
                <w:highlight w:val="none"/>
                <w:lang w:eastAsia="zh-CN"/>
              </w:rPr>
              <w:t>开料、机加工过程中产生的金属粉尘</w:t>
            </w:r>
          </w:p>
          <w:p>
            <w:pPr>
              <w:pStyle w:val="19"/>
              <w:spacing w:line="360" w:lineRule="auto"/>
              <w:ind w:firstLine="480" w:firstLineChars="200"/>
              <w:rPr>
                <w:rFonts w:hint="default"/>
                <w:bCs/>
                <w:color w:val="auto"/>
                <w:kern w:val="0"/>
                <w:sz w:val="24"/>
                <w:szCs w:val="24"/>
                <w:highlight w:val="none"/>
                <w:lang w:val="en-US"/>
              </w:rPr>
            </w:pPr>
            <w:r>
              <w:rPr>
                <w:rFonts w:hint="eastAsia"/>
                <w:color w:val="auto"/>
                <w:sz w:val="24"/>
                <w:highlight w:val="none"/>
                <w:lang w:eastAsia="zh-CN"/>
              </w:rPr>
              <w:t>根据工程分析</w:t>
            </w:r>
            <w:r>
              <w:rPr>
                <w:rFonts w:hint="eastAsia" w:cs="Times New Roman"/>
                <w:b w:val="0"/>
                <w:bCs w:val="0"/>
                <w:color w:val="auto"/>
                <w:kern w:val="0"/>
                <w:sz w:val="24"/>
                <w:szCs w:val="24"/>
                <w:highlight w:val="none"/>
                <w:lang w:val="en-US" w:eastAsia="zh-CN" w:bidi="ar-SA"/>
              </w:rPr>
              <w:t>，项目</w:t>
            </w:r>
            <w:r>
              <w:rPr>
                <w:rFonts w:hint="eastAsia" w:ascii="Times New Roman" w:hAnsi="Times New Roman"/>
                <w:b w:val="0"/>
                <w:bCs w:val="0"/>
                <w:color w:val="auto"/>
                <w:kern w:val="0"/>
                <w:sz w:val="24"/>
                <w:szCs w:val="22"/>
                <w:highlight w:val="none"/>
                <w:lang w:eastAsia="zh-CN"/>
              </w:rPr>
              <w:t>开料、机加工过程中产生的金属粉尘</w:t>
            </w:r>
            <w:r>
              <w:rPr>
                <w:rFonts w:hint="eastAsia"/>
                <w:b w:val="0"/>
                <w:bCs w:val="0"/>
                <w:color w:val="auto"/>
                <w:sz w:val="24"/>
                <w:szCs w:val="22"/>
                <w:highlight w:val="none"/>
                <w:lang w:val="en-US" w:eastAsia="zh-CN"/>
              </w:rPr>
              <w:t>无组织排放量为0.0053t/a，无组织排放速率为0.002kg/h，可达到</w:t>
            </w:r>
            <w:r>
              <w:rPr>
                <w:rFonts w:hint="eastAsia"/>
                <w:b w:val="0"/>
                <w:bCs w:val="0"/>
                <w:color w:val="auto"/>
                <w:kern w:val="0"/>
                <w:sz w:val="24"/>
                <w:szCs w:val="24"/>
                <w:highlight w:val="none"/>
                <w:lang w:val="en-US" w:eastAsia="zh-CN"/>
              </w:rPr>
              <w:t>广东省地方标准《大气污染物排放限值》（DB44/27-2001）第二时段无组织排放监控浓度限值的要求。</w:t>
            </w:r>
          </w:p>
          <w:p>
            <w:pPr>
              <w:spacing w:line="360" w:lineRule="auto"/>
              <w:ind w:firstLine="480" w:firstLineChars="200"/>
              <w:rPr>
                <w:color w:val="auto"/>
                <w:sz w:val="24"/>
                <w:szCs w:val="24"/>
                <w:highlight w:val="none"/>
              </w:rPr>
            </w:pPr>
            <w:r>
              <w:rPr>
                <w:color w:val="auto"/>
                <w:sz w:val="24"/>
                <w:szCs w:val="24"/>
                <w:highlight w:val="none"/>
              </w:rPr>
              <w:t>⑶噪声环境影响结论</w:t>
            </w:r>
          </w:p>
          <w:p>
            <w:pPr>
              <w:widowControl w:val="0"/>
              <w:spacing w:line="360" w:lineRule="auto"/>
              <w:ind w:firstLine="480" w:firstLineChars="200"/>
              <w:jc w:val="left"/>
              <w:rPr>
                <w:rFonts w:ascii="方正仿宋_GBK" w:hAnsi="方正仿宋_GBK" w:eastAsia="宋体" w:cs="宋体"/>
                <w:color w:val="auto"/>
                <w:kern w:val="2"/>
                <w:sz w:val="24"/>
                <w:szCs w:val="20"/>
                <w:highlight w:val="none"/>
                <w:shd w:val="clear" w:color="auto" w:fill="auto"/>
                <w:lang w:val="en-US" w:eastAsia="zh-CN" w:bidi="ar-SA"/>
              </w:rPr>
            </w:pPr>
            <w:r>
              <w:rPr>
                <w:rFonts w:hint="eastAsia" w:ascii="方正仿宋_GBK" w:hAnsi="宋体" w:eastAsia="宋体" w:cs="宋体"/>
                <w:color w:val="auto"/>
                <w:kern w:val="2"/>
                <w:sz w:val="24"/>
                <w:szCs w:val="20"/>
                <w:highlight w:val="none"/>
                <w:shd w:val="clear" w:color="auto" w:fill="auto"/>
                <w:lang w:val="en-US" w:eastAsia="zh-CN" w:bidi="ar-SA"/>
              </w:rPr>
              <w:t>项目营运期</w:t>
            </w:r>
            <w:r>
              <w:rPr>
                <w:rFonts w:hint="eastAsia" w:ascii="Times New Roman" w:hAnsi="Times New Roman" w:eastAsia="宋体" w:cs="Times New Roman"/>
                <w:color w:val="auto"/>
                <w:kern w:val="2"/>
                <w:sz w:val="24"/>
                <w:szCs w:val="24"/>
                <w:highlight w:val="none"/>
                <w:shd w:val="clear" w:color="auto" w:fill="auto"/>
                <w:lang w:val="en-US" w:eastAsia="zh-CN" w:bidi="ar-SA"/>
              </w:rPr>
              <w:t>生产设备</w:t>
            </w:r>
            <w:r>
              <w:rPr>
                <w:rFonts w:hint="eastAsia" w:ascii="方正仿宋_GBK" w:hAnsi="宋体" w:eastAsia="宋体" w:cs="宋体"/>
                <w:color w:val="auto"/>
                <w:kern w:val="2"/>
                <w:sz w:val="24"/>
                <w:szCs w:val="20"/>
                <w:highlight w:val="none"/>
                <w:shd w:val="clear" w:color="auto" w:fill="auto"/>
                <w:lang w:val="en-US" w:eastAsia="zh-CN" w:bidi="ar-SA"/>
              </w:rPr>
              <w:t>产生噪声值在</w:t>
            </w:r>
            <w:r>
              <w:rPr>
                <w:rFonts w:ascii="Times New Roman" w:hAnsi="Times New Roman" w:eastAsia="宋体" w:cs="Times New Roman"/>
                <w:color w:val="auto"/>
                <w:kern w:val="2"/>
                <w:sz w:val="24"/>
                <w:szCs w:val="20"/>
                <w:highlight w:val="none"/>
                <w:shd w:val="clear" w:color="auto" w:fill="auto"/>
                <w:lang w:val="en-US" w:eastAsia="zh-CN" w:bidi="ar-SA"/>
              </w:rPr>
              <w:t>70</w:t>
            </w:r>
            <w:r>
              <w:rPr>
                <w:rFonts w:ascii="Times New Roman" w:hAnsi="方正仿宋_GBK" w:eastAsia="宋体" w:cs="Times New Roman"/>
                <w:color w:val="auto"/>
                <w:kern w:val="2"/>
                <w:sz w:val="24"/>
                <w:szCs w:val="20"/>
                <w:highlight w:val="none"/>
                <w:shd w:val="clear" w:color="auto" w:fill="auto"/>
                <w:lang w:val="en-US" w:eastAsia="zh-CN" w:bidi="ar-SA"/>
              </w:rPr>
              <w:t>～</w:t>
            </w:r>
            <w:r>
              <w:rPr>
                <w:rFonts w:hint="eastAsia" w:ascii="Times New Roman" w:hAnsi="方正仿宋_GBK" w:eastAsia="宋体" w:cs="Times New Roman"/>
                <w:color w:val="auto"/>
                <w:kern w:val="2"/>
                <w:sz w:val="24"/>
                <w:szCs w:val="20"/>
                <w:highlight w:val="none"/>
                <w:shd w:val="clear" w:color="auto" w:fill="auto"/>
                <w:lang w:val="en-US" w:eastAsia="zh-CN" w:bidi="ar-SA"/>
              </w:rPr>
              <w:t>90</w:t>
            </w:r>
            <w:r>
              <w:rPr>
                <w:rFonts w:ascii="Times New Roman" w:hAnsi="Times New Roman" w:eastAsia="宋体" w:cs="Times New Roman"/>
                <w:color w:val="auto"/>
                <w:kern w:val="2"/>
                <w:sz w:val="24"/>
                <w:szCs w:val="20"/>
                <w:highlight w:val="none"/>
                <w:shd w:val="clear" w:color="auto" w:fill="auto"/>
                <w:lang w:val="en-US" w:eastAsia="zh-CN" w:bidi="ar-SA"/>
              </w:rPr>
              <w:t>dB(A)</w:t>
            </w:r>
            <w:r>
              <w:rPr>
                <w:rFonts w:hint="eastAsia" w:ascii="方正仿宋_GBK" w:hAnsi="方正仿宋_GBK" w:eastAsia="宋体" w:cs="宋体"/>
                <w:color w:val="auto"/>
                <w:kern w:val="2"/>
                <w:sz w:val="24"/>
                <w:szCs w:val="20"/>
                <w:highlight w:val="none"/>
                <w:shd w:val="clear" w:color="auto" w:fill="auto"/>
                <w:lang w:val="en-US" w:eastAsia="zh-CN" w:bidi="ar-SA"/>
              </w:rPr>
              <w:t>之间</w:t>
            </w:r>
            <w:r>
              <w:rPr>
                <w:rFonts w:ascii="方正仿宋_GBK" w:hAnsi="方正仿宋_GBK" w:eastAsia="宋体" w:cs="宋体"/>
                <w:color w:val="auto"/>
                <w:kern w:val="2"/>
                <w:sz w:val="24"/>
                <w:szCs w:val="20"/>
                <w:highlight w:val="none"/>
                <w:shd w:val="clear" w:color="auto" w:fill="auto"/>
                <w:lang w:val="en-US" w:eastAsia="zh-CN" w:bidi="ar-SA"/>
              </w:rPr>
              <w:t>。</w:t>
            </w:r>
            <w:r>
              <w:rPr>
                <w:rFonts w:hint="eastAsia" w:ascii="Times New Roman" w:hAnsi="方正仿宋_GBK" w:eastAsia="宋体" w:cs="宋体"/>
                <w:color w:val="auto"/>
                <w:kern w:val="2"/>
                <w:sz w:val="24"/>
                <w:szCs w:val="24"/>
                <w:highlight w:val="none"/>
                <w:shd w:val="clear" w:color="auto" w:fill="auto"/>
                <w:lang w:val="en-US" w:eastAsia="zh-CN" w:bidi="ar-SA"/>
              </w:rPr>
              <w:t>项目</w:t>
            </w:r>
            <w:r>
              <w:rPr>
                <w:rFonts w:ascii="Times New Roman" w:hAnsi="方正仿宋_GBK" w:eastAsia="宋体" w:cs="宋体"/>
                <w:color w:val="auto"/>
                <w:kern w:val="2"/>
                <w:sz w:val="24"/>
                <w:szCs w:val="24"/>
                <w:highlight w:val="none"/>
                <w:shd w:val="clear" w:color="auto" w:fill="auto"/>
                <w:lang w:val="en-US" w:eastAsia="zh-CN" w:bidi="ar-SA"/>
              </w:rPr>
              <w:t>除选用噪声低的设备外，还</w:t>
            </w:r>
            <w:r>
              <w:rPr>
                <w:rFonts w:hint="eastAsia" w:ascii="Times New Roman" w:hAnsi="方正仿宋_GBK" w:eastAsia="宋体" w:cs="宋体"/>
                <w:color w:val="auto"/>
                <w:kern w:val="2"/>
                <w:sz w:val="24"/>
                <w:szCs w:val="24"/>
                <w:highlight w:val="none"/>
                <w:shd w:val="clear" w:color="auto" w:fill="auto"/>
                <w:lang w:val="en-US" w:eastAsia="zh-CN" w:bidi="ar-SA"/>
              </w:rPr>
              <w:t>应</w:t>
            </w:r>
            <w:r>
              <w:rPr>
                <w:rFonts w:ascii="Times New Roman" w:hAnsi="方正仿宋_GBK" w:eastAsia="宋体" w:cs="宋体"/>
                <w:color w:val="auto"/>
                <w:kern w:val="2"/>
                <w:sz w:val="24"/>
                <w:szCs w:val="24"/>
                <w:highlight w:val="none"/>
                <w:shd w:val="clear" w:color="auto" w:fill="auto"/>
                <w:lang w:val="en-US" w:eastAsia="zh-CN" w:bidi="ar-SA"/>
              </w:rPr>
              <w:t>进行减振和减噪声处理，如车间的门窗部位选用隔声性能良好的铝合金或双层门窗结构等</w:t>
            </w:r>
            <w:r>
              <w:rPr>
                <w:rFonts w:hint="eastAsia" w:ascii="Times New Roman" w:hAnsi="方正仿宋_GBK" w:eastAsia="宋体" w:cs="宋体"/>
                <w:color w:val="auto"/>
                <w:kern w:val="2"/>
                <w:sz w:val="24"/>
                <w:szCs w:val="24"/>
                <w:highlight w:val="none"/>
                <w:shd w:val="clear" w:color="auto" w:fill="auto"/>
                <w:lang w:val="en-US" w:eastAsia="zh-CN" w:bidi="ar-SA"/>
              </w:rPr>
              <w:t>，并设置单独隔声间，</w:t>
            </w:r>
            <w:r>
              <w:rPr>
                <w:rFonts w:ascii="Times New Roman" w:hAnsi="方正仿宋_GBK" w:eastAsia="宋体" w:cs="宋体"/>
                <w:color w:val="auto"/>
                <w:kern w:val="2"/>
                <w:sz w:val="24"/>
                <w:szCs w:val="24"/>
                <w:highlight w:val="none"/>
                <w:shd w:val="clear" w:color="auto" w:fill="auto"/>
                <w:lang w:val="en-US" w:eastAsia="zh-CN" w:bidi="ar-SA"/>
              </w:rPr>
              <w:t>再经过一定自然距离的衰减作用，</w:t>
            </w:r>
            <w:r>
              <w:rPr>
                <w:rFonts w:ascii="方正仿宋_GBK" w:hAnsi="方正仿宋_GBK" w:eastAsia="宋体" w:cs="宋体"/>
                <w:color w:val="auto"/>
                <w:kern w:val="2"/>
                <w:sz w:val="24"/>
                <w:szCs w:val="20"/>
                <w:highlight w:val="none"/>
                <w:shd w:val="clear" w:color="auto" w:fill="auto"/>
                <w:lang w:val="en-US" w:eastAsia="zh-CN" w:bidi="ar-SA"/>
              </w:rPr>
              <w:t>使得项目产生的噪声达到《工业企业厂界环境噪声排放标准》</w:t>
            </w:r>
            <w:r>
              <w:rPr>
                <w:rFonts w:ascii="Times New Roman" w:hAnsi="Times New Roman" w:eastAsia="宋体" w:cs="Times New Roman"/>
                <w:color w:val="auto"/>
                <w:kern w:val="2"/>
                <w:sz w:val="24"/>
                <w:szCs w:val="20"/>
                <w:highlight w:val="none"/>
                <w:shd w:val="clear" w:color="auto" w:fill="auto"/>
                <w:lang w:val="en-US" w:eastAsia="zh-CN" w:bidi="ar-SA"/>
              </w:rPr>
              <w:t>(GB12348</w:t>
            </w:r>
            <w:r>
              <w:rPr>
                <w:rFonts w:hint="eastAsia" w:ascii="Times New Roman" w:hAnsi="Times New Roman" w:eastAsia="宋体" w:cs="Times New Roman"/>
                <w:color w:val="auto"/>
                <w:kern w:val="2"/>
                <w:sz w:val="24"/>
                <w:szCs w:val="20"/>
                <w:highlight w:val="none"/>
                <w:shd w:val="clear" w:color="auto" w:fill="auto"/>
                <w:lang w:val="en-US" w:eastAsia="zh-CN" w:bidi="ar-SA"/>
              </w:rPr>
              <w:t>-</w:t>
            </w:r>
            <w:r>
              <w:rPr>
                <w:rFonts w:ascii="Times New Roman" w:hAnsi="Times New Roman" w:eastAsia="宋体" w:cs="Times New Roman"/>
                <w:color w:val="auto"/>
                <w:kern w:val="2"/>
                <w:sz w:val="24"/>
                <w:szCs w:val="20"/>
                <w:highlight w:val="none"/>
                <w:shd w:val="clear" w:color="auto" w:fill="auto"/>
                <w:lang w:val="en-US" w:eastAsia="zh-CN" w:bidi="ar-SA"/>
              </w:rPr>
              <w:t xml:space="preserve">2008) </w:t>
            </w:r>
            <w:r>
              <w:rPr>
                <w:rFonts w:hint="eastAsia" w:ascii="Times New Roman" w:hAnsi="Times New Roman" w:eastAsia="宋体" w:cs="Times New Roman"/>
                <w:color w:val="auto"/>
                <w:kern w:val="2"/>
                <w:sz w:val="24"/>
                <w:szCs w:val="20"/>
                <w:highlight w:val="none"/>
                <w:shd w:val="clear" w:color="auto" w:fill="auto"/>
                <w:lang w:val="en-US" w:eastAsia="zh-CN" w:bidi="ar-SA"/>
              </w:rPr>
              <w:t>2类</w:t>
            </w:r>
            <w:r>
              <w:rPr>
                <w:rFonts w:ascii="方正仿宋_GBK" w:hAnsi="方正仿宋_GBK" w:eastAsia="宋体" w:cs="宋体"/>
                <w:color w:val="auto"/>
                <w:kern w:val="2"/>
                <w:sz w:val="24"/>
                <w:szCs w:val="20"/>
                <w:highlight w:val="none"/>
                <w:shd w:val="clear" w:color="auto" w:fill="auto"/>
                <w:lang w:val="en-US" w:eastAsia="zh-CN" w:bidi="ar-SA"/>
              </w:rPr>
              <w:t>标准要求，</w:t>
            </w:r>
            <w:r>
              <w:rPr>
                <w:rFonts w:hint="eastAsia" w:ascii="方正仿宋_GBK" w:hAnsi="方正仿宋_GBK" w:eastAsia="宋体" w:cs="宋体"/>
                <w:color w:val="auto"/>
                <w:kern w:val="2"/>
                <w:sz w:val="24"/>
                <w:szCs w:val="20"/>
                <w:highlight w:val="none"/>
                <w:shd w:val="clear" w:color="auto" w:fill="auto"/>
                <w:lang w:val="en-US" w:eastAsia="zh-CN" w:bidi="ar-SA"/>
              </w:rPr>
              <w:t>对周围环境影响不大。</w:t>
            </w:r>
          </w:p>
          <w:p>
            <w:pPr>
              <w:adjustRightInd w:val="0"/>
              <w:snapToGrid w:val="0"/>
              <w:spacing w:line="360" w:lineRule="auto"/>
              <w:ind w:left="480"/>
              <w:rPr>
                <w:color w:val="auto"/>
                <w:sz w:val="24"/>
                <w:szCs w:val="24"/>
                <w:highlight w:val="none"/>
              </w:rPr>
            </w:pPr>
            <w:r>
              <w:rPr>
                <w:color w:val="auto"/>
                <w:sz w:val="24"/>
                <w:szCs w:val="24"/>
                <w:highlight w:val="none"/>
              </w:rPr>
              <w:t>⑷固废环境影响分析结论</w:t>
            </w:r>
          </w:p>
          <w:p>
            <w:pPr>
              <w:spacing w:line="360" w:lineRule="auto"/>
              <w:ind w:firstLine="520" w:firstLineChars="200"/>
              <w:rPr>
                <w:color w:val="auto"/>
                <w:sz w:val="24"/>
                <w:szCs w:val="24"/>
                <w:highlight w:val="none"/>
              </w:rPr>
            </w:pPr>
            <w:r>
              <w:rPr>
                <w:rFonts w:hint="eastAsia" w:ascii="宋体" w:hAnsi="宋体"/>
                <w:color w:val="auto"/>
                <w:spacing w:val="10"/>
                <w:sz w:val="24"/>
                <w:highlight w:val="none"/>
                <w:shd w:val="clear" w:color="auto" w:fill="auto"/>
              </w:rPr>
              <w:t>一般工业固废</w:t>
            </w:r>
            <w:r>
              <w:rPr>
                <w:rFonts w:ascii="宋体" w:hAnsi="宋体"/>
                <w:color w:val="auto"/>
                <w:spacing w:val="10"/>
                <w:sz w:val="24"/>
                <w:highlight w:val="none"/>
                <w:shd w:val="clear" w:color="auto" w:fill="auto"/>
              </w:rPr>
              <w:t>交</w:t>
            </w:r>
            <w:r>
              <w:rPr>
                <w:rFonts w:hint="eastAsia" w:ascii="宋体" w:hAnsi="宋体"/>
                <w:color w:val="auto"/>
                <w:spacing w:val="10"/>
                <w:sz w:val="24"/>
                <w:highlight w:val="none"/>
                <w:shd w:val="clear" w:color="auto" w:fill="auto"/>
              </w:rPr>
              <w:t>专业公司回收处理；</w:t>
            </w:r>
            <w:r>
              <w:rPr>
                <w:rFonts w:hint="eastAsia" w:ascii="宋体" w:hAnsi="宋体"/>
                <w:color w:val="auto"/>
                <w:spacing w:val="10"/>
                <w:sz w:val="24"/>
                <w:highlight w:val="none"/>
                <w:shd w:val="clear" w:color="auto" w:fill="auto"/>
                <w:lang w:eastAsia="zh-CN"/>
              </w:rPr>
              <w:t>危险废物</w:t>
            </w:r>
            <w:r>
              <w:rPr>
                <w:rFonts w:hint="eastAsia" w:ascii="宋体" w:hAnsi="宋体"/>
                <w:color w:val="auto"/>
                <w:spacing w:val="10"/>
                <w:sz w:val="24"/>
                <w:highlight w:val="none"/>
                <w:shd w:val="clear" w:color="auto" w:fill="auto"/>
              </w:rPr>
              <w:t>交给有危险废物处置资质单位处置</w:t>
            </w:r>
            <w:r>
              <w:rPr>
                <w:rFonts w:hint="eastAsia"/>
                <w:bCs/>
                <w:color w:val="auto"/>
                <w:sz w:val="24"/>
                <w:highlight w:val="none"/>
                <w:lang w:eastAsia="zh-CN"/>
              </w:rPr>
              <w:t>；</w:t>
            </w:r>
            <w:r>
              <w:rPr>
                <w:rFonts w:hint="eastAsia"/>
                <w:color w:val="auto"/>
                <w:spacing w:val="-4"/>
                <w:sz w:val="24"/>
                <w:highlight w:val="none"/>
                <w:shd w:val="clear" w:color="auto" w:fill="auto"/>
              </w:rPr>
              <w:t>员工生活</w:t>
            </w:r>
            <w:r>
              <w:rPr>
                <w:rFonts w:hint="eastAsia"/>
                <w:color w:val="auto"/>
                <w:sz w:val="24"/>
                <w:highlight w:val="none"/>
                <w:shd w:val="clear" w:color="auto" w:fill="auto"/>
              </w:rPr>
              <w:t>产生</w:t>
            </w:r>
            <w:r>
              <w:rPr>
                <w:rFonts w:hint="eastAsia"/>
                <w:bCs/>
                <w:color w:val="auto"/>
                <w:sz w:val="24"/>
                <w:highlight w:val="none"/>
                <w:shd w:val="clear" w:color="auto" w:fill="auto"/>
              </w:rPr>
              <w:t>的普通</w:t>
            </w:r>
            <w:r>
              <w:rPr>
                <w:rFonts w:hint="eastAsia"/>
                <w:color w:val="auto"/>
                <w:sz w:val="24"/>
                <w:highlight w:val="none"/>
                <w:shd w:val="clear" w:color="auto" w:fill="auto"/>
              </w:rPr>
              <w:t>生活垃圾必须按照指定地点堆放在生活垃圾堆放点，每日由环卫部门清理运走，并对堆放点进行定期的清洁消毒，杀灭害虫。因此，项目产生的固体废物经处理后对周围环境影响不明显。</w:t>
            </w:r>
          </w:p>
          <w:p>
            <w:pPr>
              <w:spacing w:before="78" w:beforeLines="25" w:line="360" w:lineRule="auto"/>
              <w:ind w:firstLine="480" w:firstLineChars="200"/>
              <w:rPr>
                <w:color w:val="auto"/>
                <w:sz w:val="24"/>
                <w:szCs w:val="24"/>
                <w:highlight w:val="none"/>
              </w:rPr>
            </w:pPr>
            <w:r>
              <w:rPr>
                <w:color w:val="auto"/>
                <w:sz w:val="24"/>
                <w:szCs w:val="24"/>
                <w:highlight w:val="none"/>
              </w:rPr>
              <w:t>4、综合结论</w:t>
            </w:r>
          </w:p>
          <w:p>
            <w:pPr>
              <w:spacing w:line="360" w:lineRule="auto"/>
              <w:ind w:firstLine="480" w:firstLineChars="200"/>
              <w:rPr>
                <w:color w:val="auto"/>
                <w:sz w:val="24"/>
                <w:szCs w:val="24"/>
                <w:highlight w:val="none"/>
              </w:rPr>
            </w:pPr>
            <w:r>
              <w:rPr>
                <w:color w:val="auto"/>
                <w:sz w:val="24"/>
                <w:szCs w:val="24"/>
                <w:highlight w:val="none"/>
              </w:rPr>
              <w:t>综上所述，</w:t>
            </w:r>
            <w:r>
              <w:rPr>
                <w:rFonts w:hint="eastAsia"/>
                <w:color w:val="auto"/>
                <w:sz w:val="24"/>
                <w:szCs w:val="22"/>
                <w:highlight w:val="none"/>
                <w:lang w:eastAsia="zh-CN"/>
              </w:rPr>
              <w:t>开平市水口镇海旺五金制品厂年产五金卫浴配件30吨项目</w:t>
            </w:r>
            <w:r>
              <w:rPr>
                <w:color w:val="auto"/>
                <w:sz w:val="24"/>
                <w:szCs w:val="24"/>
                <w:highlight w:val="none"/>
              </w:rPr>
              <w:t>符合产业政策，选址环境合理。项目区域周边无大的环境制约因素，营运期产生的废水、废气、噪声及固废污染防治措施及各种生态环境保护措施技术可靠、经济可行，污染物经过处理后对区域内环境质量影响不大。只要项目认真落实报告中提出的各项污染防治对策措施，严格执行“三同时”制度，确保污染物达标排放、固体废弃物安全处置，则从环境角度出发，本项目建设是可行的。</w:t>
            </w:r>
          </w:p>
          <w:p>
            <w:pPr>
              <w:spacing w:line="360" w:lineRule="auto"/>
              <w:ind w:firstLine="480" w:firstLineChars="200"/>
              <w:rPr>
                <w:color w:val="auto"/>
                <w:sz w:val="24"/>
                <w:szCs w:val="24"/>
                <w:highlight w:val="none"/>
              </w:rPr>
            </w:pPr>
            <w:r>
              <w:rPr>
                <w:color w:val="auto"/>
                <w:sz w:val="24"/>
                <w:szCs w:val="24"/>
                <w:highlight w:val="none"/>
              </w:rPr>
              <w:t>二、要求与建议</w:t>
            </w:r>
          </w:p>
          <w:p>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w:t>
            </w:r>
            <w:r>
              <w:rPr>
                <w:rFonts w:ascii="Times New Roman" w:hAnsi="Times New Roman"/>
                <w:color w:val="auto"/>
                <w:sz w:val="24"/>
                <w:highlight w:val="none"/>
              </w:rPr>
              <w:t>1</w:t>
            </w:r>
            <w:r>
              <w:rPr>
                <w:rFonts w:hint="eastAsia" w:ascii="Times New Roman" w:hAnsi="Times New Roman"/>
                <w:color w:val="auto"/>
                <w:sz w:val="24"/>
                <w:highlight w:val="none"/>
              </w:rPr>
              <w:t>）为了能使厂区内各项污染防治措施达到较好的实际使用效果，建议厂方建立健全的环境保护制度，设立专人负责环保工作，负责经常性的监督管理工作；</w:t>
            </w:r>
          </w:p>
          <w:p>
            <w:pPr>
              <w:spacing w:line="360" w:lineRule="auto"/>
              <w:ind w:firstLine="480" w:firstLineChars="200"/>
              <w:rPr>
                <w:color w:val="auto"/>
                <w:sz w:val="24"/>
                <w:szCs w:val="24"/>
                <w:highlight w:val="none"/>
              </w:rPr>
            </w:pPr>
            <w:r>
              <w:rPr>
                <w:rFonts w:hint="eastAsia" w:ascii="Times New Roman" w:hAnsi="Times New Roman"/>
                <w:color w:val="auto"/>
                <w:sz w:val="24"/>
                <w:highlight w:val="none"/>
              </w:rPr>
              <w:t>（</w:t>
            </w:r>
            <w:r>
              <w:rPr>
                <w:rFonts w:ascii="Times New Roman" w:hAnsi="Times New Roman"/>
                <w:color w:val="auto"/>
                <w:sz w:val="24"/>
                <w:highlight w:val="none"/>
              </w:rPr>
              <w:t>2</w:t>
            </w:r>
            <w:r>
              <w:rPr>
                <w:rFonts w:hint="eastAsia" w:ascii="Times New Roman" w:hAnsi="Times New Roman"/>
                <w:color w:val="auto"/>
                <w:sz w:val="24"/>
                <w:highlight w:val="none"/>
              </w:rPr>
              <w:t>）如设备、原辅材料消耗、规模等情况有较大的变动，应及时向有关部门及时申报。</w:t>
            </w:r>
          </w:p>
          <w:p>
            <w:pPr>
              <w:spacing w:line="360" w:lineRule="auto"/>
              <w:ind w:firstLine="480" w:firstLineChars="200"/>
              <w:rPr>
                <w:color w:val="auto"/>
                <w:sz w:val="24"/>
                <w:szCs w:val="24"/>
                <w:highlight w:val="none"/>
              </w:rPr>
            </w:pPr>
            <w:r>
              <w:rPr>
                <w:color w:val="auto"/>
                <w:sz w:val="24"/>
                <w:szCs w:val="24"/>
                <w:highlight w:val="none"/>
              </w:rPr>
              <w:t xml:space="preserve"> </w:t>
            </w:r>
          </w:p>
          <w:p>
            <w:pPr>
              <w:pStyle w:val="2"/>
              <w:wordWrap w:val="0"/>
              <w:spacing w:line="360" w:lineRule="auto"/>
              <w:jc w:val="right"/>
              <w:rPr>
                <w:rFonts w:hint="default"/>
                <w:color w:val="auto"/>
                <w:sz w:val="24"/>
                <w:highlight w:val="none"/>
                <w:shd w:val="clear" w:color="auto" w:fill="auto"/>
                <w:lang w:val="en-US" w:eastAsia="zh-CN"/>
              </w:rPr>
            </w:pPr>
            <w:r>
              <w:rPr>
                <w:rFonts w:hint="eastAsia"/>
                <w:color w:val="auto"/>
                <w:sz w:val="24"/>
                <w:highlight w:val="none"/>
                <w:shd w:val="clear" w:color="auto" w:fill="auto"/>
                <w:lang w:eastAsia="zh-CN"/>
              </w:rPr>
              <w:t>评价单位：</w:t>
            </w:r>
            <w:r>
              <w:rPr>
                <w:rFonts w:hint="eastAsia"/>
                <w:color w:val="auto"/>
                <w:sz w:val="24"/>
                <w:highlight w:val="none"/>
                <w:shd w:val="clear" w:color="auto" w:fill="auto"/>
                <w:lang w:val="en-US" w:eastAsia="zh-CN"/>
              </w:rPr>
              <w:t xml:space="preserve">                              </w:t>
            </w:r>
          </w:p>
          <w:p>
            <w:pPr>
              <w:pStyle w:val="2"/>
              <w:wordWrap w:val="0"/>
              <w:spacing w:line="360" w:lineRule="auto"/>
              <w:jc w:val="right"/>
              <w:rPr>
                <w:rFonts w:hint="eastAsia"/>
                <w:color w:val="auto"/>
                <w:sz w:val="24"/>
                <w:highlight w:val="none"/>
                <w:shd w:val="clear" w:color="auto" w:fill="auto"/>
                <w:lang w:val="en-US" w:eastAsia="zh-CN"/>
              </w:rPr>
            </w:pP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lang w:eastAsia="zh-CN"/>
              </w:rPr>
              <w:t>项目负责人：</w:t>
            </w:r>
            <w:r>
              <w:rPr>
                <w:rFonts w:hint="eastAsia"/>
                <w:color w:val="auto"/>
                <w:sz w:val="24"/>
                <w:highlight w:val="none"/>
                <w:shd w:val="clear" w:color="auto" w:fill="auto"/>
                <w:lang w:val="en-US" w:eastAsia="zh-CN"/>
              </w:rPr>
              <w:t xml:space="preserve">                            </w:t>
            </w:r>
          </w:p>
          <w:p>
            <w:pPr>
              <w:pStyle w:val="2"/>
              <w:spacing w:line="360" w:lineRule="auto"/>
              <w:jc w:val="center"/>
              <w:rPr>
                <w:rFonts w:hint="eastAsia"/>
                <w:color w:val="auto"/>
                <w:sz w:val="24"/>
                <w:highlight w:val="none"/>
                <w:shd w:val="clear" w:color="auto" w:fill="auto"/>
                <w:lang w:eastAsia="zh-CN"/>
              </w:rPr>
            </w:pP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lang w:eastAsia="zh-CN"/>
              </w:rPr>
              <w:t>审核日期：</w:t>
            </w:r>
          </w:p>
          <w:p>
            <w:pPr>
              <w:pStyle w:val="41"/>
              <w:rPr>
                <w:color w:val="auto"/>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p>
          <w:p>
            <w:pPr>
              <w:spacing w:line="360" w:lineRule="auto"/>
              <w:rPr>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62" w:type="dxa"/>
          <w:trHeight w:val="5520" w:hRule="atLeast"/>
          <w:jc w:val="center"/>
        </w:trPr>
        <w:tc>
          <w:tcPr>
            <w:tcW w:w="9180" w:type="dxa"/>
            <w:gridSpan w:val="2"/>
          </w:tcPr>
          <w:p>
            <w:pPr>
              <w:spacing w:before="240"/>
              <w:rPr>
                <w:color w:val="auto"/>
                <w:sz w:val="24"/>
                <w:highlight w:val="none"/>
              </w:rPr>
            </w:pPr>
            <w:r>
              <w:rPr>
                <w:color w:val="auto"/>
                <w:sz w:val="24"/>
                <w:highlight w:val="none"/>
              </w:rPr>
              <w:t>预审意见:</w:t>
            </w: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rPr>
                <w:color w:val="auto"/>
                <w:sz w:val="24"/>
                <w:szCs w:val="24"/>
                <w:highlight w:val="none"/>
              </w:rPr>
            </w:pPr>
          </w:p>
          <w:p>
            <w:pPr>
              <w:spacing w:before="240"/>
              <w:ind w:firstLine="7920" w:firstLineChars="3300"/>
              <w:rPr>
                <w:color w:val="auto"/>
                <w:sz w:val="24"/>
                <w:szCs w:val="24"/>
                <w:highlight w:val="none"/>
              </w:rPr>
            </w:pPr>
            <w:r>
              <w:rPr>
                <w:color w:val="auto"/>
                <w:sz w:val="24"/>
                <w:szCs w:val="24"/>
                <w:highlight w:val="none"/>
              </w:rPr>
              <w:t>公章</w:t>
            </w:r>
          </w:p>
          <w:p>
            <w:pPr>
              <w:spacing w:before="240"/>
              <w:jc w:val="left"/>
              <w:rPr>
                <w:color w:val="auto"/>
                <w:sz w:val="24"/>
                <w:szCs w:val="24"/>
                <w:highlight w:val="none"/>
              </w:rPr>
            </w:pPr>
            <w:r>
              <w:rPr>
                <w:color w:val="auto"/>
                <w:sz w:val="24"/>
                <w:szCs w:val="24"/>
                <w:highlight w:val="none"/>
              </w:rPr>
              <w:t>经办人:                                                        年   月   日</w:t>
            </w:r>
          </w:p>
          <w:p>
            <w:pPr>
              <w:spacing w:before="240"/>
              <w:jc w:val="right"/>
              <w:rPr>
                <w:b/>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62" w:type="dxa"/>
          <w:trHeight w:val="5520" w:hRule="atLeast"/>
          <w:jc w:val="center"/>
        </w:trPr>
        <w:tc>
          <w:tcPr>
            <w:tcW w:w="9180" w:type="dxa"/>
            <w:gridSpan w:val="2"/>
          </w:tcPr>
          <w:p>
            <w:pPr>
              <w:spacing w:before="240"/>
              <w:rPr>
                <w:color w:val="auto"/>
                <w:sz w:val="24"/>
                <w:highlight w:val="none"/>
              </w:rPr>
            </w:pPr>
            <w:r>
              <w:rPr>
                <w:color w:val="auto"/>
                <w:sz w:val="24"/>
                <w:highlight w:val="none"/>
              </w:rPr>
              <w:t>下一级环境保护行政主管部门审查意见:</w:t>
            </w: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rPr>
                <w:color w:val="auto"/>
                <w:highlight w:val="none"/>
              </w:rPr>
            </w:pPr>
          </w:p>
          <w:p>
            <w:pPr>
              <w:spacing w:before="240"/>
              <w:ind w:firstLine="7920" w:firstLineChars="3300"/>
              <w:rPr>
                <w:color w:val="auto"/>
                <w:sz w:val="24"/>
                <w:szCs w:val="24"/>
                <w:highlight w:val="none"/>
              </w:rPr>
            </w:pPr>
            <w:r>
              <w:rPr>
                <w:color w:val="auto"/>
                <w:sz w:val="24"/>
                <w:szCs w:val="24"/>
                <w:highlight w:val="none"/>
              </w:rPr>
              <w:t>公章</w:t>
            </w:r>
          </w:p>
          <w:p>
            <w:pPr>
              <w:spacing w:before="240"/>
              <w:rPr>
                <w:color w:val="auto"/>
                <w:highlight w:val="none"/>
              </w:rPr>
            </w:pPr>
            <w:r>
              <w:rPr>
                <w:color w:val="auto"/>
                <w:sz w:val="24"/>
                <w:szCs w:val="24"/>
                <w:highlight w:val="none"/>
              </w:rPr>
              <w:t>经办人:                                                        年   月   日</w:t>
            </w:r>
          </w:p>
          <w:p>
            <w:pPr>
              <w:pStyle w:val="19"/>
              <w:rPr>
                <w:color w:val="auto"/>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04" w:hRule="atLeast"/>
          <w:jc w:val="center"/>
        </w:trPr>
        <w:tc>
          <w:tcPr>
            <w:tcW w:w="9242" w:type="dxa"/>
            <w:gridSpan w:val="3"/>
          </w:tcPr>
          <w:p>
            <w:pPr>
              <w:spacing w:before="240"/>
              <w:rPr>
                <w:color w:val="auto"/>
                <w:sz w:val="24"/>
                <w:highlight w:val="none"/>
              </w:rPr>
            </w:pPr>
            <w:r>
              <w:rPr>
                <w:color w:val="auto"/>
                <w:sz w:val="24"/>
                <w:highlight w:val="none"/>
              </w:rPr>
              <w:t>审批意见:</w:t>
            </w: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rPr>
                <w:color w:val="auto"/>
                <w:sz w:val="24"/>
                <w:highlight w:val="none"/>
              </w:rPr>
            </w:pPr>
          </w:p>
          <w:p>
            <w:pPr>
              <w:spacing w:before="240"/>
              <w:ind w:firstLine="7920" w:firstLineChars="3300"/>
              <w:rPr>
                <w:color w:val="auto"/>
                <w:sz w:val="24"/>
                <w:szCs w:val="24"/>
                <w:highlight w:val="none"/>
              </w:rPr>
            </w:pPr>
            <w:r>
              <w:rPr>
                <w:color w:val="auto"/>
                <w:sz w:val="24"/>
                <w:szCs w:val="24"/>
                <w:highlight w:val="none"/>
              </w:rPr>
              <w:t>公章</w:t>
            </w:r>
          </w:p>
          <w:p>
            <w:pPr>
              <w:spacing w:before="240"/>
              <w:rPr>
                <w:b/>
                <w:color w:val="auto"/>
                <w:sz w:val="32"/>
                <w:highlight w:val="none"/>
              </w:rPr>
            </w:pPr>
            <w:r>
              <w:rPr>
                <w:color w:val="auto"/>
                <w:sz w:val="24"/>
                <w:szCs w:val="24"/>
                <w:highlight w:val="none"/>
              </w:rPr>
              <w:t>经办人:                                                        年   月   日</w:t>
            </w:r>
          </w:p>
        </w:tc>
      </w:tr>
    </w:tbl>
    <w:p>
      <w:pPr>
        <w:jc w:val="center"/>
        <w:rPr>
          <w:b/>
          <w:color w:val="auto"/>
          <w:sz w:val="24"/>
          <w:szCs w:val="24"/>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color w:val="auto"/>
          <w:highlight w:val="none"/>
        </w:rPr>
      </w:pPr>
      <w:r>
        <w:rPr>
          <w:color w:val="auto"/>
          <w:highlight w:val="none"/>
        </w:rPr>
        <w:drawing>
          <wp:anchor distT="0" distB="0" distL="114935" distR="114935" simplePos="0" relativeHeight="3884533760" behindDoc="0" locked="0" layoutInCell="1" allowOverlap="1">
            <wp:simplePos x="0" y="0"/>
            <wp:positionH relativeFrom="column">
              <wp:posOffset>7808595</wp:posOffset>
            </wp:positionH>
            <wp:positionV relativeFrom="paragraph">
              <wp:posOffset>19685</wp:posOffset>
            </wp:positionV>
            <wp:extent cx="647700" cy="695325"/>
            <wp:effectExtent l="9525" t="9525" r="9525" b="1905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9"/>
                    <a:stretch>
                      <a:fillRect/>
                    </a:stretch>
                  </pic:blipFill>
                  <pic:spPr>
                    <a:xfrm>
                      <a:off x="0" y="0"/>
                      <a:ext cx="647700" cy="695325"/>
                    </a:xfrm>
                    <a:prstGeom prst="rect">
                      <a:avLst/>
                    </a:prstGeom>
                    <a:noFill/>
                    <a:ln>
                      <a:solidFill>
                        <a:schemeClr val="tx1"/>
                      </a:solidFill>
                    </a:ln>
                  </pic:spPr>
                </pic:pic>
              </a:graphicData>
            </a:graphic>
          </wp:anchor>
        </w:drawing>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4549775</wp:posOffset>
                </wp:positionH>
                <wp:positionV relativeFrom="paragraph">
                  <wp:posOffset>2835910</wp:posOffset>
                </wp:positionV>
                <wp:extent cx="1286510" cy="612140"/>
                <wp:effectExtent l="398145" t="158115" r="29845" b="29845"/>
                <wp:wrapNone/>
                <wp:docPr id="17" name="线形标注 2 12"/>
                <wp:cNvGraphicFramePr/>
                <a:graphic xmlns:a="http://schemas.openxmlformats.org/drawingml/2006/main">
                  <a:graphicData uri="http://schemas.microsoft.com/office/word/2010/wordprocessingShape">
                    <wps:wsp>
                      <wps:cNvSpPr/>
                      <wps:spPr>
                        <a:xfrm>
                          <a:off x="0" y="0"/>
                          <a:ext cx="1286510" cy="612140"/>
                        </a:xfrm>
                        <a:prstGeom prst="borderCallout2">
                          <a:avLst>
                            <a:gd name="adj1" fmla="val 18750"/>
                            <a:gd name="adj2" fmla="val -8333"/>
                            <a:gd name="adj3" fmla="val 18750"/>
                            <a:gd name="adj4" fmla="val -16667"/>
                            <a:gd name="adj5" fmla="val -24718"/>
                            <a:gd name="adj6" fmla="val -30139"/>
                          </a:avLst>
                        </a:prstGeom>
                        <a:noFill/>
                        <a:ln w="25400" cap="flat" cmpd="sng">
                          <a:solidFill>
                            <a:srgbClr val="FF0000"/>
                          </a:solidFill>
                          <a:prstDash val="solid"/>
                          <a:round/>
                          <a:headEnd type="none" w="med" len="med"/>
                          <a:tailEnd type="none" w="med" len="med"/>
                        </a:ln>
                      </wps:spPr>
                      <wps:txbx>
                        <w:txbxContent>
                          <w:p>
                            <w:pPr>
                              <w:jc w:val="center"/>
                              <w:rPr>
                                <w:b/>
                                <w:color w:val="FF0000"/>
                                <w:sz w:val="24"/>
                                <w:szCs w:val="24"/>
                              </w:rPr>
                            </w:pPr>
                            <w:r>
                              <w:rPr>
                                <w:rFonts w:hint="eastAsia"/>
                                <w:b/>
                                <w:color w:val="FF0000"/>
                                <w:sz w:val="24"/>
                                <w:szCs w:val="24"/>
                              </w:rPr>
                              <w:t>项目所在地</w:t>
                            </w:r>
                          </w:p>
                        </w:txbxContent>
                      </wps:txbx>
                      <wps:bodyPr wrap="square" anchor="ctr" upright="1"/>
                    </wps:wsp>
                  </a:graphicData>
                </a:graphic>
              </wp:anchor>
            </w:drawing>
          </mc:Choice>
          <mc:Fallback>
            <w:pict>
              <v:shape id="线形标注 2 12" o:spid="_x0000_s1026" o:spt="48" type="#_x0000_t48" style="position:absolute;left:0pt;margin-left:358.25pt;margin-top:223.3pt;height:48.2pt;width:101.3pt;z-index:251674624;v-text-anchor:middle;mso-width-relative:page;mso-height-relative:page;" filled="f" stroked="t" coordsize="21600,21600" o:gfxdata="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nVYbtsA&#10;AAALAQAADwAAAAAAAAABACAAAAAiAAAAZHJzL2Rvd25yZXYueG1sUEsBAhQAFAAAAAgAh07iQLtK&#10;G1tVAgAAxgQAAA4AAAAAAAAAAQAgAAAAKgEAAGRycy9lMm9Eb2MueG1sUEsFBgAAAAAGAAYAWQEA&#10;APEFAAAAAA==&#10;" adj="-6510,-5339,-3600,4050,-1800,4050">
                <v:fill on="f" focussize="0,0"/>
                <v:stroke weight="2pt" color="#FF0000" joinstyle="round"/>
                <v:imagedata o:title=""/>
                <o:lock v:ext="edit" aspectratio="f"/>
                <v:textbox>
                  <w:txbxContent>
                    <w:p>
                      <w:pPr>
                        <w:jc w:val="center"/>
                        <w:rPr>
                          <w:b/>
                          <w:color w:val="FF0000"/>
                          <w:sz w:val="24"/>
                          <w:szCs w:val="24"/>
                        </w:rPr>
                      </w:pPr>
                      <w:r>
                        <w:rPr>
                          <w:rFonts w:hint="eastAsia"/>
                          <w:b/>
                          <w:color w:val="FF0000"/>
                          <w:sz w:val="24"/>
                          <w:szCs w:val="24"/>
                        </w:rPr>
                        <w:t>项目所在地</w:t>
                      </w:r>
                    </w:p>
                  </w:txbxContent>
                </v:textbox>
              </v:shape>
            </w:pict>
          </mc:Fallback>
        </mc:AlternateContent>
      </w:r>
      <w:r>
        <w:rPr>
          <w:color w:val="auto"/>
          <w:highlight w:val="none"/>
        </w:rPr>
        <w:drawing>
          <wp:inline distT="0" distB="0" distL="114300" distR="114300">
            <wp:extent cx="8039100" cy="5362575"/>
            <wp:effectExtent l="9525" t="9525" r="9525" b="1905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60"/>
                    <a:stretch>
                      <a:fillRect/>
                    </a:stretch>
                  </pic:blipFill>
                  <pic:spPr>
                    <a:xfrm>
                      <a:off x="0" y="0"/>
                      <a:ext cx="8039100" cy="5362575"/>
                    </a:xfrm>
                    <a:prstGeom prst="rect">
                      <a:avLst/>
                    </a:prstGeom>
                    <a:noFill/>
                    <a:ln>
                      <a:solidFill>
                        <a:schemeClr val="tx1"/>
                      </a:solidFill>
                    </a:ln>
                  </pic:spPr>
                </pic:pic>
              </a:graphicData>
            </a:graphic>
          </wp:inline>
        </w:drawing>
      </w:r>
    </w:p>
    <w:p>
      <w:pPr>
        <w:jc w:val="center"/>
        <w:outlineLvl w:val="0"/>
        <w:rPr>
          <w:color w:val="auto"/>
          <w:highlight w:val="none"/>
        </w:rPr>
        <w:sectPr>
          <w:footerReference r:id="rId6"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bookmarkStart w:id="115" w:name="_Toc1387"/>
      <w:r>
        <w:rPr>
          <w:b/>
          <w:color w:val="auto"/>
          <w:sz w:val="24"/>
          <w:szCs w:val="24"/>
          <w:highlight w:val="none"/>
        </w:rPr>
        <w:t>附图</w: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2551430</wp:posOffset>
                </wp:positionH>
                <wp:positionV relativeFrom="paragraph">
                  <wp:posOffset>5507355</wp:posOffset>
                </wp:positionV>
                <wp:extent cx="3556000" cy="288925"/>
                <wp:effectExtent l="0" t="0" r="0" b="0"/>
                <wp:wrapNone/>
                <wp:docPr id="15" name="文本框 2"/>
                <wp:cNvGraphicFramePr/>
                <a:graphic xmlns:a="http://schemas.openxmlformats.org/drawingml/2006/main">
                  <a:graphicData uri="http://schemas.microsoft.com/office/word/2010/wordprocessingShape">
                    <wps:wsp>
                      <wps:cNvSpPr txBox="1"/>
                      <wps:spPr>
                        <a:xfrm>
                          <a:off x="0" y="0"/>
                          <a:ext cx="3556000" cy="288925"/>
                        </a:xfrm>
                        <a:prstGeom prst="rect">
                          <a:avLst/>
                        </a:prstGeom>
                        <a:noFill/>
                        <a:ln w="9525">
                          <a:noFill/>
                        </a:ln>
                      </wps:spPr>
                      <wps:txbx>
                        <w:txbxContent>
                          <w:p>
                            <w:pPr>
                              <w:jc w:val="center"/>
                              <w:rPr>
                                <w:b/>
                                <w:sz w:val="24"/>
                              </w:rPr>
                            </w:pPr>
                            <w:r>
                              <w:rPr>
                                <w:rFonts w:hint="eastAsia"/>
                                <w:b/>
                                <w:sz w:val="24"/>
                              </w:rPr>
                              <w:t>附图</w:t>
                            </w:r>
                            <w:r>
                              <w:rPr>
                                <w:b/>
                                <w:sz w:val="24"/>
                              </w:rPr>
                              <w:t xml:space="preserve">1   </w:t>
                            </w:r>
                            <w:r>
                              <w:rPr>
                                <w:rFonts w:hint="eastAsia"/>
                                <w:b/>
                                <w:sz w:val="24"/>
                              </w:rPr>
                              <w:t>项目地理位置图</w:t>
                            </w:r>
                          </w:p>
                        </w:txbxContent>
                      </wps:txbx>
                      <wps:bodyPr wrap="square" upright="1">
                        <a:spAutoFit/>
                      </wps:bodyPr>
                    </wps:wsp>
                  </a:graphicData>
                </a:graphic>
              </wp:anchor>
            </w:drawing>
          </mc:Choice>
          <mc:Fallback>
            <w:pict>
              <v:shape id="文本框 2" o:spid="_x0000_s1026" o:spt="202" type="#_x0000_t202" style="position:absolute;left:0pt;margin-left:200.9pt;margin-top:433.65pt;height:22.75pt;width:280pt;z-index:251672576;mso-width-relative:page;mso-height-relative:page;" filled="f" stroked="f" coordsize="21600,21600" o:gfxdata="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37KddgA&#10;AAALAQAADwAAAAAAAAABACAAAAAiAAAAZHJzL2Rvd25yZXYueG1sUEsBAhQAFAAAAAgAh07iQGcg&#10;pHGtAQAAMgMAAA4AAAAAAAAAAQAgAAAAJwEAAGRycy9lMm9Eb2MueG1sUEsFBgAAAAAGAAYAWQEA&#10;AEYFAAAAAA==&#10;">
                <v:fill on="f" focussize="0,0"/>
                <v:stroke on="f"/>
                <v:imagedata o:title=""/>
                <o:lock v:ext="edit" aspectratio="f"/>
                <v:textbox style="mso-fit-shape-to-text:t;">
                  <w:txbxContent>
                    <w:p>
                      <w:pPr>
                        <w:jc w:val="center"/>
                        <w:rPr>
                          <w:b/>
                          <w:sz w:val="24"/>
                        </w:rPr>
                      </w:pPr>
                      <w:r>
                        <w:rPr>
                          <w:rFonts w:hint="eastAsia"/>
                          <w:b/>
                          <w:sz w:val="24"/>
                        </w:rPr>
                        <w:t>附图</w:t>
                      </w:r>
                      <w:r>
                        <w:rPr>
                          <w:b/>
                          <w:sz w:val="24"/>
                        </w:rPr>
                        <w:t xml:space="preserve">1   </w:t>
                      </w:r>
                      <w:r>
                        <w:rPr>
                          <w:rFonts w:hint="eastAsia"/>
                          <w:b/>
                          <w:sz w:val="24"/>
                        </w:rPr>
                        <w:t>项目地理位置图</w:t>
                      </w:r>
                    </w:p>
                  </w:txbxContent>
                </v:textbox>
              </v:shape>
            </w:pict>
          </mc:Fallback>
        </mc:AlternateContent>
      </w:r>
      <w:r>
        <w:rPr>
          <w:b/>
          <w:color w:val="auto"/>
          <w:sz w:val="24"/>
          <w:szCs w:val="24"/>
          <w:highlight w:val="none"/>
        </w:rPr>
        <w:t>1  项目地理位置图</w:t>
      </w:r>
      <w:bookmarkEnd w:id="115"/>
    </w:p>
    <w:p>
      <w:pPr>
        <w:bidi w:val="0"/>
        <w:jc w:val="center"/>
        <w:rPr>
          <w:b/>
          <w:color w:val="auto"/>
          <w:sz w:val="24"/>
          <w:szCs w:val="24"/>
          <w:highlight w:val="none"/>
        </w:rPr>
      </w:pPr>
      <w:bookmarkStart w:id="116" w:name="_Toc18760"/>
      <w:bookmarkStart w:id="117" w:name="_Toc9363"/>
      <w:r>
        <w:rPr>
          <w:color w:val="auto"/>
          <w:sz w:val="24"/>
          <w:highlight w:val="none"/>
        </w:rPr>
        <w:pict>
          <v:group id="_x0000_s2050" o:spid="_x0000_s2050" o:spt="203" style="height:327.25pt;width:432pt;" coordsize="5486400,4156074" editas="canvas">
            <o:lock v:ext="edit"/>
            <v:shape id="_x0000_s2051" o:spid="_x0000_s2051" o:spt="75" type="#_x0000_t75" style="position:absolute;left:0;top:0;height:4156074;width:5486400;" filled="f" stroked="t" coordsize="21600,21600">
              <v:fill on="f" focussize="0,0"/>
              <v:stroke color="#000000" joinstyle="miter"/>
              <v:imagedata o:title=""/>
              <o:lock v:ext="edit" aspectratio="f"/>
            </v:shape>
            <v:shape id="_x0000_s2052" o:spid="_x0000_s2052" style="position:absolute;left:1286510;top:488315;height:3030219;width:3206750;" filled="f" stroked="t" coordsize="2700,2563" path="m0,0hal1925,13hal2700,2563hal12,2563hal12,13hae">
              <v:path arrowok="t"/>
              <v:fill on="f" focussize="0,0"/>
              <v:stroke weight="1.25pt" color="#000000"/>
              <v:imagedata o:title=""/>
              <o:lock v:ext="edit" aspectratio="f"/>
            </v:shape>
            <v:shape id="_x0000_s2053" o:spid="_x0000_s2053" style="position:absolute;left:1310640;top:2943225;height:571500;width:563245;" filled="f" stroked="t" coordsize="887,900" path="m0,0hal887,0hal887,900hae">
              <v:path arrowok="t"/>
              <v:fill on="f" focussize="0,0"/>
              <v:stroke weight="1.25pt" color="#000000"/>
              <v:imagedata o:title=""/>
              <o:lock v:ext="edit" aspectratio="f"/>
            </v:shape>
            <v:shape id="_x0000_s2054" o:spid="_x0000_s2054" o:spt="136" type="#_x0000_t136" style="position:absolute;left:1413510;top:3178174;height:127000;width:313055;" fillcolor="#000000" filled="t" stroked="t" coordsize="21600,21600" adj="10800">
              <v:path/>
              <v:fill on="t" color2="#FFFFFF" focussize="0,0"/>
              <v:stroke color="#000000"/>
              <v:imagedata o:title=""/>
              <o:lock v:ext="edit" aspectratio="f"/>
              <v:textpath on="t" fitshape="t" fitpath="t" trim="t" xscale="f" string="办公室" style="font-family:宋体;font-size:18pt;v-text-align:center;"/>
            </v:shape>
            <v:shape id="_x0000_s2056" o:spid="_x0000_s2056" o:spt="136" type="#_x0000_t136" style="position:absolute;left:3413760;top:3176269;height:167640;width:323850;" fillcolor="#000000" filled="t" stroked="t" coordsize="21600,21600" adj="10800">
              <v:path/>
              <v:fill on="t" color2="#FFFFFF" focussize="0,0"/>
              <v:stroke color="#000000"/>
              <v:imagedata o:title=""/>
              <o:lock v:ext="edit" aspectratio="f"/>
              <v:textpath on="t" fitshape="t" fitpath="t" trim="t" xscale="f" string="仓库" style="font-family:宋体;font-size:18pt;v-text-align:center;"/>
            </v:shape>
            <v:shape id="_x0000_s2057" o:spid="_x0000_s2057" style="position:absolute;left:3255645;top:508635;height:998855;width:626745;" filled="f" stroked="t" coordsize="838,988" path="m838,988hal275,988hal0,0hae">
              <v:path arrowok="t"/>
              <v:fill on="f" focussize="0,0"/>
              <v:stroke weight="1.25pt" color="#000000"/>
              <v:imagedata o:title=""/>
              <o:lock v:ext="edit" aspectratio="f"/>
            </v:shape>
            <v:shape id="_x0000_s2059" o:spid="_x0000_s2059" style="position:absolute;left:1939290;top:2056765;height:706120;width:635;" filled="f" stroked="t" coordsize="1,1112" path="m0,0hal0,1112hae">
              <v:path arrowok="t"/>
              <v:fill on="f" focussize="0,0"/>
              <v:stroke weight="1.25pt" color="#000000"/>
              <v:imagedata o:title=""/>
              <o:lock v:ext="edit" aspectratio="f"/>
            </v:shape>
            <v:shape id="_x0000_s2060" o:spid="_x0000_s2060" o:spt="136" type="#_x0000_t136" style="position:absolute;left:1571625;top:1043305;height:668020;width:157480;" fillcolor="#000000" filled="t" stroked="t" coordsize="21600,21600" adj="10800">
              <v:path/>
              <v:fill on="t" color2="#FFFFFF" focussize="0,0"/>
              <v:stroke color="#000000"/>
              <v:imagedata o:title=""/>
              <o:lock v:ext="edit" aspectratio="f"/>
              <v:textpath on="t" fitshape="t" fitpath="t" trim="t" xscale="f" string="机&#10;加&#10;工&#10;区&#10;" style="font-family:宋体;font-size:18pt;v-text-align:center;"/>
            </v:shape>
            <v:shape id="_x0000_s2061" o:spid="_x0000_s2061" o:spt="136" type="#_x0000_t136" style="position:absolute;left:3505835;top:740410;height:580390;width:115570;rotation:-786432f;" fillcolor="#000000" filled="t" stroked="t" coordsize="21600,21600" adj="10800">
              <v:path/>
              <v:fill on="t" color2="#FFFFFF" focussize="0,0"/>
              <v:stroke color="#000000"/>
              <v:imagedata o:title=""/>
              <o:lock v:ext="edit" aspectratio="f"/>
              <v:textpath on="t" fitshape="t" fitpath="t" trim="t" xscale="f" string="机&#10;加&#10;工&#10;区" style="font-family:宋体;font-size:18pt;v-text-align:center;"/>
            </v:shape>
            <v:group id="_x0000_s2145" o:spid="_x0000_s2145" o:spt="203" style="position:absolute;left:1939290;top:880110;height:1158240;width:1459230;" coordorigin="3054,1386" coordsize="2298,1824">
              <o:lock v:ext="edit" aspectratio="f"/>
              <v:shape id="_x0000_s2058" o:spid="_x0000_s2058" style="position:absolute;left:3054;top:1386;height:1825;width:925;" filled="f" stroked="t" coordsize="937,1875" path="m937,0hal937,600hal0,600hal0,1875hae">
                <v:path arrowok="t"/>
                <v:fill on="f" focussize="0,0"/>
                <v:stroke weight="1.25pt" color="#000000"/>
                <v:imagedata o:title=""/>
                <o:lock v:ext="edit" aspectratio="f"/>
              </v:shape>
              <v:shape id="_x0000_s2062" o:spid="_x0000_s2062" style="position:absolute;left:3798;top:1973;height:120;width:1555;" filled="f" stroked="t" coordsize="1363,1" path="m0,0hal1363,0hae">
                <v:path arrowok="t"/>
                <v:fill on="f" focussize="0,0"/>
                <v:stroke weight="1.25pt" color="#000000"/>
                <v:imagedata o:title=""/>
                <o:lock v:ext="edit" aspectratio="f"/>
              </v:shape>
            </v:group>
            <v:shape id="_x0000_s2063" o:spid="_x0000_s2063" o:spt="136" type="#_x0000_t136" style="position:absolute;left:1389380;top:2329179;height:152400;width:327660;" fillcolor="#000000" filled="t" stroked="t" coordsize="21600,21600" adj="10800">
              <v:path/>
              <v:fill on="t" color2="#FFFFFF" focussize="0,0"/>
              <v:stroke color="#000000"/>
              <v:imagedata o:title=""/>
              <o:lock v:ext="edit" aspectratio="f"/>
              <v:textpath on="t" fitshape="t" fitpath="t" trim="t" xscale="f" string="仓库" style="font-family:宋体;font-size:18pt;v-text-align:center;"/>
            </v:shape>
            <v:shape id="_x0000_s2064" o:spid="_x0000_s2064" style="position:absolute;left:2199640;top:3430905;height:79375;width:635;" filled="f" stroked="t" coordsize="1,125" path="m0,0hal0,125hae">
              <v:path arrowok="t"/>
              <v:fill on="f" focussize="0,0"/>
              <v:stroke weight="1.25pt" color="#000000"/>
              <v:imagedata o:title=""/>
              <o:lock v:ext="edit" aspectratio="f"/>
            </v:shape>
            <v:shape id="_x0000_s2065" o:spid="_x0000_s2065" style="position:absolute;left:2442210;top:3434080;height:76200;width:0;" filled="f" stroked="t" coordsize="1,125" path="m0,0hal0,125hae">
              <v:path arrowok="t"/>
              <v:fill on="f" focussize="0,0"/>
              <v:stroke weight="1.25pt" color="#000000"/>
              <v:imagedata o:title=""/>
              <o:lock v:ext="edit" aspectratio="f"/>
            </v:shape>
            <v:shape id="_x0000_s2066" o:spid="_x0000_s2066" o:spt="136" type="#_x0000_t136" style="position:absolute;left:2120900;top:3599179;height:128905;width:355600;" fillcolor="#000000" filled="t" stroked="t" coordsize="21600,21600" adj="10800">
              <v:path/>
              <v:fill on="t" color2="#FFFFFF" focussize="0,0"/>
              <v:stroke color="#000000"/>
              <v:imagedata o:title=""/>
              <o:lock v:ext="edit" aspectratio="f"/>
              <v:textpath on="t" fitshape="t" fitpath="t" trim="t" xscale="f" string="厂房入口" style="font-family:宋体;font-size:18pt;v-text-align:center;"/>
            </v:shape>
            <v:shape id="_x0000_s2067" o:spid="_x0000_s2067" o:spt="136" type="#_x0000_t136" style="position:absolute;left:2696210;top:805180;height:152400;width:355600;" fillcolor="#000000" filled="t" stroked="t" coordsize="21600,21600" adj="10800">
              <v:path/>
              <v:fill on="t" color2="#FFFFFF" focussize="0,0"/>
              <v:stroke color="#000000"/>
              <v:imagedata o:title=""/>
              <o:lock v:ext="edit" aspectratio="f"/>
              <v:textpath on="t" fitshape="t" fitpath="t" trim="t" xscale="f" string="锻压区" style="font-family:宋体;font-size:18pt;v-text-align:center;"/>
            </v:shape>
            <v:shape id="_x0000_s2068" o:spid="_x0000_s2068" style="position:absolute;left:3498215;top:1779905;height:278130;width:476250;" filled="f" stroked="t" coordsize="288,363" path="m288,0hal0,13hal0,363hae">
              <v:path arrowok="t"/>
              <v:fill on="f" focussize="0,0"/>
              <v:stroke weight="1.25pt" color="#000000"/>
              <v:imagedata o:title=""/>
              <o:lock v:ext="edit" aspectratio="f"/>
            </v:shape>
            <v:shape id="_x0000_s2069" o:spid="_x0000_s2069" o:spt="136" type="#_x0000_t136" style="position:absolute;left:3529330;top:1845310;height:152400;width:355600;" fillcolor="#000000" filled="t" stroked="t" coordsize="21600,21600" adj="10800">
              <v:path/>
              <v:fill on="t" color2="#FFFFFF" focussize="0,0"/>
              <v:stroke color="#000000"/>
              <v:imagedata o:title=""/>
              <o:lock v:ext="edit" aspectratio="f"/>
              <v:textpath on="t" fitshape="t" fitpath="t" trim="t" xscale="f" string="开料区" style="font-family:宋体;font-size:18pt;v-text-align:center;"/>
            </v:shape>
            <v:shape id="_x0000_s2070" o:spid="_x0000_s2070" style="position:absolute;left:3880485;top:1891030;height:142875;width:55880;" filled="f" stroked="t" coordsize="88,225" path="m88,0hal0,225hae">
              <v:path arrowok="t"/>
              <v:fill on="f" focussize="0,0"/>
              <v:stroke weight="1.25pt" color="#000000"/>
              <v:imagedata o:title=""/>
              <o:lock v:ext="edit" aspectratio="f"/>
            </v:shape>
            <v:shape id="_x0000_s2071" o:spid="_x0000_s2071" style="position:absolute;left:3914140;top:1732280;height:238125;width:444500;" filled="f" stroked="t" coordsize="700,375" path="m0,375hal700,0hae">
              <v:path arrowok="t"/>
              <v:fill on="f" focussize="0,0"/>
              <v:stroke weight="1.25pt" color="#000000" startarrow="block"/>
              <v:imagedata o:title=""/>
              <o:lock v:ext="edit" aspectratio="f"/>
            </v:shape>
            <v:shape id="_x0000_s2072" o:spid="_x0000_s2072" o:spt="136" type="#_x0000_t136" style="position:absolute;left:4370705;top:1656080;height:135890;width:577850;" fillcolor="#000000" filled="t" stroked="t" coordsize="21600,21600" adj="10800">
              <v:path/>
              <v:fill on="t" color2="#FFFFFF" focussize="0,0"/>
              <v:stroke color="#000000"/>
              <v:imagedata o:title=""/>
              <o:lock v:ext="edit" aspectratio="f"/>
              <v:textpath on="t" fitshape="t" fitpath="t" trim="t" xscale="f" string="一般固废暂存点" style="font-family:宋体;font-size:18pt;v-text-align:center;"/>
            </v:shape>
            <v:shape id="_x0000_s2073" o:spid="_x0000_s2073" style="position:absolute;left:3851910;top:2049780;height:206375;width:238125;" filled="f" stroked="t" coordsize="375,325" path="m0,0hal0,325hal375,325hae">
              <v:path arrowok="t"/>
              <v:fill on="f" focussize="0,0"/>
              <v:stroke weight="1.25pt" color="#000000"/>
              <v:imagedata o:title=""/>
              <o:lock v:ext="edit" aspectratio="f"/>
            </v:shape>
            <v:shape id="_x0000_s2074" o:spid="_x0000_s2074" style="position:absolute;left:3942080;top:1957705;height:228600;width:444500;" filled="f" stroked="t" coordsize="700,375" path="m0,375hal700,0hae">
              <v:path arrowok="t"/>
              <v:fill on="f" focussize="0,0"/>
              <v:stroke weight="1.25pt" color="#000000" startarrow="block"/>
              <v:imagedata o:title=""/>
              <o:lock v:ext="edit" aspectratio="f"/>
            </v:shape>
            <v:shape id="_x0000_s2075" o:spid="_x0000_s2075" o:spt="136" type="#_x0000_t136" style="position:absolute;left:4418330;top:1997710;height:127000;width:571500;" fillcolor="#000000" filled="t" stroked="t" coordsize="21600,21600" adj="10800">
              <v:path/>
              <v:fill on="t" color2="#FFFFFF" focussize="0,0"/>
              <v:stroke color="#000000"/>
              <v:imagedata o:title=""/>
              <o:lock v:ext="edit" aspectratio="f"/>
              <v:textpath on="t" fitshape="t" fitpath="t" trim="t" xscale="f" string="危险废物暂存点" style="font-family:宋体;font-size:18pt;v-text-align:center;"/>
            </v:shape>
            <v:shape id="_x0000_s2076" o:spid="_x0000_s2076" style="position:absolute;left:1302385;top:2049780;height:635;width:1127125;" filled="f" stroked="t" coordsize="1775,1" path="m1775,0hal0,0hae">
              <v:path arrowok="t"/>
              <v:fill on="f" focussize="0,0"/>
              <v:stroke weight="1.25pt" color="#000000"/>
              <v:imagedata o:title=""/>
              <o:lock v:ext="edit" aspectratio="f"/>
            </v:shape>
            <v:shape id="_x0000_s2077" o:spid="_x0000_s2077" style="position:absolute;left:3143885;top:2049780;height:635;width:881380;" filled="f" stroked="t" coordsize="1388,1" path="m0,0hal1388,0hae">
              <v:path arrowok="t"/>
              <v:fill on="f" focussize="0,0"/>
              <v:stroke weight="1.25pt" color="#000000"/>
              <v:imagedata o:title=""/>
              <o:lock v:ext="edit" aspectratio="f"/>
            </v:shape>
            <v:shape id="_x0000_s2078" o:spid="_x0000_s2078" style="position:absolute;left:294640;top:504825;height:76200;width:539750;" filled="f" stroked="t" coordsize="1437,1" path="m1437,0hal0,0hae">
              <v:path arrowok="t"/>
              <v:fill on="f" focussize="0,0"/>
              <v:stroke weight="1.25pt" color="#000000" endarrow="block"/>
              <v:imagedata o:title=""/>
              <o:lock v:ext="edit" aspectratio="f"/>
            </v:shape>
            <v:shape id="_x0000_s2079" o:spid="_x0000_s2079" o:spt="136" type="#_x0000_t136" style="position:absolute;left:179705;top:179705;height:160655;width:125730;" fillcolor="#000000" filled="t" stroked="t" coordsize="21600,21600" adj="10800">
              <v:path/>
              <v:fill on="t" color2="#FFFFFF" focussize="0,0"/>
              <v:stroke color="#000000"/>
              <v:imagedata o:title=""/>
              <o:lock v:ext="edit" aspectratio="f"/>
              <v:textpath on="t" fitshape="t" fitpath="t" trim="t" xscale="f" string="N" style="font-family:宋体;font-size:18pt;v-text-align:center;"/>
            </v:shape>
            <v:shape id="_x0000_s2084" o:spid="_x0000_s2084" o:spt="100" style="position:absolute;left:2899410;top:3039109;height:466725;width:1409700;" filled="f" stroked="t" coordsize="1409700,466725" o:gfxdata="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i3DXdQAAAAFAQAADwAAAAAAAAABACAAAAAiAAAAZHJzL2Rvd25yZXYueG1s&#10;UEsBAhQAFAAAAAgAh07iQIMyHienAgAAOgYAAA4AAAAAAAAAAQAgAAAAIwEAAGRycy9lMm9Eb2Mu&#10;eG1sUEsFBgAAAAAGAAYAWQEAADwGAAAAAA==&#10;" path="m1409700,0l0,0,0,466725e">
              <v:path o:connectlocs="1409700,0;0,0;0,466725" o:connectangles="0,0,0"/>
              <v:fill on="f" focussize="0,0"/>
              <v:stroke weight="1.75pt" color="#000000" joinstyle="round"/>
              <v:imagedata o:title=""/>
              <o:lock v:ext="edit" aspectratio="f"/>
            </v:shape>
            <v:shape id="_x0000_s2112" o:spid="_x0000_s2112" o:spt="61" type="#_x0000_t61" style="position:absolute;left:323215;top:2284729;height:488315;width:816610;" filled="f" stroked="t" coordsize="21600,21600" adj="26202,45840">
              <v:path/>
              <v:fill on="f" focussize="0,0"/>
              <v:stroke weight="1.75pt" color="#000000" joinstyle="miter" dashstyle="1 1"/>
              <v:imagedata o:title=""/>
              <o:lock v:ext="edit" aspectratio="f"/>
              <v:textbox>
                <w:txbxContent>
                  <w:p>
                    <w:r>
                      <w:rPr>
                        <w:rFonts w:hint="eastAsia"/>
                      </w:rPr>
                      <w:t>生活污水排放口</w:t>
                    </w:r>
                  </w:p>
                </w:txbxContent>
              </v:textbox>
            </v:shape>
            <v:shape id="_x0000_s2113" o:spid="_x0000_s2113" o:spt="5" type="#_x0000_t5" style="position:absolute;left:1343025;top:3354704;height:76200;width:101600;" fillcolor="#FFFFFF" filled="t" stroked="t" coordsize="21600,21600" adj="10800">
              <v:path/>
              <v:fill on="t" color2="#FFFFFF" focussize="0,0"/>
              <v:stroke weight="0.5pt" color="#000000" joinstyle="miter" startarrow="block" endarrow="block"/>
              <v:imagedata o:title=""/>
              <o:lock v:ext="edit" aspectratio="f"/>
            </v:shape>
            <v:shape id="_x0000_s2120" o:spid="_x0000_s2120" o:spt="100" style="position:absolute;left:2527935;top:513080;height:381000;width:0;" filled="f" stroked="t" coordsize="1,381000" o:gfxdata="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JycUfSAAAABQEAAA8AAAAAAAAAAQAgAAAAIgAAAGRycy9kb3ducmV2&#10;LnhtbFBLAQIUABQAAAAIAIdO4kBXm2fidAIAAFMFAAAOAAAAAAAAAAEAIAAAACEBAABkcnMvZTJv&#10;RG9jLnhtbFBLBQYAAAAABgAGAFkBAAAHBgAAAAA=&#10;" path="m0,381000l0,0e">
              <v:path o:connectlocs="@0,381000;@0,0" o:connectangles="0,0"/>
              <v:fill on="f" focussize="0,0"/>
              <v:stroke weight="1.5pt" color="#000000" joinstyle="round"/>
              <v:imagedata o:title=""/>
              <o:lock v:ext="edit" aspectratio="f"/>
            </v:shape>
            <v:shape id="自选图形 3220" o:spid="_x0000_s2121" o:spt="61" type="#_x0000_t61" style="position:absolute;left:1536700;top:46355;height:299085;width:807085;" filled="f" stroked="t" coordsize="21600,21600" adj="31202,24646">
              <v:path/>
              <v:fill on="f" focussize="0,0"/>
              <v:stroke weight="1.75pt" color="#000000" joinstyle="miter" dashstyle="1 1"/>
              <v:imagedata o:title=""/>
              <o:lock v:ext="edit" aspectratio="f"/>
              <v:textbox>
                <w:txbxContent>
                  <w:p>
                    <w:r>
                      <w:rPr>
                        <w:rFonts w:hint="eastAsia"/>
                      </w:rPr>
                      <w:t>G1排放口</w:t>
                    </w:r>
                  </w:p>
                </w:txbxContent>
              </v:textbox>
            </v:shape>
            <v:shape id="椭圆 3221" o:spid="_x0000_s2122" o:spt="3" type="#_x0000_t3" style="position:absolute;left:2700655;top:398780;flip:x;height:76200;width:76200;" fillcolor="#FFFFFF" filled="t" stroked="t" coordsize="21600,21600">
              <v:path/>
              <v:fill on="t" color2="#FFFFFF" focussize="0,0"/>
              <v:stroke weight="2.25pt" color="#000000"/>
              <v:imagedata o:title=""/>
              <o:lock v:ext="edit" aspectratio="f"/>
            </v:shape>
            <v:shape id="椭圆 3221" o:spid="_x0000_s2123" o:spt="3" type="#_x0000_t3" style="position:absolute;left:2989580;top:398780;flip:x;height:76200;width:76200;" fillcolor="#FFFFFF" filled="t" stroked="t" coordsize="21600,21600">
              <v:path/>
              <v:fill on="t" color2="#FFFFFF" focussize="0,0"/>
              <v:stroke weight="2.25pt" color="#000000"/>
              <v:imagedata o:title=""/>
              <o:lock v:ext="edit" aspectratio="f"/>
            </v:shape>
            <v:shape id="自选图形 3220" o:spid="_x0000_s2124" o:spt="61" type="#_x0000_t61" style="position:absolute;left:3399155;top:36830;height:299085;width:788035;" filled="f" stroked="t" coordsize="21600,21600" adj="-8719,25636">
              <v:path/>
              <v:fill on="f" focussize="0,0"/>
              <v:stroke weight="1.75pt" color="#000000" joinstyle="miter" dashstyle="1 1"/>
              <v:imagedata o:title=""/>
              <o:lock v:ext="edit" aspectratio="f"/>
              <v:textbox>
                <w:txbxContent>
                  <w:p>
                    <w:r>
                      <w:rPr>
                        <w:rFonts w:hint="eastAsia"/>
                      </w:rPr>
                      <w:t>G</w:t>
                    </w:r>
                    <w:r>
                      <w:rPr>
                        <w:rFonts w:hint="eastAsia"/>
                        <w:lang w:val="en-US" w:eastAsia="zh-CN"/>
                      </w:rPr>
                      <w:t>2</w:t>
                    </w:r>
                    <w:r>
                      <w:rPr>
                        <w:rFonts w:hint="eastAsia"/>
                      </w:rPr>
                      <w:t>排放口</w:t>
                    </w:r>
                  </w:p>
                </w:txbxContent>
              </v:textbox>
            </v:shape>
            <v:shape id="_x0000_s2114" o:spid="_x0000_s2114" o:spt="136" type="#_x0000_t136" style="position:absolute;left:259080;top:3799204;height:76200;width:254000;" fillcolor="#000000" filled="t" stroked="t" coordsize="21600,21600" adj="10800">
              <v:path/>
              <v:fill on="t" color2="#FFFFFF" focussize="0,0"/>
              <v:stroke color="#000000"/>
              <v:imagedata o:title=""/>
              <o:lock v:ext="edit" aspectratio="f"/>
              <v:textpath on="t" fitshape="t" fitpath="t" trim="t" xscale="f" string="10m" style="font-family:宋体;font-size:16pt;v-text-align:center;"/>
            </v:shape>
            <v:shape id="_x0000_s2146" o:spid="_x0000_s2146" o:spt="100" style="position:absolute;left:194310;top:3869689;height:86995;width:927735;" filled="f" stroked="t" coordsize="1461,137" o:gfxdata="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RO4661gAAAAUBAAAPAAAAAAAAAAEAIAAA&#10;ACIAAABkcnMvZG93bnJldi54bWxQSwECFAAUAAAACACHTuJAOI7mG7kCAADgBgAADgAAAAAAAAAB&#10;ACAAAAAlAQAAZHJzL2Uyb0RvYy54bWxQSwUGAAAAAAYABgBZAQAAUAYAAAAA&#10;" path="m0,0l0,137,1461,137,1461,13e">
              <v:path textboxrect="0,0,1461,137" o:connectlocs="0,0;0,86995;927735,86995;927735,8255" o:connectangles="0,0,0,0"/>
              <v:fill on="f" focussize="0,0"/>
              <v:stroke weight="1.5pt" color="#000000" joinstyle="round"/>
              <v:imagedata o:title=""/>
              <o:lock v:ext="edit" aspectratio="f"/>
              <v:textbox>
                <w:txbxContent>
                  <w:p>
                    <w:pPr>
                      <w:jc w:val="center"/>
                    </w:pPr>
                  </w:p>
                </w:txbxContent>
              </v:textbox>
            </v:shape>
            <w10:wrap type="none"/>
            <w10:anchorlock/>
          </v:group>
        </w:pict>
      </w:r>
    </w:p>
    <w:p>
      <w:pPr>
        <w:jc w:val="center"/>
        <w:outlineLvl w:val="0"/>
        <w:rPr>
          <w:b/>
          <w:color w:val="auto"/>
          <w:sz w:val="24"/>
          <w:szCs w:val="24"/>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b/>
          <w:color w:val="auto"/>
          <w:sz w:val="24"/>
          <w:szCs w:val="24"/>
          <w:highlight w:val="none"/>
        </w:rPr>
        <w:t>附图2  项目车间平面布置</w:t>
      </w:r>
      <w:r>
        <w:rPr>
          <w:rFonts w:hint="eastAsia"/>
          <w:b/>
          <w:color w:val="auto"/>
          <w:sz w:val="24"/>
          <w:szCs w:val="24"/>
          <w:highlight w:val="none"/>
          <w:lang w:eastAsia="zh-CN"/>
        </w:rPr>
        <w:t>及四至示意</w:t>
      </w:r>
      <w:r>
        <w:rPr>
          <w:b/>
          <w:color w:val="auto"/>
          <w:sz w:val="24"/>
          <w:szCs w:val="24"/>
          <w:highlight w:val="none"/>
        </w:rPr>
        <w:t>图</w:t>
      </w:r>
      <w:bookmarkEnd w:id="116"/>
      <w:bookmarkEnd w:id="117"/>
    </w:p>
    <w:p>
      <w:pPr>
        <w:bidi w:val="0"/>
        <w:rPr>
          <w:color w:val="auto"/>
          <w:highlight w:val="none"/>
        </w:rPr>
      </w:pPr>
      <w:bookmarkStart w:id="118" w:name="_Toc21524"/>
    </w:p>
    <w:bookmarkEnd w:id="118"/>
    <w:p>
      <w:pPr>
        <w:pStyle w:val="2"/>
        <w:jc w:val="center"/>
        <w:rPr>
          <w:color w:val="auto"/>
          <w:highlight w:val="none"/>
        </w:rPr>
      </w:pPr>
      <w:r>
        <w:rPr>
          <w:color w:val="auto"/>
          <w:highlight w:val="none"/>
        </w:rPr>
        <w:drawing>
          <wp:anchor distT="0" distB="0" distL="114935" distR="114935" simplePos="0" relativeHeight="2673574912" behindDoc="0" locked="0" layoutInCell="1" allowOverlap="1">
            <wp:simplePos x="0" y="0"/>
            <wp:positionH relativeFrom="column">
              <wp:posOffset>7856220</wp:posOffset>
            </wp:positionH>
            <wp:positionV relativeFrom="paragraph">
              <wp:posOffset>19050</wp:posOffset>
            </wp:positionV>
            <wp:extent cx="647700" cy="695325"/>
            <wp:effectExtent l="9525" t="9525" r="9525" b="19050"/>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59"/>
                    <a:stretch>
                      <a:fillRect/>
                    </a:stretch>
                  </pic:blipFill>
                  <pic:spPr>
                    <a:xfrm>
                      <a:off x="0" y="0"/>
                      <a:ext cx="647700" cy="695325"/>
                    </a:xfrm>
                    <a:prstGeom prst="rect">
                      <a:avLst/>
                    </a:prstGeom>
                    <a:noFill/>
                    <a:ln>
                      <a:solidFill>
                        <a:schemeClr val="tx1"/>
                      </a:solidFill>
                    </a:ln>
                  </pic:spPr>
                </pic:pic>
              </a:graphicData>
            </a:graphic>
          </wp:anchor>
        </w:drawing>
      </w:r>
      <w:r>
        <w:rPr>
          <w:color w:val="auto"/>
          <w:highlight w:val="none"/>
        </w:rPr>
        <w:drawing>
          <wp:inline distT="0" distB="0" distL="114300" distR="114300">
            <wp:extent cx="8124825" cy="5334000"/>
            <wp:effectExtent l="9525" t="9525" r="19050" b="952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61"/>
                    <a:stretch>
                      <a:fillRect/>
                    </a:stretch>
                  </pic:blipFill>
                  <pic:spPr>
                    <a:xfrm>
                      <a:off x="0" y="0"/>
                      <a:ext cx="8124825" cy="5334000"/>
                    </a:xfrm>
                    <a:prstGeom prst="rect">
                      <a:avLst/>
                    </a:prstGeom>
                    <a:noFill/>
                    <a:ln>
                      <a:solidFill>
                        <a:schemeClr val="tx1"/>
                      </a:solidFill>
                    </a:ln>
                  </pic:spPr>
                </pic:pic>
              </a:graphicData>
            </a:graphic>
          </wp:inline>
        </w:drawing>
      </w:r>
    </w:p>
    <w:p>
      <w:pPr>
        <w:jc w:val="center"/>
        <w:outlineLvl w:val="0"/>
        <w:rPr>
          <w:rFonts w:hint="eastAsia" w:eastAsia="宋体"/>
          <w:color w:val="auto"/>
          <w:highlight w:val="none"/>
          <w:lang w:val="en-US" w:eastAsia="zh-CN"/>
        </w:rPr>
      </w:pPr>
      <w:r>
        <w:rPr>
          <w:b/>
          <w:color w:val="auto"/>
          <w:sz w:val="24"/>
          <w:szCs w:val="24"/>
          <w:highlight w:val="none"/>
        </w:rPr>
        <w:t>附图3  项目</w:t>
      </w:r>
      <w:r>
        <w:rPr>
          <w:rFonts w:hint="eastAsia"/>
          <w:b/>
          <w:color w:val="auto"/>
          <w:sz w:val="24"/>
          <w:szCs w:val="24"/>
          <w:highlight w:val="none"/>
          <w:lang w:eastAsia="zh-CN"/>
        </w:rPr>
        <w:t>四至卫星图</w:t>
      </w:r>
    </w:p>
    <w:p>
      <w:pPr>
        <w:pStyle w:val="19"/>
        <w:jc w:val="center"/>
        <w:outlineLvl w:val="0"/>
        <w:rPr>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tbl>
      <w:tblPr>
        <w:tblStyle w:val="3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Pr>
          <w:p>
            <w:pPr>
              <w:pStyle w:val="19"/>
              <w:jc w:val="center"/>
              <w:rPr>
                <w:rFonts w:hint="eastAsia" w:eastAsia="宋体"/>
                <w:color w:val="auto"/>
                <w:highlight w:val="none"/>
                <w:lang w:val="zh-CN" w:eastAsia="zh-CN"/>
              </w:rPr>
            </w:pPr>
            <w:r>
              <w:rPr>
                <w:rFonts w:hint="eastAsia" w:eastAsia="宋体"/>
                <w:color w:val="auto"/>
                <w:highlight w:val="none"/>
                <w:lang w:val="zh-CN" w:eastAsia="zh-CN"/>
              </w:rPr>
              <w:drawing>
                <wp:inline distT="0" distB="0" distL="114300" distR="114300">
                  <wp:extent cx="2803525" cy="2102485"/>
                  <wp:effectExtent l="0" t="0" r="15875" b="12065"/>
                  <wp:docPr id="27" name="图片 27" descr="东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东面"/>
                          <pic:cNvPicPr>
                            <a:picLocks noChangeAspect="1"/>
                          </pic:cNvPicPr>
                        </pic:nvPicPr>
                        <pic:blipFill>
                          <a:blip r:embed="rId62"/>
                          <a:stretch>
                            <a:fillRect/>
                          </a:stretch>
                        </pic:blipFill>
                        <pic:spPr>
                          <a:xfrm>
                            <a:off x="0" y="0"/>
                            <a:ext cx="2803525" cy="2102485"/>
                          </a:xfrm>
                          <a:prstGeom prst="rect">
                            <a:avLst/>
                          </a:prstGeom>
                        </pic:spPr>
                      </pic:pic>
                    </a:graphicData>
                  </a:graphic>
                </wp:inline>
              </w:drawing>
            </w:r>
          </w:p>
        </w:tc>
        <w:tc>
          <w:tcPr>
            <w:tcW w:w="4643" w:type="dxa"/>
          </w:tcPr>
          <w:p>
            <w:pPr>
              <w:pStyle w:val="19"/>
              <w:jc w:val="center"/>
              <w:rPr>
                <w:rFonts w:hint="eastAsia" w:eastAsia="宋体"/>
                <w:color w:val="auto"/>
                <w:highlight w:val="none"/>
                <w:lang w:val="zh-CN" w:eastAsia="zh-CN"/>
              </w:rPr>
            </w:pPr>
            <w:r>
              <w:rPr>
                <w:rFonts w:hint="eastAsia" w:eastAsia="宋体"/>
                <w:color w:val="auto"/>
                <w:highlight w:val="none"/>
                <w:lang w:val="zh-CN" w:eastAsia="zh-CN"/>
              </w:rPr>
              <w:drawing>
                <wp:inline distT="0" distB="0" distL="114300" distR="114300">
                  <wp:extent cx="2803525" cy="2102485"/>
                  <wp:effectExtent l="0" t="0" r="15875" b="12065"/>
                  <wp:docPr id="28" name="图片 28" descr="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南面"/>
                          <pic:cNvPicPr>
                            <a:picLocks noChangeAspect="1"/>
                          </pic:cNvPicPr>
                        </pic:nvPicPr>
                        <pic:blipFill>
                          <a:blip r:embed="rId63"/>
                          <a:stretch>
                            <a:fillRect/>
                          </a:stretch>
                        </pic:blipFill>
                        <pic:spPr>
                          <a:xfrm>
                            <a:off x="0" y="0"/>
                            <a:ext cx="2803525" cy="2102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Pr>
          <w:p>
            <w:pPr>
              <w:pStyle w:val="19"/>
              <w:jc w:val="center"/>
              <w:rPr>
                <w:color w:val="auto"/>
                <w:sz w:val="24"/>
                <w:szCs w:val="24"/>
                <w:highlight w:val="none"/>
              </w:rPr>
            </w:pPr>
            <w:r>
              <w:rPr>
                <w:color w:val="auto"/>
                <w:sz w:val="24"/>
                <w:szCs w:val="24"/>
                <w:highlight w:val="none"/>
              </w:rPr>
              <w:t>东面</w:t>
            </w:r>
            <w:r>
              <w:rPr>
                <w:color w:val="auto"/>
                <w:sz w:val="24"/>
                <w:szCs w:val="24"/>
                <w:highlight w:val="none"/>
                <w:lang w:val="zh-CN"/>
              </w:rPr>
              <w:t>：</w:t>
            </w:r>
            <w:r>
              <w:rPr>
                <w:rFonts w:hint="eastAsia"/>
                <w:color w:val="auto"/>
                <w:sz w:val="24"/>
                <w:szCs w:val="24"/>
                <w:highlight w:val="none"/>
                <w:lang w:eastAsia="zh-CN"/>
              </w:rPr>
              <w:t>新旺卫浴厂</w:t>
            </w:r>
          </w:p>
        </w:tc>
        <w:tc>
          <w:tcPr>
            <w:tcW w:w="4643" w:type="dxa"/>
          </w:tcPr>
          <w:p>
            <w:pPr>
              <w:pStyle w:val="19"/>
              <w:jc w:val="center"/>
              <w:rPr>
                <w:color w:val="auto"/>
                <w:sz w:val="24"/>
                <w:szCs w:val="24"/>
                <w:highlight w:val="none"/>
              </w:rPr>
            </w:pPr>
            <w:r>
              <w:rPr>
                <w:color w:val="auto"/>
                <w:sz w:val="24"/>
                <w:szCs w:val="24"/>
                <w:highlight w:val="none"/>
              </w:rPr>
              <w:t>南面</w:t>
            </w:r>
            <w:r>
              <w:rPr>
                <w:color w:val="auto"/>
                <w:sz w:val="24"/>
                <w:szCs w:val="24"/>
                <w:highlight w:val="none"/>
                <w:lang w:val="zh-CN"/>
              </w:rPr>
              <w:t>：</w:t>
            </w:r>
            <w:r>
              <w:rPr>
                <w:rFonts w:hint="eastAsia"/>
                <w:color w:val="auto"/>
                <w:sz w:val="24"/>
                <w:szCs w:val="24"/>
                <w:highlight w:val="none"/>
                <w:lang w:eastAsia="zh-CN"/>
              </w:rPr>
              <w:t>三新锻压厂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Pr>
          <w:p>
            <w:pPr>
              <w:pStyle w:val="19"/>
              <w:jc w:val="center"/>
              <w:rPr>
                <w:color w:val="auto"/>
                <w:sz w:val="24"/>
                <w:szCs w:val="24"/>
                <w:highlight w:val="none"/>
                <w:lang w:val="zh-CN"/>
              </w:rPr>
            </w:pPr>
            <w:r>
              <w:rPr>
                <w:color w:val="auto"/>
                <w:sz w:val="24"/>
                <w:szCs w:val="24"/>
                <w:highlight w:val="none"/>
                <w:lang w:val="zh-CN"/>
              </w:rPr>
              <w:drawing>
                <wp:inline distT="0" distB="0" distL="114300" distR="114300">
                  <wp:extent cx="2803525" cy="2102485"/>
                  <wp:effectExtent l="0" t="0" r="15875" b="12065"/>
                  <wp:docPr id="29" name="图片 29" descr="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西面"/>
                          <pic:cNvPicPr>
                            <a:picLocks noChangeAspect="1"/>
                          </pic:cNvPicPr>
                        </pic:nvPicPr>
                        <pic:blipFill>
                          <a:blip r:embed="rId64"/>
                          <a:stretch>
                            <a:fillRect/>
                          </a:stretch>
                        </pic:blipFill>
                        <pic:spPr>
                          <a:xfrm>
                            <a:off x="0" y="0"/>
                            <a:ext cx="2803525" cy="2102485"/>
                          </a:xfrm>
                          <a:prstGeom prst="rect">
                            <a:avLst/>
                          </a:prstGeom>
                        </pic:spPr>
                      </pic:pic>
                    </a:graphicData>
                  </a:graphic>
                </wp:inline>
              </w:drawing>
            </w:r>
          </w:p>
        </w:tc>
        <w:tc>
          <w:tcPr>
            <w:tcW w:w="4643" w:type="dxa"/>
          </w:tcPr>
          <w:p>
            <w:pPr>
              <w:pStyle w:val="19"/>
              <w:jc w:val="center"/>
              <w:rPr>
                <w:color w:val="auto"/>
                <w:sz w:val="24"/>
                <w:szCs w:val="24"/>
                <w:highlight w:val="none"/>
                <w:lang w:val="zh-CN"/>
              </w:rPr>
            </w:pPr>
            <w:r>
              <w:rPr>
                <w:color w:val="auto"/>
                <w:sz w:val="24"/>
                <w:szCs w:val="24"/>
                <w:highlight w:val="none"/>
                <w:lang w:val="zh-CN"/>
              </w:rPr>
              <w:drawing>
                <wp:inline distT="0" distB="0" distL="114300" distR="114300">
                  <wp:extent cx="2803525" cy="2102485"/>
                  <wp:effectExtent l="0" t="0" r="15875" b="12065"/>
                  <wp:docPr id="30" name="图片 30" descr="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北面"/>
                          <pic:cNvPicPr>
                            <a:picLocks noChangeAspect="1"/>
                          </pic:cNvPicPr>
                        </pic:nvPicPr>
                        <pic:blipFill>
                          <a:blip r:embed="rId65"/>
                          <a:stretch>
                            <a:fillRect/>
                          </a:stretch>
                        </pic:blipFill>
                        <pic:spPr>
                          <a:xfrm>
                            <a:off x="0" y="0"/>
                            <a:ext cx="2803525" cy="2102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Pr>
          <w:p>
            <w:pPr>
              <w:jc w:val="center"/>
              <w:rPr>
                <w:color w:val="auto"/>
                <w:sz w:val="24"/>
                <w:szCs w:val="24"/>
                <w:highlight w:val="none"/>
              </w:rPr>
            </w:pPr>
            <w:r>
              <w:rPr>
                <w:color w:val="auto"/>
                <w:sz w:val="24"/>
                <w:szCs w:val="24"/>
                <w:highlight w:val="none"/>
                <w:lang w:val="zh-CN"/>
              </w:rPr>
              <w:t>西</w:t>
            </w:r>
            <w:r>
              <w:rPr>
                <w:color w:val="auto"/>
                <w:sz w:val="24"/>
                <w:szCs w:val="24"/>
                <w:highlight w:val="none"/>
              </w:rPr>
              <w:t>面：</w:t>
            </w:r>
            <w:r>
              <w:rPr>
                <w:rFonts w:hint="eastAsia"/>
                <w:color w:val="auto"/>
                <w:sz w:val="24"/>
                <w:szCs w:val="24"/>
                <w:highlight w:val="none"/>
                <w:lang w:eastAsia="zh-CN"/>
              </w:rPr>
              <w:t>一诺卫浴厂</w:t>
            </w:r>
          </w:p>
        </w:tc>
        <w:tc>
          <w:tcPr>
            <w:tcW w:w="4643" w:type="dxa"/>
          </w:tcPr>
          <w:p>
            <w:pPr>
              <w:pStyle w:val="19"/>
              <w:jc w:val="center"/>
              <w:rPr>
                <w:color w:val="auto"/>
                <w:sz w:val="24"/>
                <w:szCs w:val="24"/>
                <w:highlight w:val="none"/>
                <w:lang w:val="zh-CN"/>
              </w:rPr>
            </w:pPr>
            <w:r>
              <w:rPr>
                <w:color w:val="auto"/>
                <w:sz w:val="24"/>
                <w:szCs w:val="24"/>
                <w:highlight w:val="none"/>
                <w:lang w:val="zh-CN"/>
              </w:rPr>
              <w:t>北</w:t>
            </w:r>
            <w:r>
              <w:rPr>
                <w:rFonts w:hint="eastAsia"/>
                <w:color w:val="auto"/>
                <w:sz w:val="24"/>
                <w:szCs w:val="24"/>
                <w:highlight w:val="none"/>
                <w:lang w:val="zh-CN"/>
              </w:rPr>
              <w:t>面</w:t>
            </w:r>
            <w:r>
              <w:rPr>
                <w:color w:val="auto"/>
                <w:sz w:val="24"/>
                <w:szCs w:val="24"/>
                <w:highlight w:val="none"/>
                <w:lang w:val="zh-CN"/>
              </w:rPr>
              <w:t>：</w:t>
            </w:r>
            <w:r>
              <w:rPr>
                <w:rFonts w:hint="eastAsia"/>
                <w:color w:val="auto"/>
                <w:sz w:val="24"/>
                <w:szCs w:val="24"/>
                <w:highlight w:val="none"/>
                <w:lang w:eastAsia="zh-CN"/>
              </w:rPr>
              <w:t>新旺卫浴厂</w:t>
            </w:r>
          </w:p>
        </w:tc>
      </w:tr>
    </w:tbl>
    <w:p>
      <w:pPr>
        <w:pStyle w:val="19"/>
        <w:jc w:val="center"/>
        <w:outlineLvl w:val="0"/>
        <w:rPr>
          <w:color w:val="auto"/>
          <w:highlight w:val="none"/>
        </w:rPr>
        <w:sectPr>
          <w:pgSz w:w="11907" w:h="16840"/>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bookmarkStart w:id="119" w:name="_Toc7062"/>
      <w:bookmarkStart w:id="120" w:name="_Toc24408"/>
      <w:r>
        <w:rPr>
          <w:b/>
          <w:color w:val="auto"/>
          <w:sz w:val="24"/>
          <w:szCs w:val="24"/>
          <w:highlight w:val="none"/>
        </w:rPr>
        <w:t>附图</w:t>
      </w:r>
      <w:r>
        <w:rPr>
          <w:rFonts w:hint="eastAsia"/>
          <w:b/>
          <w:color w:val="auto"/>
          <w:sz w:val="24"/>
          <w:szCs w:val="24"/>
          <w:highlight w:val="none"/>
        </w:rPr>
        <w:t>4</w:t>
      </w:r>
      <w:r>
        <w:rPr>
          <w:b/>
          <w:color w:val="auto"/>
          <w:sz w:val="24"/>
          <w:szCs w:val="24"/>
          <w:highlight w:val="none"/>
        </w:rPr>
        <w:t xml:space="preserve"> 项目现状及四周环境现场</w:t>
      </w:r>
      <w:bookmarkEnd w:id="119"/>
      <w:bookmarkEnd w:id="120"/>
    </w:p>
    <w:p>
      <w:pPr>
        <w:jc w:val="center"/>
        <w:rPr>
          <w:color w:val="auto"/>
          <w:highlight w:val="none"/>
        </w:rPr>
      </w:pPr>
      <w:r>
        <w:rPr>
          <w:color w:val="auto"/>
          <w:highlight w:val="none"/>
        </w:rPr>
        <w:drawing>
          <wp:anchor distT="0" distB="0" distL="114935" distR="114935" simplePos="0" relativeHeight="1462616064" behindDoc="0" locked="0" layoutInCell="1" allowOverlap="1">
            <wp:simplePos x="0" y="0"/>
            <wp:positionH relativeFrom="column">
              <wp:posOffset>7988935</wp:posOffset>
            </wp:positionH>
            <wp:positionV relativeFrom="paragraph">
              <wp:posOffset>19050</wp:posOffset>
            </wp:positionV>
            <wp:extent cx="647700" cy="695325"/>
            <wp:effectExtent l="9525" t="9525" r="9525" b="19050"/>
            <wp:wrapNone/>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59"/>
                    <a:stretch>
                      <a:fillRect/>
                    </a:stretch>
                  </pic:blipFill>
                  <pic:spPr>
                    <a:xfrm>
                      <a:off x="0" y="0"/>
                      <a:ext cx="647700" cy="695325"/>
                    </a:xfrm>
                    <a:prstGeom prst="rect">
                      <a:avLst/>
                    </a:prstGeom>
                    <a:noFill/>
                    <a:ln>
                      <a:solidFill>
                        <a:schemeClr val="tx1"/>
                      </a:solidFill>
                    </a:ln>
                  </pic:spPr>
                </pic:pic>
              </a:graphicData>
            </a:graphic>
          </wp:anchor>
        </w:drawing>
      </w:r>
      <w:r>
        <w:rPr>
          <w:color w:val="auto"/>
          <w:highlight w:val="none"/>
        </w:rPr>
        <mc:AlternateContent>
          <mc:Choice Requires="wps">
            <w:drawing>
              <wp:anchor distT="0" distB="0" distL="114300" distR="114300" simplePos="0" relativeHeight="1462611968" behindDoc="0" locked="0" layoutInCell="1" allowOverlap="1">
                <wp:simplePos x="0" y="0"/>
                <wp:positionH relativeFrom="column">
                  <wp:posOffset>5477510</wp:posOffset>
                </wp:positionH>
                <wp:positionV relativeFrom="paragraph">
                  <wp:posOffset>1297940</wp:posOffset>
                </wp:positionV>
                <wp:extent cx="1104900" cy="304800"/>
                <wp:effectExtent l="405130" t="4445" r="13970" b="376555"/>
                <wp:wrapNone/>
                <wp:docPr id="156" name="矩形标注 156"/>
                <wp:cNvGraphicFramePr/>
                <a:graphic xmlns:a="http://schemas.openxmlformats.org/drawingml/2006/main">
                  <a:graphicData uri="http://schemas.microsoft.com/office/word/2010/wordprocessingShape">
                    <wps:wsp>
                      <wps:cNvSpPr/>
                      <wps:spPr>
                        <a:xfrm>
                          <a:off x="0" y="0"/>
                          <a:ext cx="1104900" cy="304800"/>
                        </a:xfrm>
                        <a:prstGeom prst="wedgeRectCallout">
                          <a:avLst>
                            <a:gd name="adj1" fmla="val -83519"/>
                            <a:gd name="adj2" fmla="val 162477"/>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本项目位置</w:t>
                            </w:r>
                          </w:p>
                        </w:txbxContent>
                      </wps:txbx>
                      <wps:bodyPr upright="1"/>
                    </wps:wsp>
                  </a:graphicData>
                </a:graphic>
              </wp:anchor>
            </w:drawing>
          </mc:Choice>
          <mc:Fallback>
            <w:pict>
              <v:shape id="_x0000_s1026" o:spid="_x0000_s1026" o:spt="61" type="#_x0000_t61" style="position:absolute;left:0pt;margin-left:431.3pt;margin-top:102.2pt;height:24pt;width:87pt;z-index:1462611968;mso-width-relative:page;mso-height-relative:page;" fillcolor="#FFFFFF" filled="t" stroked="t" coordsize="21600,21600" o:gfxdata="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ux1r3Y&#10;AAAADAEAAA8AAAAAAAAAAQAgAAAAIgAAAGRycy9kb3ducmV2LnhtbFBLAQIUABQAAAAIAIdO4kDp&#10;EC+RIAIAAEQEAAAOAAAAAAAAAAEAIAAAACcBAABkcnMvZTJvRG9jLnhtbFBLBQYAAAAABgAGAFkB&#10;AAC5BQAAAAA=&#10;" adj="-7240,45895">
                <v:fill on="t" focussize="0,0"/>
                <v:stroke color="#FF0000" joinstyle="miter"/>
                <v:imagedata o:title=""/>
                <o:lock v:ext="edit" aspectratio="f"/>
                <v:textbox>
                  <w:txbxContent>
                    <w:p>
                      <w:pPr>
                        <w:rPr>
                          <w:sz w:val="24"/>
                        </w:rPr>
                      </w:pPr>
                      <w:r>
                        <w:rPr>
                          <w:rFonts w:hint="eastAsia"/>
                          <w:sz w:val="24"/>
                        </w:rPr>
                        <w:t>本项目位置</w:t>
                      </w:r>
                    </w:p>
                  </w:txbxContent>
                </v:textbox>
              </v:shape>
            </w:pict>
          </mc:Fallback>
        </mc:AlternateContent>
      </w:r>
      <w:r>
        <w:rPr>
          <w:color w:val="auto"/>
          <w:highlight w:val="none"/>
        </w:rPr>
        <mc:AlternateContent>
          <mc:Choice Requires="wps">
            <w:drawing>
              <wp:anchor distT="0" distB="0" distL="114300" distR="114300" simplePos="0" relativeHeight="1462612992" behindDoc="0" locked="0" layoutInCell="1" allowOverlap="1">
                <wp:simplePos x="0" y="0"/>
                <wp:positionH relativeFrom="column">
                  <wp:posOffset>4993005</wp:posOffset>
                </wp:positionH>
                <wp:positionV relativeFrom="paragraph">
                  <wp:posOffset>1929765</wp:posOffset>
                </wp:positionV>
                <wp:extent cx="101600" cy="101600"/>
                <wp:effectExtent l="13970" t="15875" r="17780" b="15875"/>
                <wp:wrapNone/>
                <wp:docPr id="155" name="五角星 155"/>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93.15pt;margin-top:151.95pt;height:8pt;width:8pt;z-index:1462612992;mso-width-relative:page;mso-height-relative:page;" fillcolor="#FF0000" filled="t" stroked="t" coordsize="101600,101600" o:gfxdata="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42sp41wAAAAsB&#10;AAAPAAAAAAAAAAEAIAAAACIAAABkcnMvZG93bnJldi54bWxQSwECFAAUAAAACACHTuJAlQRRGOMB&#10;AADXAwAADgAAAAAAAAABACAAAAAmAQAAZHJzL2Uyb0RvYy54bWxQSwUGAAAAAAYABgBZAQAAewUA&#10;AAAA&#10;" path="m0,38807l38807,38807,50800,0,62792,38807,101599,38807,70203,62791,82196,101599,50800,77614,19403,101599,31396,62791xe">
                <v:path o:connectlocs="50800,0;0,38807;19403,101599;82196,101599;101599,38807" o:connectangles="247,164,82,82,0"/>
                <v:fill on="t" focussize="0,0"/>
                <v:stroke color="#FF0000" joinstyle="miter"/>
                <v:imagedata o:title=""/>
                <o:lock v:ext="edit" aspectratio="f"/>
              </v:shape>
            </w:pict>
          </mc:Fallback>
        </mc:AlternateContent>
      </w:r>
      <w:r>
        <w:rPr>
          <w:color w:val="auto"/>
          <w:highlight w:val="none"/>
        </w:rPr>
        <mc:AlternateContent>
          <mc:Choice Requires="wps">
            <w:drawing>
              <wp:anchor distT="0" distB="0" distL="114300" distR="114300" simplePos="0" relativeHeight="1462614016" behindDoc="0" locked="0" layoutInCell="1" allowOverlap="1">
                <wp:simplePos x="0" y="0"/>
                <wp:positionH relativeFrom="column">
                  <wp:posOffset>7079615</wp:posOffset>
                </wp:positionH>
                <wp:positionV relativeFrom="paragraph">
                  <wp:posOffset>3618865</wp:posOffset>
                </wp:positionV>
                <wp:extent cx="1286510" cy="304800"/>
                <wp:effectExtent l="5080" t="4445" r="22860" b="662305"/>
                <wp:wrapNone/>
                <wp:docPr id="157" name="矩形标注 157"/>
                <wp:cNvGraphicFramePr/>
                <a:graphic xmlns:a="http://schemas.openxmlformats.org/drawingml/2006/main">
                  <a:graphicData uri="http://schemas.microsoft.com/office/word/2010/wordprocessingShape">
                    <wps:wsp>
                      <wps:cNvSpPr/>
                      <wps:spPr>
                        <a:xfrm>
                          <a:off x="0" y="0"/>
                          <a:ext cx="1286510" cy="304800"/>
                        </a:xfrm>
                        <a:prstGeom prst="wedgeRectCallout">
                          <a:avLst>
                            <a:gd name="adj1" fmla="val -46843"/>
                            <a:gd name="adj2" fmla="val 259792"/>
                          </a:avLst>
                        </a:prstGeom>
                        <a:solidFill>
                          <a:srgbClr val="FFFFFF"/>
                        </a:solidFill>
                        <a:ln w="9525" cap="flat" cmpd="sng">
                          <a:solidFill>
                            <a:srgbClr val="FF0000"/>
                          </a:solidFill>
                          <a:prstDash val="solid"/>
                          <a:miter/>
                          <a:headEnd type="none" w="med" len="med"/>
                          <a:tailEnd type="none" w="med" len="med"/>
                        </a:ln>
                      </wps:spPr>
                      <wps:txbx>
                        <w:txbxContent>
                          <w:p>
                            <w:pPr>
                              <w:rPr>
                                <w:sz w:val="24"/>
                              </w:rPr>
                            </w:pPr>
                            <w:r>
                              <w:rPr>
                                <w:rFonts w:hint="eastAsia"/>
                                <w:sz w:val="24"/>
                              </w:rPr>
                              <w:t>水口污水处理厂</w:t>
                            </w:r>
                          </w:p>
                        </w:txbxContent>
                      </wps:txbx>
                      <wps:bodyPr upright="1"/>
                    </wps:wsp>
                  </a:graphicData>
                </a:graphic>
              </wp:anchor>
            </w:drawing>
          </mc:Choice>
          <mc:Fallback>
            <w:pict>
              <v:shape id="_x0000_s1026" o:spid="_x0000_s1026" o:spt="61" type="#_x0000_t61" style="position:absolute;left:0pt;margin-left:557.45pt;margin-top:284.95pt;height:24pt;width:101.3pt;z-index:1462614016;mso-width-relative:page;mso-height-relative:page;" fillcolor="#FFFFFF" filled="t" stroked="t" coordsize="21600,21600" o:gfxdata="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8KaeHdAAAADQEAAA8AAAAAAAAAAQAgAAAAIgAAAGRycy9kb3ducmV2LnhtbFBLAQIUABQAAAAI&#10;AIdO4kA75FUXIQIAAEQEAAAOAAAAAAAAAAEAIAAAACwBAABkcnMvZTJvRG9jLnhtbFBLBQYAAAAA&#10;BgAGAFkBAAC/BQAAAAA=&#10;" adj="682,66915">
                <v:fill on="t" focussize="0,0"/>
                <v:stroke color="#FF0000" joinstyle="miter"/>
                <v:imagedata o:title=""/>
                <o:lock v:ext="edit" aspectratio="f"/>
                <v:textbox>
                  <w:txbxContent>
                    <w:p>
                      <w:pPr>
                        <w:rPr>
                          <w:sz w:val="24"/>
                        </w:rPr>
                      </w:pPr>
                      <w:r>
                        <w:rPr>
                          <w:rFonts w:hint="eastAsia"/>
                          <w:sz w:val="24"/>
                        </w:rPr>
                        <w:t>水口污水处理厂</w:t>
                      </w:r>
                    </w:p>
                  </w:txbxContent>
                </v:textbox>
              </v:shape>
            </w:pict>
          </mc:Fallback>
        </mc:AlternateContent>
      </w:r>
      <w:r>
        <w:rPr>
          <w:color w:val="auto"/>
          <w:highlight w:val="none"/>
        </w:rPr>
        <mc:AlternateContent>
          <mc:Choice Requires="wps">
            <w:drawing>
              <wp:anchor distT="0" distB="0" distL="114300" distR="114300" simplePos="0" relativeHeight="1462615040" behindDoc="0" locked="0" layoutInCell="1" allowOverlap="1">
                <wp:simplePos x="0" y="0"/>
                <wp:positionH relativeFrom="column">
                  <wp:posOffset>7045960</wp:posOffset>
                </wp:positionH>
                <wp:positionV relativeFrom="paragraph">
                  <wp:posOffset>4560570</wp:posOffset>
                </wp:positionV>
                <wp:extent cx="101600" cy="101600"/>
                <wp:effectExtent l="13970" t="15875" r="17780" b="15875"/>
                <wp:wrapNone/>
                <wp:docPr id="154" name="五角星 154"/>
                <wp:cNvGraphicFramePr/>
                <a:graphic xmlns:a="http://schemas.openxmlformats.org/drawingml/2006/main">
                  <a:graphicData uri="http://schemas.microsoft.com/office/word/2010/wordprocessingShape">
                    <wps:wsp>
                      <wps:cNvSpPr/>
                      <wps:spPr>
                        <a:xfrm>
                          <a:off x="0" y="0"/>
                          <a:ext cx="101600" cy="10160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554.8pt;margin-top:359.1pt;height:8pt;width:8pt;z-index:1462615040;mso-width-relative:page;mso-height-relative:page;" fillcolor="#FF0000" filled="t" stroked="t" coordsize="101600,101600" o:gfxdata="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ub7x1wAAAA0B&#10;AAAPAAAAAAAAAAEAIAAAACIAAABkcnMvZG93bnJldi54bWxQSwECFAAUAAAACACHTuJAE5WodOMB&#10;AADXAwAADgAAAAAAAAABACAAAAAmAQAAZHJzL2Uyb0RvYy54bWxQSwUGAAAAAAYABgBZAQAAewUA&#10;AAAA&#10;" path="m0,38807l38807,38807,50800,0,62792,38807,101599,38807,70203,62791,82196,101599,50800,77614,19403,101599,31396,62791xe">
                <v:path o:connectlocs="50800,0;0,38807;19403,101599;82196,101599;101599,38807" o:connectangles="247,164,82,82,0"/>
                <v:fill on="t" focussize="0,0"/>
                <v:stroke color="#FF0000" joinstyle="miter"/>
                <v:imagedata o:title=""/>
                <o:lock v:ext="edit" aspectratio="f"/>
              </v:shape>
            </w:pict>
          </mc:Fallback>
        </mc:AlternateContent>
      </w:r>
      <w:r>
        <w:rPr>
          <w:rFonts w:hint="eastAsia"/>
          <w:color w:val="auto"/>
          <w:highlight w:val="none"/>
        </w:rPr>
        <w:drawing>
          <wp:inline distT="0" distB="0" distL="114300" distR="114300">
            <wp:extent cx="8060690" cy="5380355"/>
            <wp:effectExtent l="12700" t="12700" r="22860" b="17145"/>
            <wp:docPr id="153" name="图片 153" descr="cfc7c2970eabe6eda6382911b098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fc7c2970eabe6eda6382911b0986b2"/>
                    <pic:cNvPicPr>
                      <a:picLocks noChangeAspect="1"/>
                    </pic:cNvPicPr>
                  </pic:nvPicPr>
                  <pic:blipFill>
                    <a:blip r:embed="rId66"/>
                    <a:srcRect/>
                    <a:stretch>
                      <a:fillRect/>
                    </a:stretch>
                  </pic:blipFill>
                  <pic:spPr>
                    <a:xfrm>
                      <a:off x="0" y="0"/>
                      <a:ext cx="8060690" cy="5380355"/>
                    </a:xfrm>
                    <a:prstGeom prst="rect">
                      <a:avLst/>
                    </a:prstGeom>
                    <a:ln w="12700" cmpd="sng">
                      <a:solidFill>
                        <a:schemeClr val="tx1"/>
                      </a:solidFill>
                      <a:prstDash val="solid"/>
                    </a:ln>
                  </pic:spPr>
                </pic:pic>
              </a:graphicData>
            </a:graphic>
          </wp:inline>
        </w:drawing>
      </w:r>
    </w:p>
    <w:p>
      <w:pPr>
        <w:pStyle w:val="32"/>
        <w:spacing w:before="0"/>
        <w:rPr>
          <w:rFonts w:hint="eastAsia" w:ascii="Times New Roman" w:hAnsi="Times New Roman"/>
          <w:color w:val="auto"/>
          <w:sz w:val="24"/>
          <w:szCs w:val="24"/>
          <w:highlight w:val="none"/>
        </w:rPr>
        <w:sectPr>
          <w:headerReference r:id="rId7" w:type="default"/>
          <w:footerReference r:id="rId8" w:type="default"/>
          <w:pgSz w:w="16840" w:h="11907" w:orient="landscape"/>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r>
        <w:rPr>
          <w:rFonts w:ascii="Times New Roman" w:hAnsi="Times New Roman"/>
          <w:color w:val="auto"/>
          <w:sz w:val="24"/>
          <w:szCs w:val="24"/>
          <w:highlight w:val="none"/>
        </w:rPr>
        <w:t>附图</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开平市水口污水处理厂污水管网布置图</w:t>
      </w:r>
    </w:p>
    <w:p>
      <w:pPr>
        <w:pStyle w:val="2"/>
        <w:rPr>
          <w:rFonts w:ascii="Times New Roman" w:cs="Times New Roman"/>
          <w:color w:val="auto"/>
          <w:highlight w:val="none"/>
        </w:rPr>
      </w:pPr>
      <w:r>
        <w:rPr>
          <w:rFonts w:ascii="Times New Roman" w:cs="Times New Roman"/>
          <w:color w:val="auto"/>
          <w:highlight w:val="none"/>
        </w:rPr>
        <mc:AlternateContent>
          <mc:Choice Requires="wps">
            <w:drawing>
              <wp:anchor distT="0" distB="0" distL="114300" distR="114300" simplePos="0" relativeHeight="2919328768" behindDoc="0" locked="0" layoutInCell="1" allowOverlap="1">
                <wp:simplePos x="0" y="0"/>
                <wp:positionH relativeFrom="column">
                  <wp:posOffset>3502660</wp:posOffset>
                </wp:positionH>
                <wp:positionV relativeFrom="paragraph">
                  <wp:posOffset>977900</wp:posOffset>
                </wp:positionV>
                <wp:extent cx="1143000" cy="313690"/>
                <wp:effectExtent l="149860" t="5080" r="21590" b="481330"/>
                <wp:wrapNone/>
                <wp:docPr id="110" name="圆角矩形标注 110"/>
                <wp:cNvGraphicFramePr/>
                <a:graphic xmlns:a="http://schemas.openxmlformats.org/drawingml/2006/main">
                  <a:graphicData uri="http://schemas.microsoft.com/office/word/2010/wordprocessingShape">
                    <wps:wsp>
                      <wps:cNvSpPr>
                        <a:spLocks noChangeArrowheads="1"/>
                      </wps:cNvSpPr>
                      <wps:spPr bwMode="auto">
                        <a:xfrm>
                          <a:off x="0" y="0"/>
                          <a:ext cx="1143000" cy="313690"/>
                        </a:xfrm>
                        <a:prstGeom prst="wedgeRoundRectCallout">
                          <a:avLst>
                            <a:gd name="adj1" fmla="val -61269"/>
                            <a:gd name="adj2" fmla="val 194532"/>
                            <a:gd name="adj3" fmla="val 16667"/>
                          </a:avLst>
                        </a:prstGeom>
                        <a:solidFill>
                          <a:srgbClr val="FFFFFF"/>
                        </a:solidFill>
                        <a:ln w="9525">
                          <a:solidFill>
                            <a:srgbClr val="000000"/>
                          </a:solidFill>
                          <a:miter lim="800000"/>
                        </a:ln>
                        <a:effectLst/>
                      </wps:spPr>
                      <wps:txbx>
                        <w:txbxContent>
                          <w:p>
                            <w:r>
                              <w:rPr>
                                <w:rFonts w:hint="eastAsia"/>
                              </w:rPr>
                              <w:t>建设项目：二类</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75.8pt;margin-top:77pt;height:24.7pt;width:90pt;z-index:-1375638528;mso-width-relative:page;mso-height-relative:page;" fillcolor="#FFFFFF" filled="t" stroked="t" coordsize="21600,21600" o:gfxdata="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1Vr3MtgAAAALAQAADwAAAAAAAAABACAAAAAiAAAA&#10;ZHJzL2Rvd25yZXYueG1sUEsBAhQAFAAAAAgAh07iQNLJ1ud5AgAA0gQAAA4AAAAAAAAAAQAgAAAA&#10;JwEAAGRycy9lMm9Eb2MueG1sUEsFBgAAAAAGAAYAWQEAABIGAAAAAA==&#10;" adj="-2434,52819,14400">
                <v:fill on="t" focussize="0,0"/>
                <v:stroke color="#000000" miterlimit="8" joinstyle="miter"/>
                <v:imagedata o:title=""/>
                <o:lock v:ext="edit" aspectratio="f"/>
                <v:textbox>
                  <w:txbxContent>
                    <w:p>
                      <w:r>
                        <w:rPr>
                          <w:rFonts w:hint="eastAsia"/>
                        </w:rPr>
                        <w:t>建设项目：二类</w:t>
                      </w:r>
                    </w:p>
                  </w:txbxContent>
                </v:textbox>
              </v:shape>
            </w:pict>
          </mc:Fallback>
        </mc:AlternateContent>
      </w:r>
      <w:r>
        <w:rPr>
          <w:rFonts w:ascii="Times New Roman" w:cs="Times New Roman"/>
          <w:color w:val="auto"/>
          <w:highlight w:val="none"/>
        </w:rPr>
        <mc:AlternateContent>
          <mc:Choice Requires="wps">
            <w:drawing>
              <wp:anchor distT="0" distB="0" distL="114300" distR="114300" simplePos="0" relativeHeight="2919329792" behindDoc="0" locked="0" layoutInCell="1" allowOverlap="1">
                <wp:simplePos x="0" y="0"/>
                <wp:positionH relativeFrom="column">
                  <wp:posOffset>3321685</wp:posOffset>
                </wp:positionH>
                <wp:positionV relativeFrom="paragraph">
                  <wp:posOffset>1714500</wp:posOffset>
                </wp:positionV>
                <wp:extent cx="94615" cy="101600"/>
                <wp:effectExtent l="13335" t="17145" r="25400" b="14605"/>
                <wp:wrapNone/>
                <wp:docPr id="111" name="五角星 111"/>
                <wp:cNvGraphicFramePr/>
                <a:graphic xmlns:a="http://schemas.openxmlformats.org/drawingml/2006/main">
                  <a:graphicData uri="http://schemas.microsoft.com/office/word/2010/wordprocessingShape">
                    <wps:wsp>
                      <wps:cNvSpPr>
                        <a:spLocks noChangeArrowheads="1"/>
                      </wps:cNvSpPr>
                      <wps:spPr bwMode="auto">
                        <a:xfrm>
                          <a:off x="0" y="0"/>
                          <a:ext cx="94615" cy="101600"/>
                        </a:xfrm>
                        <a:prstGeom prst="star5">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61.55pt;margin-top:135pt;height:8pt;width:7.45pt;z-index:-1375637504;mso-width-relative:page;mso-height-relative:page;" fillcolor="#FF0000" filled="t" stroked="t" coordsize="94615,101600" o:gfxdata="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MnUfNsAAAALAQAADwAAAAAAAAABACAAAAAiAAAAZHJzL2Rvd25yZXYueG1sUEsBAhQAFAAAAAgA&#10;h07iQHoUaYAiAgAANQQAAA4AAAAAAAAAAQAgAAAAKgEAAGRycy9lMm9Eb2MueG1sUEsFBgAAAAAG&#10;AAYAWQEAAL4FA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mc:Fallback>
        </mc:AlternateContent>
      </w:r>
      <w:r>
        <w:rPr>
          <w:rFonts w:ascii="Times New Roman" w:cs="Times New Roman"/>
          <w:color w:val="auto"/>
          <w:highlight w:val="none"/>
        </w:rPr>
        <w:drawing>
          <wp:inline distT="0" distB="0" distL="114300" distR="114300">
            <wp:extent cx="5540375" cy="5752465"/>
            <wp:effectExtent l="12700" t="12700" r="28575" b="26035"/>
            <wp:docPr id="81" name="图片 3" descr="江门市环境空气质量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江门市环境空气质量功能区划图"/>
                    <pic:cNvPicPr>
                      <a:picLocks noChangeAspect="1"/>
                    </pic:cNvPicPr>
                  </pic:nvPicPr>
                  <pic:blipFill>
                    <a:blip r:embed="rId67"/>
                    <a:stretch>
                      <a:fillRect/>
                    </a:stretch>
                  </pic:blipFill>
                  <pic:spPr>
                    <a:xfrm>
                      <a:off x="0" y="0"/>
                      <a:ext cx="5540375" cy="5752465"/>
                    </a:xfrm>
                    <a:prstGeom prst="rect">
                      <a:avLst/>
                    </a:prstGeom>
                    <a:noFill/>
                    <a:ln w="12700" cap="flat" cmpd="sng">
                      <a:solidFill>
                        <a:srgbClr val="000000"/>
                      </a:solidFill>
                      <a:prstDash val="solid"/>
                      <a:round/>
                      <a:headEnd type="none" w="med" len="med"/>
                      <a:tailEnd type="none" w="med" len="med"/>
                    </a:ln>
                  </pic:spPr>
                </pic:pic>
              </a:graphicData>
            </a:graphic>
          </wp:inline>
        </w:drawing>
      </w:r>
    </w:p>
    <w:p>
      <w:pPr>
        <w:pStyle w:val="32"/>
        <w:spacing w:before="0"/>
        <w:rPr>
          <w:rFonts w:hint="eastAsia" w:ascii="Times New Roman" w:hAnsi="Times New Roman" w:eastAsia="宋体"/>
          <w:color w:val="auto"/>
          <w:sz w:val="24"/>
          <w:szCs w:val="24"/>
          <w:highlight w:val="none"/>
          <w:lang w:eastAsia="zh-CN"/>
        </w:rPr>
        <w:sectPr>
          <w:pgSz w:w="11906" w:h="16838"/>
          <w:pgMar w:top="1361" w:right="1418" w:bottom="1361" w:left="1418" w:header="851"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color w:val="auto"/>
          <w:sz w:val="24"/>
          <w:szCs w:val="24"/>
          <w:highlight w:val="none"/>
        </w:rPr>
        <w:t>附图</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 xml:space="preserve"> 项目大气环境区划图</w:t>
      </w:r>
    </w:p>
    <w:p>
      <w:pPr>
        <w:pStyle w:val="2"/>
        <w:jc w:val="both"/>
        <w:rPr>
          <w:rFonts w:hint="eastAsia" w:ascii="Times New Roman" w:eastAsia="宋体" w:cs="Times New Roman"/>
          <w:b/>
          <w:bCs/>
          <w:color w:val="auto"/>
          <w:sz w:val="21"/>
          <w:szCs w:val="21"/>
          <w:highlight w:val="none"/>
          <w:lang w:eastAsia="zh-CN"/>
        </w:rPr>
      </w:pPr>
      <w:r>
        <w:rPr>
          <w:rFonts w:ascii="Times New Roman" w:cs="Times New Roman"/>
          <w:color w:val="auto"/>
          <w:highlight w:val="none"/>
        </w:rPr>
        <mc:AlternateContent>
          <mc:Choice Requires="wps">
            <w:drawing>
              <wp:anchor distT="0" distB="0" distL="114300" distR="114300" simplePos="0" relativeHeight="2919330816" behindDoc="0" locked="0" layoutInCell="1" allowOverlap="1">
                <wp:simplePos x="0" y="0"/>
                <wp:positionH relativeFrom="column">
                  <wp:posOffset>3369945</wp:posOffset>
                </wp:positionH>
                <wp:positionV relativeFrom="paragraph">
                  <wp:posOffset>1017905</wp:posOffset>
                </wp:positionV>
                <wp:extent cx="1179195" cy="313690"/>
                <wp:effectExtent l="135255" t="4445" r="19050" b="501015"/>
                <wp:wrapNone/>
                <wp:docPr id="105" name="圆角矩形标注 105"/>
                <wp:cNvGraphicFramePr/>
                <a:graphic xmlns:a="http://schemas.openxmlformats.org/drawingml/2006/main">
                  <a:graphicData uri="http://schemas.microsoft.com/office/word/2010/wordprocessingShape">
                    <wps:wsp>
                      <wps:cNvSpPr/>
                      <wps:spPr>
                        <a:xfrm>
                          <a:off x="0" y="0"/>
                          <a:ext cx="1179195" cy="313690"/>
                        </a:xfrm>
                        <a:prstGeom prst="wedgeRoundRectCallout">
                          <a:avLst>
                            <a:gd name="adj1" fmla="val -59759"/>
                            <a:gd name="adj2" fmla="val 197569"/>
                            <a:gd name="adj3" fmla="val 16667"/>
                          </a:avLst>
                        </a:prstGeom>
                        <a:solidFill>
                          <a:srgbClr val="FFFFFF"/>
                        </a:solidFill>
                        <a:ln w="9525" cap="flat" cmpd="sng">
                          <a:solidFill>
                            <a:srgbClr val="000000"/>
                          </a:solidFill>
                          <a:prstDash val="solid"/>
                          <a:miter lim="800000"/>
                          <a:headEnd type="none" w="med" len="med"/>
                          <a:tailEnd type="none" w="med" len="med"/>
                        </a:ln>
                      </wps:spPr>
                      <wps:txbx>
                        <w:txbxContent>
                          <w:p>
                            <w:pPr>
                              <w:rPr>
                                <w:szCs w:val="21"/>
                              </w:rPr>
                            </w:pPr>
                            <w:r>
                              <w:rPr>
                                <w:rFonts w:hint="eastAsia"/>
                                <w:szCs w:val="21"/>
                              </w:rPr>
                              <w:t>项目位置：</w:t>
                            </w:r>
                            <w:r>
                              <w:t>Ⅱ类</w:t>
                            </w:r>
                          </w:p>
                        </w:txbxContent>
                      </wps:txbx>
                      <wps:bodyPr upright="1"/>
                    </wps:wsp>
                  </a:graphicData>
                </a:graphic>
              </wp:anchor>
            </w:drawing>
          </mc:Choice>
          <mc:Fallback>
            <w:pict>
              <v:shape id="_x0000_s1026" o:spid="_x0000_s1026" o:spt="62" type="#_x0000_t62" style="position:absolute;left:0pt;margin-left:265.35pt;margin-top:80.15pt;height:24.7pt;width:92.85pt;z-index:-1375636480;mso-width-relative:page;mso-height-relative:page;" fillcolor="#FFFFFF" filled="t" stroked="t" coordsize="21600,21600" o:gfxdata="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W5CJDZAAAACwEAAA8AAAAAAAAAAQAgAAAAIgAAAGRy&#10;cy9kb3ducmV2LnhtbFBLAQIUABQAAAAIAIdO4kCsx8NUPQIAAIAEAAAOAAAAAAAAAAEAIAAAACgB&#10;AABkcnMvZTJvRG9jLnhtbFBLBQYAAAAABgAGAFkBAADXBQAAAAA=&#10;" adj="-2108,53475,14400">
                <v:fill on="t" focussize="0,0"/>
                <v:stroke color="#000000" miterlimit="8" joinstyle="miter"/>
                <v:imagedata o:title=""/>
                <o:lock v:ext="edit" aspectratio="f"/>
                <v:textbox>
                  <w:txbxContent>
                    <w:p>
                      <w:pPr>
                        <w:rPr>
                          <w:szCs w:val="21"/>
                        </w:rPr>
                      </w:pPr>
                      <w:r>
                        <w:rPr>
                          <w:rFonts w:hint="eastAsia"/>
                          <w:szCs w:val="21"/>
                        </w:rPr>
                        <w:t>项目位置：</w:t>
                      </w:r>
                      <w:r>
                        <w:t>Ⅱ类</w:t>
                      </w:r>
                    </w:p>
                  </w:txbxContent>
                </v:textbox>
              </v:shape>
            </w:pict>
          </mc:Fallback>
        </mc:AlternateContent>
      </w:r>
      <w:r>
        <w:rPr>
          <w:rFonts w:ascii="Times New Roman" w:cs="Times New Roman"/>
          <w:color w:val="auto"/>
          <w:highlight w:val="none"/>
        </w:rPr>
        <mc:AlternateContent>
          <mc:Choice Requires="wps">
            <w:drawing>
              <wp:anchor distT="0" distB="0" distL="114300" distR="114300" simplePos="0" relativeHeight="2919331840" behindDoc="0" locked="0" layoutInCell="1" allowOverlap="1">
                <wp:simplePos x="0" y="0"/>
                <wp:positionH relativeFrom="column">
                  <wp:posOffset>3173730</wp:posOffset>
                </wp:positionH>
                <wp:positionV relativeFrom="paragraph">
                  <wp:posOffset>1776095</wp:posOffset>
                </wp:positionV>
                <wp:extent cx="94615" cy="101600"/>
                <wp:effectExtent l="13335" t="17145" r="25400" b="14605"/>
                <wp:wrapNone/>
                <wp:docPr id="107" name="五角星 107"/>
                <wp:cNvGraphicFramePr/>
                <a:graphic xmlns:a="http://schemas.openxmlformats.org/drawingml/2006/main">
                  <a:graphicData uri="http://schemas.microsoft.com/office/word/2010/wordprocessingShape">
                    <wps:wsp>
                      <wps:cNvSpPr>
                        <a:spLocks noChangeArrowheads="1"/>
                      </wps:cNvSpPr>
                      <wps:spPr bwMode="auto">
                        <a:xfrm>
                          <a:off x="0" y="0"/>
                          <a:ext cx="94615" cy="101600"/>
                        </a:xfrm>
                        <a:prstGeom prst="star5">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249.9pt;margin-top:139.85pt;height:8pt;width:7.45pt;z-index:-1375635456;mso-width-relative:page;mso-height-relative:page;" fillcolor="#FF0000" filled="t" stroked="t" coordsize="94615,101600" o:gfxdata="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wDzatsAAAALAQAADwAAAAAAAAABACAAAAAiAAAAZHJzL2Rvd25yZXYueG1sUEsBAhQAFAAAAAgA&#10;h07iQArRCboiAgAANQQAAA4AAAAAAAAAAQAgAAAAKgEAAGRycy9lMm9Eb2MueG1sUEsFBgAAAAAG&#10;AAYAWQEAAL4FA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mc:Fallback>
        </mc:AlternateContent>
      </w:r>
      <w:r>
        <w:rPr>
          <w:rFonts w:hint="eastAsia" w:ascii="Times New Roman" w:hAnsi="Times New Roman" w:eastAsia="宋体"/>
          <w:color w:val="auto"/>
          <w:sz w:val="24"/>
          <w:szCs w:val="24"/>
          <w:highlight w:val="none"/>
          <w:lang w:eastAsia="zh-CN"/>
        </w:rPr>
        <w:drawing>
          <wp:anchor distT="0" distB="0" distL="114935" distR="114935" simplePos="0" relativeHeight="3164516352" behindDoc="0" locked="0" layoutInCell="1" allowOverlap="1">
            <wp:simplePos x="0" y="0"/>
            <wp:positionH relativeFrom="column">
              <wp:posOffset>3411855</wp:posOffset>
            </wp:positionH>
            <wp:positionV relativeFrom="paragraph">
              <wp:posOffset>3617595</wp:posOffset>
            </wp:positionV>
            <wp:extent cx="1614805" cy="1572260"/>
            <wp:effectExtent l="0" t="0" r="4445" b="8890"/>
            <wp:wrapNone/>
            <wp:docPr id="82" name="图片 82" descr="157292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72921510(1)"/>
                    <pic:cNvPicPr>
                      <a:picLocks noChangeAspect="1"/>
                    </pic:cNvPicPr>
                  </pic:nvPicPr>
                  <pic:blipFill>
                    <a:blip r:embed="rId68"/>
                    <a:stretch>
                      <a:fillRect/>
                    </a:stretch>
                  </pic:blipFill>
                  <pic:spPr>
                    <a:xfrm>
                      <a:off x="0" y="0"/>
                      <a:ext cx="1614805" cy="1572260"/>
                    </a:xfrm>
                    <a:prstGeom prst="rect">
                      <a:avLst/>
                    </a:prstGeom>
                  </pic:spPr>
                </pic:pic>
              </a:graphicData>
            </a:graphic>
          </wp:anchor>
        </w:drawing>
      </w:r>
      <w:r>
        <w:rPr>
          <w:rFonts w:hint="eastAsia" w:ascii="Times New Roman" w:eastAsia="宋体" w:cs="Times New Roman"/>
          <w:b/>
          <w:bCs/>
          <w:color w:val="auto"/>
          <w:sz w:val="21"/>
          <w:szCs w:val="21"/>
          <w:highlight w:val="none"/>
          <w:lang w:eastAsia="zh-CN"/>
        </w:rPr>
        <w:drawing>
          <wp:inline distT="0" distB="0" distL="114300" distR="114300">
            <wp:extent cx="7589520" cy="5368925"/>
            <wp:effectExtent l="0" t="0" r="11430" b="3175"/>
            <wp:docPr id="88" name="图片 88" descr="10江门市水环境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0江门市水环境功能区划图"/>
                    <pic:cNvPicPr>
                      <a:picLocks noChangeAspect="1"/>
                    </pic:cNvPicPr>
                  </pic:nvPicPr>
                  <pic:blipFill>
                    <a:blip r:embed="rId69"/>
                    <a:stretch>
                      <a:fillRect/>
                    </a:stretch>
                  </pic:blipFill>
                  <pic:spPr>
                    <a:xfrm>
                      <a:off x="0" y="0"/>
                      <a:ext cx="7589520" cy="5368925"/>
                    </a:xfrm>
                    <a:prstGeom prst="rect">
                      <a:avLst/>
                    </a:prstGeom>
                  </pic:spPr>
                </pic:pic>
              </a:graphicData>
            </a:graphic>
          </wp:inline>
        </w:drawing>
      </w:r>
    </w:p>
    <w:p>
      <w:pPr>
        <w:pStyle w:val="32"/>
        <w:spacing w:before="0"/>
        <w:rPr>
          <w:rFonts w:ascii="Times New Roman" w:hAnsi="Times New Roman"/>
          <w:color w:val="auto"/>
          <w:sz w:val="24"/>
          <w:szCs w:val="24"/>
          <w:highlight w:val="none"/>
        </w:rPr>
        <w:sectPr>
          <w:footerReference r:id="rId10" w:type="first"/>
          <w:footerReference r:id="rId9" w:type="default"/>
          <w:pgSz w:w="16783" w:h="11850" w:orient="landscape"/>
          <w:pgMar w:top="1418" w:right="1417" w:bottom="1418" w:left="1417" w:header="851" w:footer="992" w:gutter="0"/>
          <w:pgBorders>
            <w:top w:val="none" w:sz="0" w:space="0"/>
            <w:left w:val="none" w:sz="0" w:space="0"/>
            <w:bottom w:val="none" w:sz="0" w:space="0"/>
            <w:right w:val="none" w:sz="0" w:space="0"/>
          </w:pgBorders>
          <w:pgNumType w:fmt="numberInDash"/>
          <w:cols w:space="720" w:num="1"/>
          <w:titlePg/>
          <w:docGrid w:type="lines" w:linePitch="318" w:charSpace="0"/>
        </w:sectPr>
      </w:pPr>
      <w:r>
        <w:rPr>
          <w:rFonts w:ascii="Times New Roman" w:hAnsi="Times New Roman"/>
          <w:color w:val="auto"/>
          <w:sz w:val="24"/>
          <w:szCs w:val="24"/>
          <w:highlight w:val="none"/>
        </w:rPr>
        <w:t>附图</w:t>
      </w:r>
      <w:r>
        <w:rPr>
          <w:rFonts w:hint="eastAsia" w:ascii="Times New Roman" w:hAnsi="Times New Roman"/>
          <w:color w:val="auto"/>
          <w:sz w:val="24"/>
          <w:szCs w:val="24"/>
          <w:highlight w:val="none"/>
          <w:lang w:val="en-US" w:eastAsia="zh-CN"/>
        </w:rPr>
        <w:t>7</w:t>
      </w:r>
      <w:r>
        <w:rPr>
          <w:rFonts w:ascii="Times New Roman" w:hAnsi="Times New Roman"/>
          <w:color w:val="auto"/>
          <w:sz w:val="24"/>
          <w:szCs w:val="24"/>
          <w:highlight w:val="none"/>
        </w:rPr>
        <w:t xml:space="preserve"> 项目水环境功能区划图</w:t>
      </w:r>
    </w:p>
    <w:p>
      <w:pPr>
        <w:rPr>
          <w:rFonts w:hint="eastAsia" w:eastAsia="宋体"/>
          <w:color w:val="auto"/>
          <w:highlight w:val="none"/>
          <w:lang w:eastAsia="zh-CN"/>
        </w:rPr>
      </w:pPr>
      <w:r>
        <w:rPr>
          <w:color w:val="auto"/>
          <w:highlight w:val="none"/>
        </w:rPr>
        <mc:AlternateContent>
          <mc:Choice Requires="wps">
            <w:drawing>
              <wp:anchor distT="0" distB="0" distL="114300" distR="114300" simplePos="0" relativeHeight="2919364608" behindDoc="0" locked="0" layoutInCell="1" allowOverlap="1">
                <wp:simplePos x="0" y="0"/>
                <wp:positionH relativeFrom="column">
                  <wp:posOffset>3482975</wp:posOffset>
                </wp:positionH>
                <wp:positionV relativeFrom="paragraph">
                  <wp:posOffset>2016125</wp:posOffset>
                </wp:positionV>
                <wp:extent cx="1247775" cy="370840"/>
                <wp:effectExtent l="4445" t="4445" r="367030" b="329565"/>
                <wp:wrapNone/>
                <wp:docPr id="112" name="圆角矩形标注 112"/>
                <wp:cNvGraphicFramePr/>
                <a:graphic xmlns:a="http://schemas.openxmlformats.org/drawingml/2006/main">
                  <a:graphicData uri="http://schemas.microsoft.com/office/word/2010/wordprocessingShape">
                    <wps:wsp>
                      <wps:cNvSpPr>
                        <a:spLocks noChangeArrowheads="1"/>
                      </wps:cNvSpPr>
                      <wps:spPr bwMode="auto">
                        <a:xfrm>
                          <a:off x="0" y="0"/>
                          <a:ext cx="1247775" cy="370840"/>
                        </a:xfrm>
                        <a:prstGeom prst="wedgeRoundRectCallout">
                          <a:avLst>
                            <a:gd name="adj1" fmla="val 76230"/>
                            <a:gd name="adj2" fmla="val 132536"/>
                            <a:gd name="adj3" fmla="val 16667"/>
                          </a:avLst>
                        </a:prstGeom>
                        <a:solidFill>
                          <a:srgbClr val="FFFFFF"/>
                        </a:solidFill>
                        <a:ln w="9525">
                          <a:solidFill>
                            <a:srgbClr val="000000"/>
                          </a:solidFill>
                          <a:miter lim="800000"/>
                        </a:ln>
                        <a:effectLst/>
                      </wps:spPr>
                      <wps:txbx>
                        <w:txbxContent>
                          <w:p>
                            <w:pPr>
                              <w:rPr>
                                <w:rFonts w:hint="default"/>
                                <w:szCs w:val="21"/>
                                <w:lang w:val="en-US"/>
                              </w:rPr>
                            </w:pPr>
                            <w:r>
                              <w:rPr>
                                <w:rFonts w:hint="eastAsia"/>
                                <w:szCs w:val="21"/>
                              </w:rPr>
                              <w:t>项目位置：</w:t>
                            </w:r>
                            <w:r>
                              <w:rPr>
                                <w:rFonts w:hint="eastAsia"/>
                                <w:szCs w:val="21"/>
                                <w:lang w:val="en-US" w:eastAsia="zh-CN"/>
                              </w:rPr>
                              <w:t>2类区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74.25pt;margin-top:158.75pt;height:29.2pt;width:98.25pt;z-index:-1375602688;mso-width-relative:page;mso-height-relative:page;" fillcolor="#FFFFFF" filled="t" stroked="t" coordsize="21600,21600" o:gfxdata="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mlsG9gAAAALAQAADwAAAAAAAAABACAAAAAiAAAAZHJzL2Rv&#10;d25yZXYueG1sUEsBAhQAFAAAAAgAh07iQB7baIJzAgAA0QQAAA4AAAAAAAAAAQAgAAAAJwEAAGRy&#10;cy9lMm9Eb2MueG1sUEsFBgAAAAAGAAYAWQEAAAwGAAAAAA==&#10;" adj="27266,39428,14400">
                <v:fill on="t" focussize="0,0"/>
                <v:stroke color="#000000" miterlimit="8" joinstyle="miter"/>
                <v:imagedata o:title=""/>
                <o:lock v:ext="edit" aspectratio="f"/>
                <v:textbox>
                  <w:txbxContent>
                    <w:p>
                      <w:pPr>
                        <w:rPr>
                          <w:rFonts w:hint="default"/>
                          <w:szCs w:val="21"/>
                          <w:lang w:val="en-US"/>
                        </w:rPr>
                      </w:pPr>
                      <w:r>
                        <w:rPr>
                          <w:rFonts w:hint="eastAsia"/>
                          <w:szCs w:val="21"/>
                        </w:rPr>
                        <w:t>项目位置：</w:t>
                      </w:r>
                      <w:r>
                        <w:rPr>
                          <w:rFonts w:hint="eastAsia"/>
                          <w:szCs w:val="21"/>
                          <w:lang w:val="en-US" w:eastAsia="zh-CN"/>
                        </w:rPr>
                        <w:t>2类区</w:t>
                      </w:r>
                    </w:p>
                  </w:txbxContent>
                </v:textbox>
              </v:shape>
            </w:pict>
          </mc:Fallback>
        </mc:AlternateContent>
      </w:r>
      <w:r>
        <w:rPr>
          <w:color w:val="auto"/>
          <w:highlight w:val="none"/>
        </w:rPr>
        <mc:AlternateContent>
          <mc:Choice Requires="wps">
            <w:drawing>
              <wp:anchor distT="0" distB="0" distL="114300" distR="114300" simplePos="0" relativeHeight="2919365632" behindDoc="0" locked="0" layoutInCell="1" allowOverlap="1">
                <wp:simplePos x="0" y="0"/>
                <wp:positionH relativeFrom="column">
                  <wp:posOffset>5068570</wp:posOffset>
                </wp:positionH>
                <wp:positionV relativeFrom="paragraph">
                  <wp:posOffset>2688590</wp:posOffset>
                </wp:positionV>
                <wp:extent cx="94615" cy="101600"/>
                <wp:effectExtent l="13335" t="17145" r="25400" b="14605"/>
                <wp:wrapNone/>
                <wp:docPr id="106" name="五角星 106"/>
                <wp:cNvGraphicFramePr/>
                <a:graphic xmlns:a="http://schemas.openxmlformats.org/drawingml/2006/main">
                  <a:graphicData uri="http://schemas.microsoft.com/office/word/2010/wordprocessingShape">
                    <wps:wsp>
                      <wps:cNvSpPr>
                        <a:spLocks noChangeArrowheads="1"/>
                      </wps:cNvSpPr>
                      <wps:spPr bwMode="auto">
                        <a:xfrm>
                          <a:off x="0" y="0"/>
                          <a:ext cx="94615" cy="101600"/>
                        </a:xfrm>
                        <a:prstGeom prst="star5">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399.1pt;margin-top:211.7pt;height:8pt;width:7.45pt;z-index:-1375601664;mso-width-relative:page;mso-height-relative:page;" fillcolor="#FF0000" filled="t" stroked="t" coordsize="94615,101600" o:gfxdata="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AtFf2wAAAAsBAAAPAAAAAAAAAAEAIAAAACIAAABkcnMvZG93bnJldi54bWxQSwECFAAUAAAACACH&#10;TuJAytAM0SECAAA1BAAADgAAAAAAAAABACAAAAAqAQAAZHJzL2Uyb0RvYy54bWxQSwUGAAAAAAYA&#10;BgBZAQAAvQUAAAAA&#10;" path="m0,38807l36139,38807,47307,0,58475,38807,94614,38807,65377,62791,76545,101599,47307,77614,18069,101599,29237,62791xe">
                <v:path o:connectlocs="47307,0;0,38807;18069,101599;76545,101599;94614,38807" o:connectangles="247,164,82,82,0"/>
                <v:fill on="t" focussize="0,0"/>
                <v:stroke color="#FF0000" miterlimit="8" joinstyle="miter"/>
                <v:imagedata o:title=""/>
                <o:lock v:ext="edit" aspectratio="f"/>
              </v:shape>
            </w:pict>
          </mc:Fallback>
        </mc:AlternateContent>
      </w:r>
      <w:r>
        <w:rPr>
          <w:rFonts w:hint="eastAsia" w:eastAsia="宋体"/>
          <w:color w:val="auto"/>
          <w:highlight w:val="none"/>
          <w:lang w:eastAsia="zh-CN"/>
        </w:rPr>
        <w:drawing>
          <wp:inline distT="0" distB="0" distL="114300" distR="114300">
            <wp:extent cx="5941695" cy="8399145"/>
            <wp:effectExtent l="9525" t="9525" r="11430" b="11430"/>
            <wp:docPr id="113" name="图片 113" descr="官方-开平声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官方-开平声环境"/>
                    <pic:cNvPicPr>
                      <a:picLocks noChangeAspect="1"/>
                    </pic:cNvPicPr>
                  </pic:nvPicPr>
                  <pic:blipFill>
                    <a:blip r:embed="rId70"/>
                    <a:stretch>
                      <a:fillRect/>
                    </a:stretch>
                  </pic:blipFill>
                  <pic:spPr>
                    <a:xfrm>
                      <a:off x="0" y="0"/>
                      <a:ext cx="5941695" cy="8399145"/>
                    </a:xfrm>
                    <a:prstGeom prst="rect">
                      <a:avLst/>
                    </a:prstGeom>
                    <a:ln>
                      <a:solidFill>
                        <a:schemeClr val="tx1"/>
                      </a:solidFill>
                    </a:ln>
                  </pic:spPr>
                </pic:pic>
              </a:graphicData>
            </a:graphic>
          </wp:inline>
        </w:drawing>
      </w:r>
    </w:p>
    <w:p>
      <w:pPr>
        <w:pStyle w:val="32"/>
        <w:spacing w:before="0"/>
        <w:rPr>
          <w:rFonts w:hint="eastAsia" w:ascii="Times New Roman" w:hAnsi="Times New Roman"/>
          <w:color w:val="auto"/>
          <w:sz w:val="24"/>
          <w:szCs w:val="24"/>
          <w:highlight w:val="none"/>
          <w:lang w:eastAsia="zh-CN"/>
        </w:rPr>
        <w:sectPr>
          <w:footerReference r:id="rId11" w:type="default"/>
          <w:pgSz w:w="11907" w:h="16840"/>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r>
        <w:rPr>
          <w:rFonts w:ascii="Times New Roman" w:hAnsi="Times New Roman"/>
          <w:color w:val="auto"/>
          <w:sz w:val="24"/>
          <w:szCs w:val="24"/>
          <w:highlight w:val="none"/>
        </w:rPr>
        <w:t>附图</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eastAsia="zh-CN"/>
        </w:rPr>
        <w:t>开平市声环境功能区划图</w:t>
      </w:r>
    </w:p>
    <w:p>
      <w:pPr>
        <w:rPr>
          <w:color w:val="auto"/>
          <w:highlight w:val="none"/>
        </w:rPr>
      </w:pPr>
      <w:r>
        <w:rPr>
          <w:color w:val="auto"/>
          <w:highlight w:val="none"/>
        </w:rPr>
        <w:pict>
          <v:shape id="艺术字 3082" o:spid="_x0000_s2147" o:spt="136" type="#_x0000_t136" style="position:absolute;left:0pt;margin-left:230.2pt;margin-top:190.75pt;height:11.05pt;width:33.2pt;z-index:-1530304512;mso-width-relative:page;mso-height-relative:page;" fillcolor="#FF0000" filled="t" stroked="t" coordsize="21600,21600" adj="10800">
            <v:path/>
            <v:fill on="t" color2="#FFFFFF" focussize="0,0"/>
            <v:stroke color="#FF0000"/>
            <v:imagedata o:title=""/>
            <o:lock v:ext="edit" aspectratio="f"/>
            <v:textpath on="t" fitshape="t" fitpath="t" trim="t" xscale="f" string="项目位置" style="font-family:宋体;font-size:12pt;v-text-align:center;"/>
          </v:shape>
        </w:pict>
      </w:r>
      <w:r>
        <w:rPr>
          <w:color w:val="auto"/>
          <w:highlight w:val="none"/>
        </w:rPr>
        <mc:AlternateContent>
          <mc:Choice Requires="wps">
            <w:drawing>
              <wp:anchor distT="0" distB="0" distL="114300" distR="114300" simplePos="0" relativeHeight="2673570816" behindDoc="0" locked="0" layoutInCell="1" allowOverlap="1">
                <wp:simplePos x="0" y="0"/>
                <wp:positionH relativeFrom="column">
                  <wp:posOffset>4296410</wp:posOffset>
                </wp:positionH>
                <wp:positionV relativeFrom="paragraph">
                  <wp:posOffset>574040</wp:posOffset>
                </wp:positionV>
                <wp:extent cx="1675765" cy="476885"/>
                <wp:effectExtent l="4445" t="4445" r="15240" b="394970"/>
                <wp:wrapNone/>
                <wp:docPr id="10" name="矩形标注 10"/>
                <wp:cNvGraphicFramePr/>
                <a:graphic xmlns:a="http://schemas.openxmlformats.org/drawingml/2006/main">
                  <a:graphicData uri="http://schemas.microsoft.com/office/word/2010/wordprocessingShape">
                    <wps:wsp>
                      <wps:cNvSpPr/>
                      <wps:spPr>
                        <a:xfrm>
                          <a:off x="0" y="0"/>
                          <a:ext cx="1675765" cy="476885"/>
                        </a:xfrm>
                        <a:prstGeom prst="wedgeRectCallout">
                          <a:avLst>
                            <a:gd name="adj1" fmla="val -47726"/>
                            <a:gd name="adj2" fmla="val 126830"/>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宋体"/>
                                <w:sz w:val="22"/>
                                <w:szCs w:val="18"/>
                                <w:lang w:eastAsia="zh-CN"/>
                              </w:rPr>
                            </w:pPr>
                            <w:r>
                              <w:rPr>
                                <w:rFonts w:hint="eastAsia"/>
                                <w:sz w:val="22"/>
                                <w:szCs w:val="18"/>
                                <w:lang w:eastAsia="zh-CN"/>
                              </w:rPr>
                              <w:t>声环境评价范围：评价范围内无敏感点</w:t>
                            </w:r>
                          </w:p>
                        </w:txbxContent>
                      </wps:txbx>
                      <wps:bodyPr upright="1"/>
                    </wps:wsp>
                  </a:graphicData>
                </a:graphic>
              </wp:anchor>
            </w:drawing>
          </mc:Choice>
          <mc:Fallback>
            <w:pict>
              <v:shape id="_x0000_s1026" o:spid="_x0000_s1026" o:spt="61" type="#_x0000_t61" style="position:absolute;left:0pt;margin-left:338.3pt;margin-top:45.2pt;height:37.55pt;width:131.95pt;z-index:-1621396480;mso-width-relative:page;mso-height-relative:page;" fillcolor="#FFFFFF" filled="t" stroked="t" coordsize="21600,21600" o:gfxdata="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7Vg&#10;6tsAAAAKAQAADwAAAAAAAAABACAAAAAiAAAAZHJzL2Rvd25yZXYueG1sUEsBAhQAFAAAAAgAh07i&#10;QN7PueYfAgAAQgQAAA4AAAAAAAAAAQAgAAAAKgEAAGRycy9lMm9Eb2MueG1sUEsFBgAAAAAGAAYA&#10;WQEAALsFAAAAAA==&#10;" adj="491,38195">
                <v:fill on="t" focussize="0,0"/>
                <v:stroke color="#FF0000" joinstyle="miter"/>
                <v:imagedata o:title=""/>
                <o:lock v:ext="edit" aspectratio="f"/>
                <v:textbox>
                  <w:txbxContent>
                    <w:p>
                      <w:pPr>
                        <w:rPr>
                          <w:rFonts w:hint="eastAsia" w:eastAsia="宋体"/>
                          <w:sz w:val="22"/>
                          <w:szCs w:val="18"/>
                          <w:lang w:eastAsia="zh-CN"/>
                        </w:rPr>
                      </w:pPr>
                      <w:r>
                        <w:rPr>
                          <w:rFonts w:hint="eastAsia"/>
                          <w:sz w:val="22"/>
                          <w:szCs w:val="18"/>
                          <w:lang w:eastAsia="zh-CN"/>
                        </w:rPr>
                        <w:t>声环境评价范围：评价范围内无敏感点</w:t>
                      </w:r>
                    </w:p>
                  </w:txbxContent>
                </v:textbox>
              </v:shape>
            </w:pict>
          </mc:Fallback>
        </mc:AlternateContent>
      </w:r>
      <w:r>
        <w:rPr>
          <w:color w:val="auto"/>
          <w:highlight w:val="none"/>
        </w:rPr>
        <w:drawing>
          <wp:inline distT="0" distB="0" distL="114300" distR="114300">
            <wp:extent cx="6117590" cy="4725035"/>
            <wp:effectExtent l="9525" t="9525" r="26035" b="2794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71"/>
                    <a:stretch>
                      <a:fillRect/>
                    </a:stretch>
                  </pic:blipFill>
                  <pic:spPr>
                    <a:xfrm>
                      <a:off x="0" y="0"/>
                      <a:ext cx="6117590" cy="4725035"/>
                    </a:xfrm>
                    <a:prstGeom prst="rect">
                      <a:avLst/>
                    </a:prstGeom>
                    <a:noFill/>
                    <a:ln>
                      <a:solidFill>
                        <a:schemeClr val="tx1"/>
                      </a:solidFill>
                    </a:ln>
                  </pic:spPr>
                </pic:pic>
              </a:graphicData>
            </a:graphic>
          </wp:inline>
        </w:drawing>
      </w:r>
    </w:p>
    <w:p>
      <w:pPr>
        <w:pStyle w:val="32"/>
        <w:spacing w:before="0"/>
        <w:rPr>
          <w:rFonts w:hint="eastAsia"/>
          <w:color w:val="auto"/>
          <w:highlight w:val="none"/>
          <w:lang w:eastAsia="zh-CN"/>
        </w:rPr>
        <w:sectPr>
          <w:pgSz w:w="11907" w:h="16840"/>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r>
        <w:rPr>
          <w:rFonts w:ascii="Times New Roman" w:hAnsi="Times New Roman"/>
          <w:color w:val="auto"/>
          <w:sz w:val="24"/>
          <w:szCs w:val="24"/>
          <w:highlight w:val="none"/>
        </w:rPr>
        <w:t>附图</w:t>
      </w:r>
      <w:r>
        <w:rPr>
          <w:rFonts w:hint="eastAsia" w:ascii="Times New Roman" w:hAnsi="Times New Roman"/>
          <w:color w:val="auto"/>
          <w:sz w:val="24"/>
          <w:szCs w:val="24"/>
          <w:highlight w:val="none"/>
          <w:lang w:val="en-US" w:eastAsia="zh-CN"/>
        </w:rPr>
        <w:t>9</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lang w:eastAsia="zh-CN"/>
        </w:rPr>
        <w:t>项目声环境敏感点图</w:t>
      </w:r>
    </w:p>
    <w:p>
      <w:pPr>
        <w:tabs>
          <w:tab w:val="left" w:pos="11760"/>
        </w:tabs>
        <w:outlineLvl w:val="0"/>
        <w:rPr>
          <w:rFonts w:ascii="Times New Roman" w:hAnsi="Times New Roman"/>
          <w:b/>
          <w:color w:val="auto"/>
          <w:kern w:val="0"/>
          <w:sz w:val="24"/>
          <w:highlight w:val="none"/>
          <w:lang w:bidi="ar"/>
        </w:rPr>
      </w:pPr>
      <w:r>
        <w:rPr>
          <w:rFonts w:hint="eastAsia" w:ascii="Times New Roman" w:hAnsi="Times New Roman"/>
          <w:b/>
          <w:bCs/>
          <w:color w:val="auto"/>
          <w:sz w:val="24"/>
          <w:highlight w:val="none"/>
        </w:rPr>
        <w:t>建设项目大气环境影响评价自查表</w:t>
      </w:r>
    </w:p>
    <w:tbl>
      <w:tblPr>
        <w:tblStyle w:val="34"/>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025"/>
        <w:gridCol w:w="865"/>
        <w:gridCol w:w="328"/>
        <w:gridCol w:w="607"/>
        <w:gridCol w:w="286"/>
        <w:gridCol w:w="77"/>
        <w:gridCol w:w="101"/>
        <w:gridCol w:w="1232"/>
        <w:gridCol w:w="812"/>
        <w:gridCol w:w="92"/>
        <w:gridCol w:w="67"/>
        <w:gridCol w:w="557"/>
        <w:gridCol w:w="92"/>
        <w:gridCol w:w="270"/>
        <w:gridCol w:w="514"/>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3208" w:type="dxa"/>
            <w:gridSpan w:val="2"/>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工作内容</w:t>
            </w:r>
          </w:p>
        </w:tc>
        <w:tc>
          <w:tcPr>
            <w:tcW w:w="6537" w:type="dxa"/>
            <w:gridSpan w:val="1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shd w:val="clear" w:color="auto" w:fill="auto"/>
              </w:rPr>
            </w:pPr>
            <w:r>
              <w:rPr>
                <w:rFonts w:ascii="Times New Roman" w:hAnsi="Times New Roman" w:eastAsia="宋体" w:cs="Times New Roman"/>
                <w:color w:val="auto"/>
                <w:kern w:val="2"/>
                <w:sz w:val="21"/>
                <w:szCs w:val="21"/>
                <w:highlight w:val="none"/>
                <w:shd w:val="clear" w:color="auto" w:fill="auto"/>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评价等级与范围</w:t>
            </w: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评价等级</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一级</w:t>
            </w:r>
            <w:r>
              <w:rPr>
                <w:rFonts w:ascii="Times New Roman" w:hAnsi="Times New Roman" w:eastAsia="宋体" w:cs="Times New Roman"/>
                <w:color w:val="auto"/>
                <w:kern w:val="0"/>
                <w:sz w:val="21"/>
                <w:szCs w:val="21"/>
                <w:highlight w:val="none"/>
              </w:rPr>
              <w:sym w:font="Wingdings 2" w:char="00A3"/>
            </w:r>
          </w:p>
        </w:tc>
        <w:tc>
          <w:tcPr>
            <w:tcW w:w="2381"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二级</w:t>
            </w:r>
            <w:r>
              <w:rPr>
                <w:rFonts w:ascii="Times New Roman" w:hAnsi="Times New Roman" w:eastAsia="宋体" w:cs="Times New Roman"/>
                <w:color w:val="auto"/>
                <w:kern w:val="0"/>
                <w:sz w:val="21"/>
                <w:szCs w:val="21"/>
                <w:highlight w:val="none"/>
              </w:rPr>
              <w:sym w:font="Wingdings 2" w:char="00A3"/>
            </w:r>
          </w:p>
        </w:tc>
        <w:tc>
          <w:tcPr>
            <w:tcW w:w="207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三级</w:t>
            </w:r>
            <w:r>
              <w:rPr>
                <w:rFonts w:ascii="Times New Roman" w:hAnsi="Times New Roman" w:eastAsia="宋体" w:cs="Times New Roman"/>
                <w:color w:val="auto"/>
                <w:kern w:val="0"/>
                <w:sz w:val="21"/>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评价范围</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边长=50km</w:t>
            </w:r>
            <w:r>
              <w:rPr>
                <w:rFonts w:ascii="Times New Roman" w:hAnsi="Times New Roman" w:eastAsia="宋体" w:cs="Times New Roman"/>
                <w:color w:val="auto"/>
                <w:kern w:val="0"/>
                <w:sz w:val="21"/>
                <w:szCs w:val="21"/>
                <w:highlight w:val="none"/>
              </w:rPr>
              <w:sym w:font="Wingdings 2" w:char="00A3"/>
            </w:r>
          </w:p>
        </w:tc>
        <w:tc>
          <w:tcPr>
            <w:tcW w:w="2381"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边长5~50km</w:t>
            </w:r>
            <w:r>
              <w:rPr>
                <w:rFonts w:ascii="Times New Roman" w:hAnsi="Times New Roman" w:eastAsia="宋体" w:cs="Times New Roman"/>
                <w:color w:val="auto"/>
                <w:kern w:val="0"/>
                <w:sz w:val="21"/>
                <w:szCs w:val="21"/>
                <w:highlight w:val="none"/>
              </w:rPr>
              <w:sym w:font="Wingdings 2" w:char="00A3"/>
            </w:r>
          </w:p>
        </w:tc>
        <w:tc>
          <w:tcPr>
            <w:tcW w:w="207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边长=5km</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评价因子</w:t>
            </w: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SO</w:t>
            </w:r>
            <w:r>
              <w:rPr>
                <w:rFonts w:ascii="Times New Roman" w:hAnsi="Times New Roman" w:eastAsia="宋体" w:cs="Times New Roman"/>
                <w:color w:val="auto"/>
                <w:kern w:val="2"/>
                <w:sz w:val="21"/>
                <w:szCs w:val="21"/>
                <w:highlight w:val="none"/>
                <w:vertAlign w:val="subscript"/>
              </w:rPr>
              <w:t>2</w:t>
            </w:r>
            <w:r>
              <w:rPr>
                <w:rFonts w:ascii="Times New Roman" w:hAnsi="Times New Roman" w:eastAsia="宋体" w:cs="Times New Roman"/>
                <w:color w:val="auto"/>
                <w:kern w:val="2"/>
                <w:sz w:val="21"/>
                <w:szCs w:val="21"/>
                <w:highlight w:val="none"/>
              </w:rPr>
              <w:t>+NO</w:t>
            </w:r>
            <w:r>
              <w:rPr>
                <w:rFonts w:ascii="Times New Roman" w:hAnsi="Times New Roman" w:eastAsia="宋体" w:cs="Times New Roman"/>
                <w:color w:val="auto"/>
                <w:kern w:val="2"/>
                <w:sz w:val="21"/>
                <w:szCs w:val="21"/>
                <w:highlight w:val="none"/>
                <w:vertAlign w:val="subscript"/>
              </w:rPr>
              <w:t>x</w:t>
            </w:r>
            <w:r>
              <w:rPr>
                <w:rFonts w:ascii="Times New Roman" w:hAnsi="Times New Roman" w:eastAsia="宋体" w:cs="Times New Roman"/>
                <w:color w:val="auto"/>
                <w:kern w:val="2"/>
                <w:sz w:val="21"/>
                <w:szCs w:val="21"/>
                <w:highlight w:val="none"/>
              </w:rPr>
              <w:t>排放量</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≥2000t/a</w:t>
            </w:r>
            <w:r>
              <w:rPr>
                <w:rFonts w:ascii="Times New Roman" w:hAnsi="Times New Roman" w:eastAsia="宋体" w:cs="Times New Roman"/>
                <w:color w:val="auto"/>
                <w:kern w:val="0"/>
                <w:sz w:val="21"/>
                <w:szCs w:val="21"/>
                <w:highlight w:val="none"/>
              </w:rPr>
              <w:sym w:font="Wingdings 2" w:char="00A3"/>
            </w:r>
          </w:p>
        </w:tc>
        <w:tc>
          <w:tcPr>
            <w:tcW w:w="2381"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500~2000t/a</w:t>
            </w:r>
            <w:r>
              <w:rPr>
                <w:rFonts w:ascii="Times New Roman" w:hAnsi="Times New Roman" w:eastAsia="宋体" w:cs="Times New Roman"/>
                <w:color w:val="auto"/>
                <w:kern w:val="0"/>
                <w:sz w:val="21"/>
                <w:szCs w:val="21"/>
                <w:highlight w:val="none"/>
              </w:rPr>
              <w:sym w:font="Wingdings 2" w:char="00A3"/>
            </w:r>
          </w:p>
        </w:tc>
        <w:tc>
          <w:tcPr>
            <w:tcW w:w="207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&lt;500t/a</w:t>
            </w:r>
            <w:r>
              <w:rPr>
                <w:rFonts w:ascii="Times New Roman" w:hAnsi="Times New Roman" w:eastAsia="宋体" w:cs="Times New Roman"/>
                <w:color w:val="auto"/>
                <w:kern w:val="0"/>
                <w:sz w:val="21"/>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评价因子</w:t>
            </w:r>
          </w:p>
        </w:tc>
        <w:tc>
          <w:tcPr>
            <w:tcW w:w="4467" w:type="dxa"/>
            <w:gridSpan w:val="10"/>
            <w:tcBorders>
              <w:tl2br w:val="nil"/>
              <w:tr2bl w:val="nil"/>
            </w:tcBorders>
            <w:tcMar>
              <w:top w:w="0" w:type="dxa"/>
              <w:left w:w="85" w:type="dxa"/>
              <w:bottom w:w="0" w:type="dxa"/>
              <w:right w:w="85" w:type="dxa"/>
            </w:tcMar>
            <w:vAlign w:val="center"/>
          </w:tcPr>
          <w:p>
            <w:pPr>
              <w:widowControl w:val="0"/>
              <w:spacing w:after="0" w:line="240"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基本污染物（</w:t>
            </w:r>
            <w:r>
              <w:rPr>
                <w:rFonts w:ascii="Times New Roman" w:hAnsi="Times New Roman" w:eastAsia="Times New Roman" w:cs="Times New Roman"/>
                <w:color w:val="auto"/>
                <w:kern w:val="2"/>
                <w:sz w:val="21"/>
                <w:szCs w:val="24"/>
                <w:highlight w:val="none"/>
              </w:rPr>
              <w:t>SO</w:t>
            </w:r>
            <w:r>
              <w:rPr>
                <w:rFonts w:ascii="Times New Roman" w:hAnsi="Times New Roman" w:eastAsia="Times New Roman" w:cs="Times New Roman"/>
                <w:color w:val="auto"/>
                <w:kern w:val="2"/>
                <w:sz w:val="21"/>
                <w:szCs w:val="24"/>
                <w:highlight w:val="none"/>
                <w:vertAlign w:val="subscript"/>
              </w:rPr>
              <w:t>2</w:t>
            </w:r>
            <w:r>
              <w:rPr>
                <w:rFonts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rPr>
              <w:t>PM</w:t>
            </w:r>
            <w:r>
              <w:rPr>
                <w:rFonts w:hint="eastAsia" w:ascii="Times New Roman" w:hAnsi="Times New Roman" w:eastAsia="宋体" w:cs="Times New Roman"/>
                <w:color w:val="auto"/>
                <w:kern w:val="2"/>
                <w:sz w:val="21"/>
                <w:szCs w:val="21"/>
                <w:highlight w:val="none"/>
                <w:vertAlign w:val="subscript"/>
              </w:rPr>
              <w:t>10</w:t>
            </w:r>
            <w:r>
              <w:rPr>
                <w:rFonts w:ascii="Times New Roman" w:hAnsi="Times New Roman" w:eastAsia="宋体" w:cs="Times New Roman"/>
                <w:color w:val="auto"/>
                <w:kern w:val="2"/>
                <w:sz w:val="21"/>
                <w:szCs w:val="21"/>
                <w:highlight w:val="none"/>
              </w:rPr>
              <w:t>）</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其他污染物（</w:t>
            </w:r>
            <w:r>
              <w:rPr>
                <w:rFonts w:ascii="Times New Roman" w:hAnsi="Times New Roman" w:eastAsia="Times New Roman" w:cs="Times New Roman"/>
                <w:color w:val="auto"/>
                <w:kern w:val="2"/>
                <w:sz w:val="21"/>
                <w:szCs w:val="24"/>
                <w:highlight w:val="none"/>
              </w:rPr>
              <w:t>NO</w:t>
            </w:r>
            <w:r>
              <w:rPr>
                <w:rFonts w:hint="eastAsia" w:eastAsia="宋体" w:cs="Times New Roman"/>
                <w:color w:val="auto"/>
                <w:kern w:val="2"/>
                <w:sz w:val="21"/>
                <w:szCs w:val="24"/>
                <w:highlight w:val="none"/>
                <w:vertAlign w:val="subscript"/>
                <w:lang w:val="en-US" w:eastAsia="zh-CN"/>
              </w:rPr>
              <w:t>X</w:t>
            </w:r>
            <w:r>
              <w:rPr>
                <w:rFonts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rPr>
              <w:t>TSP、</w:t>
            </w:r>
            <w:r>
              <w:rPr>
                <w:rFonts w:ascii="Times New Roman" w:hAnsi="Times New Roman" w:eastAsia="宋体" w:cs="Times New Roman"/>
                <w:color w:val="auto"/>
                <w:kern w:val="2"/>
                <w:sz w:val="21"/>
                <w:szCs w:val="21"/>
                <w:highlight w:val="none"/>
              </w:rPr>
              <w:t>非甲烷总烃）</w:t>
            </w:r>
          </w:p>
        </w:tc>
        <w:tc>
          <w:tcPr>
            <w:tcW w:w="207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包括二次PM</w:t>
            </w:r>
            <w:r>
              <w:rPr>
                <w:rFonts w:ascii="Times New Roman" w:hAnsi="Times New Roman" w:eastAsia="宋体" w:cs="Times New Roman"/>
                <w:color w:val="auto"/>
                <w:kern w:val="2"/>
                <w:sz w:val="21"/>
                <w:szCs w:val="21"/>
                <w:highlight w:val="none"/>
                <w:vertAlign w:val="subscript"/>
              </w:rPr>
              <w:t>2.5</w:t>
            </w:r>
            <w:r>
              <w:rPr>
                <w:rFonts w:ascii="Times New Roman" w:hAnsi="Times New Roman" w:eastAsia="宋体" w:cs="Times New Roman"/>
                <w:color w:val="auto"/>
                <w:kern w:val="0"/>
                <w:sz w:val="21"/>
                <w:szCs w:val="21"/>
                <w:highlight w:val="none"/>
              </w:rPr>
              <w:sym w:font="Wingdings 2" w:char="00A3"/>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不包括二次PM</w:t>
            </w:r>
            <w:r>
              <w:rPr>
                <w:rFonts w:ascii="Times New Roman" w:hAnsi="Times New Roman" w:eastAsia="宋体" w:cs="Times New Roman"/>
                <w:color w:val="auto"/>
                <w:kern w:val="2"/>
                <w:sz w:val="21"/>
                <w:szCs w:val="21"/>
                <w:highlight w:val="none"/>
                <w:vertAlign w:val="subscript"/>
              </w:rPr>
              <w:t>2.5</w:t>
            </w:r>
            <w:r>
              <w:rPr>
                <w:rFonts w:ascii="Times New Roman" w:hAnsi="Times New Roman" w:eastAsia="宋体" w:cs="Times New Roman"/>
                <w:color w:val="auto"/>
                <w:kern w:val="0"/>
                <w:sz w:val="21"/>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83"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评价标准</w:t>
            </w: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评价标准</w:t>
            </w:r>
          </w:p>
        </w:tc>
        <w:tc>
          <w:tcPr>
            <w:tcW w:w="1800"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国家标准</w:t>
            </w:r>
            <w:r>
              <w:rPr>
                <w:rFonts w:ascii="Times New Roman" w:hAnsi="Times New Roman" w:eastAsia="宋体" w:cs="Times New Roman"/>
                <w:color w:val="auto"/>
                <w:kern w:val="0"/>
                <w:sz w:val="21"/>
                <w:szCs w:val="21"/>
                <w:highlight w:val="none"/>
              </w:rPr>
              <w:sym w:font="Wingdings 2" w:char="0052"/>
            </w:r>
          </w:p>
        </w:tc>
        <w:tc>
          <w:tcPr>
            <w:tcW w:w="169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地方标准</w:t>
            </w:r>
            <w:r>
              <w:rPr>
                <w:rFonts w:ascii="Times New Roman" w:hAnsi="Times New Roman" w:eastAsia="宋体" w:cs="Times New Roman"/>
                <w:color w:val="auto"/>
                <w:kern w:val="0"/>
                <w:sz w:val="21"/>
                <w:szCs w:val="21"/>
                <w:highlight w:val="none"/>
              </w:rPr>
              <w:sym w:font="Wingdings 2" w:char="00A3"/>
            </w:r>
          </w:p>
        </w:tc>
        <w:tc>
          <w:tcPr>
            <w:tcW w:w="162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附录D</w:t>
            </w:r>
            <w:r>
              <w:rPr>
                <w:rFonts w:ascii="Times New Roman" w:hAnsi="Times New Roman" w:eastAsia="宋体" w:cs="Times New Roman"/>
                <w:color w:val="auto"/>
                <w:kern w:val="0"/>
                <w:sz w:val="21"/>
                <w:szCs w:val="21"/>
                <w:highlight w:val="none"/>
              </w:rPr>
              <w:sym w:font="Wingdings 2" w:char="00A3"/>
            </w:r>
          </w:p>
        </w:tc>
        <w:tc>
          <w:tcPr>
            <w:tcW w:w="1421"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其他标准</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现状评价</w:t>
            </w: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环境功能区</w:t>
            </w:r>
          </w:p>
        </w:tc>
        <w:tc>
          <w:tcPr>
            <w:tcW w:w="2163"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一类区</w:t>
            </w:r>
            <w:r>
              <w:rPr>
                <w:rFonts w:ascii="Times New Roman" w:hAnsi="Times New Roman" w:eastAsia="宋体" w:cs="Times New Roman"/>
                <w:color w:val="auto"/>
                <w:kern w:val="0"/>
                <w:sz w:val="21"/>
                <w:szCs w:val="21"/>
                <w:highlight w:val="none"/>
              </w:rPr>
              <w:sym w:font="Wingdings 2" w:char="00A3"/>
            </w:r>
          </w:p>
        </w:tc>
        <w:tc>
          <w:tcPr>
            <w:tcW w:w="2145"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二类区</w:t>
            </w:r>
            <w:r>
              <w:rPr>
                <w:rFonts w:ascii="Times New Roman" w:hAnsi="Times New Roman" w:eastAsia="宋体" w:cs="Times New Roman"/>
                <w:color w:val="auto"/>
                <w:kern w:val="0"/>
                <w:sz w:val="21"/>
                <w:szCs w:val="21"/>
                <w:highlight w:val="none"/>
              </w:rPr>
              <w:sym w:font="Wingdings 2" w:char="0052"/>
            </w:r>
          </w:p>
        </w:tc>
        <w:tc>
          <w:tcPr>
            <w:tcW w:w="2229"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一类区和二类区</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评价基准年</w:t>
            </w:r>
          </w:p>
        </w:tc>
        <w:tc>
          <w:tcPr>
            <w:tcW w:w="6537" w:type="dxa"/>
            <w:gridSpan w:val="1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环境空气质量现状调查数据来源</w:t>
            </w:r>
          </w:p>
        </w:tc>
        <w:tc>
          <w:tcPr>
            <w:tcW w:w="2163"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长期例行监测数据</w:t>
            </w:r>
            <w:r>
              <w:rPr>
                <w:rFonts w:ascii="Times New Roman" w:hAnsi="Times New Roman" w:eastAsia="宋体" w:cs="Times New Roman"/>
                <w:color w:val="auto"/>
                <w:kern w:val="0"/>
                <w:sz w:val="21"/>
                <w:szCs w:val="21"/>
                <w:highlight w:val="none"/>
              </w:rPr>
              <w:sym w:font="Wingdings 2" w:char="00A3"/>
            </w:r>
          </w:p>
        </w:tc>
        <w:tc>
          <w:tcPr>
            <w:tcW w:w="2145"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主管部门发布的数据</w:t>
            </w:r>
            <w:r>
              <w:rPr>
                <w:rFonts w:ascii="Times New Roman" w:hAnsi="Times New Roman" w:eastAsia="宋体" w:cs="Times New Roman"/>
                <w:color w:val="auto"/>
                <w:kern w:val="0"/>
                <w:sz w:val="21"/>
                <w:szCs w:val="21"/>
                <w:highlight w:val="none"/>
              </w:rPr>
              <w:sym w:font="Wingdings 2" w:char="0052"/>
            </w:r>
          </w:p>
        </w:tc>
        <w:tc>
          <w:tcPr>
            <w:tcW w:w="2229"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现状补充监测</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现状评价</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达标区</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不达标区</w:t>
            </w:r>
            <w:r>
              <w:rPr>
                <w:rFonts w:ascii="Times New Roman" w:hAnsi="Times New Roman" w:eastAsia="宋体" w:cs="Times New Roman"/>
                <w:color w:val="auto"/>
                <w:kern w:val="0"/>
                <w:sz w:val="21"/>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83"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污染源调查</w:t>
            </w:r>
          </w:p>
        </w:tc>
        <w:tc>
          <w:tcPr>
            <w:tcW w:w="202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调查内容</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本项目正常排放源</w:t>
            </w:r>
            <w:r>
              <w:rPr>
                <w:rFonts w:ascii="Times New Roman" w:hAnsi="Times New Roman" w:eastAsia="宋体" w:cs="Times New Roman"/>
                <w:color w:val="auto"/>
                <w:kern w:val="0"/>
                <w:sz w:val="21"/>
                <w:szCs w:val="21"/>
                <w:highlight w:val="none"/>
              </w:rPr>
              <w:sym w:font="Wingdings 2" w:char="0052"/>
            </w:r>
          </w:p>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本项项目非正常排放源</w:t>
            </w:r>
            <w:r>
              <w:rPr>
                <w:rFonts w:ascii="Times New Roman" w:hAnsi="Times New Roman" w:eastAsia="宋体" w:cs="Times New Roman"/>
                <w:color w:val="auto"/>
                <w:kern w:val="0"/>
                <w:sz w:val="21"/>
                <w:szCs w:val="21"/>
                <w:highlight w:val="none"/>
              </w:rPr>
              <w:sym w:font="Wingdings 2" w:char="00A3"/>
            </w:r>
            <w:r>
              <w:rPr>
                <w:rFonts w:ascii="Times New Roman" w:hAnsi="Times New Roman" w:eastAsia="宋体" w:cs="Times New Roman"/>
                <w:color w:val="auto"/>
                <w:kern w:val="0"/>
                <w:sz w:val="21"/>
                <w:szCs w:val="21"/>
                <w:highlight w:val="none"/>
              </w:rPr>
              <w:t>现有污染源</w:t>
            </w:r>
            <w:r>
              <w:rPr>
                <w:rFonts w:ascii="Times New Roman" w:hAnsi="Times New Roman" w:eastAsia="宋体" w:cs="Times New Roman"/>
                <w:color w:val="auto"/>
                <w:kern w:val="0"/>
                <w:sz w:val="21"/>
                <w:szCs w:val="21"/>
                <w:highlight w:val="none"/>
              </w:rPr>
              <w:sym w:font="Wingdings 2" w:char="00A3"/>
            </w:r>
          </w:p>
        </w:tc>
        <w:tc>
          <w:tcPr>
            <w:tcW w:w="1410"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拟替代的污染源</w:t>
            </w:r>
            <w:r>
              <w:rPr>
                <w:rFonts w:ascii="Times New Roman" w:hAnsi="Times New Roman" w:eastAsia="宋体" w:cs="Times New Roman"/>
                <w:color w:val="auto"/>
                <w:kern w:val="0"/>
                <w:sz w:val="21"/>
                <w:szCs w:val="21"/>
                <w:highlight w:val="none"/>
              </w:rPr>
              <w:sym w:font="Wingdings 2" w:char="00A3"/>
            </w:r>
          </w:p>
        </w:tc>
        <w:tc>
          <w:tcPr>
            <w:tcW w:w="1620" w:type="dxa"/>
            <w:gridSpan w:val="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其他在建、拟建项目污染源</w:t>
            </w:r>
            <w:r>
              <w:rPr>
                <w:rFonts w:ascii="Times New Roman" w:hAnsi="Times New Roman" w:eastAsia="宋体" w:cs="Times New Roman"/>
                <w:color w:val="auto"/>
                <w:kern w:val="0"/>
                <w:sz w:val="21"/>
                <w:szCs w:val="21"/>
                <w:highlight w:val="none"/>
              </w:rPr>
              <w:sym w:font="Wingdings 2" w:char="00A3"/>
            </w:r>
          </w:p>
        </w:tc>
        <w:tc>
          <w:tcPr>
            <w:tcW w:w="1421"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区域污染源</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大气环境影响预测与评价（不适用）</w:t>
            </w: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预测模型</w:t>
            </w:r>
          </w:p>
        </w:tc>
        <w:tc>
          <w:tcPr>
            <w:tcW w:w="1193" w:type="dxa"/>
            <w:gridSpan w:val="2"/>
            <w:tcBorders>
              <w:tl2br w:val="nil"/>
              <w:tr2bl w:val="nil"/>
            </w:tcBorders>
            <w:tcMar>
              <w:top w:w="0" w:type="dxa"/>
              <w:left w:w="0" w:type="dxa"/>
              <w:bottom w:w="0" w:type="dxa"/>
              <w:right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AERMOD</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0"/>
                <w:sz w:val="21"/>
                <w:szCs w:val="21"/>
                <w:highlight w:val="none"/>
              </w:rPr>
              <w:sym w:font="Wingdings 2" w:char="00A3"/>
            </w:r>
          </w:p>
        </w:tc>
        <w:tc>
          <w:tcPr>
            <w:tcW w:w="893" w:type="dxa"/>
            <w:gridSpan w:val="2"/>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ADMS</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0"/>
                <w:sz w:val="21"/>
                <w:szCs w:val="21"/>
                <w:highlight w:val="none"/>
              </w:rPr>
              <w:sym w:font="Wingdings 2" w:char="00A3"/>
            </w:r>
          </w:p>
        </w:tc>
        <w:tc>
          <w:tcPr>
            <w:tcW w:w="1410" w:type="dxa"/>
            <w:gridSpan w:val="3"/>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AUSTAL2000</w:t>
            </w:r>
            <w:r>
              <w:rPr>
                <w:rFonts w:ascii="Times New Roman" w:hAnsi="Times New Roman" w:eastAsia="宋体" w:cs="Times New Roman"/>
                <w:color w:val="auto"/>
                <w:kern w:val="0"/>
                <w:sz w:val="21"/>
                <w:szCs w:val="21"/>
                <w:highlight w:val="none"/>
              </w:rPr>
              <w:sym w:font="Wingdings 2" w:char="00A3"/>
            </w:r>
          </w:p>
        </w:tc>
        <w:tc>
          <w:tcPr>
            <w:tcW w:w="812" w:type="dxa"/>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EDMS/AEDT</w:t>
            </w:r>
            <w:r>
              <w:rPr>
                <w:rFonts w:ascii="Times New Roman" w:hAnsi="Times New Roman" w:eastAsia="宋体" w:cs="Times New Roman"/>
                <w:color w:val="auto"/>
                <w:kern w:val="0"/>
                <w:sz w:val="21"/>
                <w:szCs w:val="21"/>
                <w:highlight w:val="none"/>
              </w:rPr>
              <w:sym w:font="Wingdings 2" w:char="00A3"/>
            </w:r>
          </w:p>
        </w:tc>
        <w:tc>
          <w:tcPr>
            <w:tcW w:w="808" w:type="dxa"/>
            <w:gridSpan w:val="4"/>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CALPUFF</w:t>
            </w:r>
            <w:r>
              <w:rPr>
                <w:rFonts w:ascii="Times New Roman" w:hAnsi="Times New Roman" w:eastAsia="宋体" w:cs="Times New Roman"/>
                <w:color w:val="auto"/>
                <w:kern w:val="0"/>
                <w:sz w:val="21"/>
                <w:szCs w:val="21"/>
                <w:highlight w:val="none"/>
              </w:rPr>
              <w:sym w:font="Wingdings 2" w:char="00A3"/>
            </w:r>
          </w:p>
        </w:tc>
        <w:tc>
          <w:tcPr>
            <w:tcW w:w="784" w:type="dxa"/>
            <w:gridSpan w:val="2"/>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网格模型</w:t>
            </w:r>
            <w:r>
              <w:rPr>
                <w:rFonts w:ascii="Times New Roman" w:hAnsi="Times New Roman" w:eastAsia="宋体" w:cs="Times New Roman"/>
                <w:color w:val="auto"/>
                <w:kern w:val="0"/>
                <w:sz w:val="21"/>
                <w:szCs w:val="21"/>
                <w:highlight w:val="none"/>
              </w:rPr>
              <w:sym w:font="Wingdings 2" w:char="00A3"/>
            </w:r>
          </w:p>
        </w:tc>
        <w:tc>
          <w:tcPr>
            <w:tcW w:w="637" w:type="dxa"/>
            <w:tcBorders>
              <w:tl2br w:val="nil"/>
              <w:tr2bl w:val="nil"/>
            </w:tcBorders>
            <w:tcMar>
              <w:top w:w="0" w:type="dxa"/>
              <w:bottom w:w="0"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其他</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预测范围</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0"/>
                <w:sz w:val="21"/>
                <w:szCs w:val="21"/>
                <w:highlight w:val="none"/>
              </w:rPr>
              <w:t>边长</w:t>
            </w:r>
            <w:r>
              <w:rPr>
                <w:rFonts w:ascii="Times New Roman" w:hAnsi="Times New Roman" w:eastAsia="宋体" w:cs="Times New Roman"/>
                <w:color w:val="auto"/>
                <w:kern w:val="2"/>
                <w:sz w:val="21"/>
                <w:szCs w:val="21"/>
                <w:highlight w:val="none"/>
              </w:rPr>
              <w:t>≥50km</w:t>
            </w:r>
            <w:r>
              <w:rPr>
                <w:rFonts w:ascii="Times New Roman" w:hAnsi="Times New Roman" w:eastAsia="宋体" w:cs="Times New Roman"/>
                <w:color w:val="auto"/>
                <w:kern w:val="0"/>
                <w:sz w:val="21"/>
                <w:szCs w:val="21"/>
                <w:highlight w:val="none"/>
              </w:rPr>
              <w:sym w:font="Wingdings 2" w:char="00A3"/>
            </w:r>
          </w:p>
        </w:tc>
        <w:tc>
          <w:tcPr>
            <w:tcW w:w="3030"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边长5~50km</w:t>
            </w:r>
            <w:r>
              <w:rPr>
                <w:rFonts w:ascii="Times New Roman" w:hAnsi="Times New Roman" w:eastAsia="宋体" w:cs="Times New Roman"/>
                <w:color w:val="auto"/>
                <w:kern w:val="0"/>
                <w:sz w:val="21"/>
                <w:szCs w:val="21"/>
                <w:highlight w:val="none"/>
              </w:rPr>
              <w:sym w:font="Wingdings 2" w:char="00A3"/>
            </w:r>
          </w:p>
        </w:tc>
        <w:tc>
          <w:tcPr>
            <w:tcW w:w="1421"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边长=5km</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预测因子</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预测因子（                  ）</w:t>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包括二次PM</w:t>
            </w:r>
            <w:r>
              <w:rPr>
                <w:rFonts w:ascii="Times New Roman" w:hAnsi="Times New Roman" w:eastAsia="宋体" w:cs="Times New Roman"/>
                <w:color w:val="auto"/>
                <w:kern w:val="2"/>
                <w:sz w:val="21"/>
                <w:szCs w:val="21"/>
                <w:highlight w:val="none"/>
                <w:vertAlign w:val="subscript"/>
              </w:rPr>
              <w:t>2.5</w:t>
            </w:r>
            <w:r>
              <w:rPr>
                <w:rFonts w:ascii="Times New Roman" w:hAnsi="Times New Roman" w:eastAsia="宋体" w:cs="Times New Roman"/>
                <w:color w:val="auto"/>
                <w:kern w:val="0"/>
                <w:sz w:val="21"/>
                <w:szCs w:val="21"/>
                <w:highlight w:val="none"/>
              </w:rPr>
              <w:sym w:font="Wingdings 2" w:char="00A3"/>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不包括二次PM</w:t>
            </w:r>
            <w:r>
              <w:rPr>
                <w:rFonts w:ascii="Times New Roman" w:hAnsi="Times New Roman" w:eastAsia="宋体" w:cs="Times New Roman"/>
                <w:color w:val="auto"/>
                <w:kern w:val="2"/>
                <w:sz w:val="21"/>
                <w:szCs w:val="21"/>
                <w:highlight w:val="none"/>
                <w:vertAlign w:val="subscript"/>
              </w:rPr>
              <w:t>2.5</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正常排放短期浓度贡献值</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最大占标率≤100%</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最大占标率&gt;100%</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vMerge w:val="restart"/>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正常排放年均浓度贡献值</w:t>
            </w:r>
          </w:p>
        </w:tc>
        <w:tc>
          <w:tcPr>
            <w:tcW w:w="86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一类区</w:t>
            </w:r>
          </w:p>
        </w:tc>
        <w:tc>
          <w:tcPr>
            <w:tcW w:w="2631"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最大占标率≤10%</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最大占标率&gt;10%</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vMerge w:val="continue"/>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865" w:type="dxa"/>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二类区</w:t>
            </w:r>
          </w:p>
        </w:tc>
        <w:tc>
          <w:tcPr>
            <w:tcW w:w="2631"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最大占标率≤30%</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本项目</w:t>
            </w:r>
            <w:r>
              <w:rPr>
                <w:rFonts w:ascii="Times New Roman" w:hAnsi="Times New Roman" w:eastAsia="宋体" w:cs="Times New Roman"/>
                <w:color w:val="auto"/>
                <w:kern w:val="2"/>
                <w:sz w:val="21"/>
                <w:szCs w:val="21"/>
                <w:highlight w:val="none"/>
              </w:rPr>
              <w:t>最大占标率&gt;30%</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非正常排放1h浓度贡献值</w:t>
            </w:r>
          </w:p>
        </w:tc>
        <w:tc>
          <w:tcPr>
            <w:tcW w:w="2264"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非正常持续时长（   ）h</w:t>
            </w:r>
          </w:p>
        </w:tc>
        <w:tc>
          <w:tcPr>
            <w:tcW w:w="2136"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非正常</w:t>
            </w:r>
            <w:r>
              <w:rPr>
                <w:rFonts w:ascii="Times New Roman" w:hAnsi="Times New Roman" w:eastAsia="宋体" w:cs="Times New Roman"/>
                <w:color w:val="auto"/>
                <w:kern w:val="2"/>
                <w:sz w:val="21"/>
                <w:szCs w:val="21"/>
                <w:highlight w:val="none"/>
              </w:rPr>
              <w:t>占标率≤100%</w:t>
            </w:r>
            <w:r>
              <w:rPr>
                <w:rFonts w:ascii="Times New Roman" w:hAnsi="Times New Roman" w:eastAsia="宋体" w:cs="Times New Roman"/>
                <w:color w:val="auto"/>
                <w:kern w:val="0"/>
                <w:sz w:val="21"/>
                <w:szCs w:val="21"/>
                <w:highlight w:val="none"/>
              </w:rPr>
              <w:sym w:font="Wingdings 2" w:char="00A3"/>
            </w:r>
          </w:p>
        </w:tc>
        <w:tc>
          <w:tcPr>
            <w:tcW w:w="2137"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非正常</w:t>
            </w:r>
            <w:r>
              <w:rPr>
                <w:rFonts w:ascii="Times New Roman" w:hAnsi="Times New Roman" w:eastAsia="宋体" w:cs="Times New Roman"/>
                <w:color w:val="auto"/>
                <w:kern w:val="2"/>
                <w:sz w:val="21"/>
                <w:szCs w:val="21"/>
                <w:highlight w:val="none"/>
              </w:rPr>
              <w:t>占标率&gt;100%</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保证率日平均浓度和年平均浓度叠加值</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叠加</w:t>
            </w:r>
            <w:r>
              <w:rPr>
                <w:rFonts w:ascii="Times New Roman" w:hAnsi="Times New Roman" w:eastAsia="宋体" w:cs="Times New Roman"/>
                <w:color w:val="auto"/>
                <w:kern w:val="2"/>
                <w:sz w:val="21"/>
                <w:szCs w:val="21"/>
                <w:highlight w:val="none"/>
              </w:rPr>
              <w:t>达标</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C</w:t>
            </w:r>
            <w:r>
              <w:rPr>
                <w:rFonts w:ascii="Times New Roman" w:hAnsi="Times New Roman" w:eastAsia="宋体" w:cs="Times New Roman"/>
                <w:color w:val="auto"/>
                <w:kern w:val="2"/>
                <w:sz w:val="21"/>
                <w:szCs w:val="21"/>
                <w:highlight w:val="none"/>
                <w:vertAlign w:val="subscript"/>
              </w:rPr>
              <w:t>叠加</w:t>
            </w:r>
            <w:r>
              <w:rPr>
                <w:rFonts w:ascii="Times New Roman" w:hAnsi="Times New Roman" w:eastAsia="宋体" w:cs="Times New Roman"/>
                <w:color w:val="auto"/>
                <w:kern w:val="2"/>
                <w:sz w:val="21"/>
                <w:szCs w:val="21"/>
                <w:highlight w:val="none"/>
              </w:rPr>
              <w:t>不达标</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区域环境质量的整体变化情况</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k≤ -20%</w:t>
            </w:r>
            <w:r>
              <w:rPr>
                <w:rFonts w:ascii="Times New Roman" w:hAnsi="Times New Roman" w:eastAsia="宋体" w:cs="Times New Roman"/>
                <w:color w:val="auto"/>
                <w:kern w:val="0"/>
                <w:sz w:val="21"/>
                <w:szCs w:val="21"/>
                <w:highlight w:val="none"/>
              </w:rPr>
              <w:sym w:font="Wingdings 2" w:char="00A3"/>
            </w:r>
          </w:p>
        </w:tc>
        <w:tc>
          <w:tcPr>
            <w:tcW w:w="3041" w:type="dxa"/>
            <w:gridSpan w:val="8"/>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K&gt; -20%</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环境监测计划</w:t>
            </w: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污染源监测</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监测因子：（非甲烷总烃</w:t>
            </w:r>
            <w:r>
              <w:rPr>
                <w:rFonts w:hint="eastAsia" w:ascii="Times New Roman" w:hAnsi="Times New Roman" w:eastAsia="宋体" w:cs="Times New Roman"/>
                <w:color w:val="auto"/>
                <w:kern w:val="2"/>
                <w:sz w:val="21"/>
                <w:szCs w:val="21"/>
                <w:highlight w:val="none"/>
              </w:rPr>
              <w:t>、</w:t>
            </w:r>
            <w:r>
              <w:rPr>
                <w:rFonts w:ascii="Times New Roman" w:hAnsi="Times New Roman" w:eastAsia="宋体" w:cs="Times New Roman"/>
                <w:color w:val="auto"/>
                <w:kern w:val="2"/>
                <w:sz w:val="21"/>
                <w:szCs w:val="21"/>
                <w:highlight w:val="none"/>
              </w:rPr>
              <w:t>SO</w:t>
            </w:r>
            <w:r>
              <w:rPr>
                <w:rFonts w:ascii="Times New Roman" w:hAnsi="Times New Roman" w:eastAsia="宋体" w:cs="Times New Roman"/>
                <w:color w:val="auto"/>
                <w:kern w:val="2"/>
                <w:sz w:val="21"/>
                <w:szCs w:val="21"/>
                <w:highlight w:val="none"/>
                <w:vertAlign w:val="subscript"/>
              </w:rPr>
              <w:t>2</w:t>
            </w:r>
            <w:r>
              <w:rPr>
                <w:rFonts w:ascii="Times New Roman" w:hAnsi="宋体" w:eastAsia="宋体" w:cs="Times New Roman"/>
                <w:color w:val="auto"/>
                <w:kern w:val="2"/>
                <w:sz w:val="21"/>
                <w:szCs w:val="21"/>
                <w:highlight w:val="none"/>
              </w:rPr>
              <w:t>、</w:t>
            </w:r>
            <w:r>
              <w:rPr>
                <w:rFonts w:ascii="Times New Roman" w:hAnsi="Times New Roman" w:eastAsia="宋体" w:cs="Times New Roman"/>
                <w:color w:val="auto"/>
                <w:kern w:val="2"/>
                <w:sz w:val="21"/>
                <w:szCs w:val="21"/>
                <w:highlight w:val="none"/>
              </w:rPr>
              <w:t>NOx</w:t>
            </w:r>
            <w:r>
              <w:rPr>
                <w:rFonts w:hint="eastAsia" w:ascii="Times New Roman" w:hAnsi="Times New Roman" w:eastAsia="宋体" w:cs="Times New Roman"/>
                <w:color w:val="auto"/>
                <w:kern w:val="2"/>
                <w:sz w:val="21"/>
                <w:szCs w:val="21"/>
                <w:highlight w:val="none"/>
              </w:rPr>
              <w:t>、TSP、</w:t>
            </w:r>
            <w:r>
              <w:rPr>
                <w:rFonts w:hint="eastAsia" w:ascii="Times New Roman" w:hAnsi="Times New Roman" w:eastAsia="宋体" w:cs="Times New Roman"/>
                <w:color w:val="auto"/>
                <w:kern w:val="24"/>
                <w:sz w:val="21"/>
                <w:szCs w:val="21"/>
                <w:highlight w:val="none"/>
              </w:rPr>
              <w:t>PM</w:t>
            </w:r>
            <w:r>
              <w:rPr>
                <w:rFonts w:hint="eastAsia" w:ascii="Times New Roman" w:hAnsi="Times New Roman" w:eastAsia="宋体" w:cs="Times New Roman"/>
                <w:color w:val="auto"/>
                <w:kern w:val="24"/>
                <w:sz w:val="21"/>
                <w:szCs w:val="21"/>
                <w:highlight w:val="none"/>
                <w:vertAlign w:val="subscript"/>
              </w:rPr>
              <w:t>10</w:t>
            </w:r>
            <w:r>
              <w:rPr>
                <w:rFonts w:ascii="Times New Roman" w:hAnsi="Times New Roman" w:eastAsia="宋体" w:cs="Times New Roman"/>
                <w:color w:val="auto"/>
                <w:kern w:val="2"/>
                <w:sz w:val="21"/>
                <w:szCs w:val="21"/>
                <w:highlight w:val="none"/>
              </w:rPr>
              <w:t>）</w:t>
            </w:r>
          </w:p>
        </w:tc>
        <w:tc>
          <w:tcPr>
            <w:tcW w:w="1890"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2"/>
                <w:sz w:val="21"/>
                <w:szCs w:val="21"/>
                <w:highlight w:val="none"/>
              </w:rPr>
              <w:t>有组织废气监测</w:t>
            </w:r>
            <w:r>
              <w:rPr>
                <w:rFonts w:ascii="Times New Roman" w:hAnsi="Times New Roman" w:eastAsia="宋体" w:cs="Times New Roman"/>
                <w:color w:val="auto"/>
                <w:kern w:val="0"/>
                <w:sz w:val="21"/>
                <w:szCs w:val="21"/>
                <w:highlight w:val="none"/>
              </w:rPr>
              <w:sym w:font="Wingdings 2" w:char="0052"/>
            </w:r>
          </w:p>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无组织废气监测</w:t>
            </w:r>
            <w:r>
              <w:rPr>
                <w:rFonts w:ascii="Times New Roman" w:hAnsi="Times New Roman" w:eastAsia="宋体" w:cs="Times New Roman"/>
                <w:color w:val="auto"/>
                <w:kern w:val="0"/>
                <w:sz w:val="21"/>
                <w:szCs w:val="21"/>
                <w:highlight w:val="none"/>
              </w:rPr>
              <w:sym w:font="Wingdings 2" w:char="0052"/>
            </w:r>
          </w:p>
        </w:tc>
        <w:tc>
          <w:tcPr>
            <w:tcW w:w="1151" w:type="dxa"/>
            <w:gridSpan w:val="2"/>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无监测</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环境质量监测</w:t>
            </w:r>
          </w:p>
        </w:tc>
        <w:tc>
          <w:tcPr>
            <w:tcW w:w="3496" w:type="dxa"/>
            <w:gridSpan w:val="7"/>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监测因子：（）</w:t>
            </w:r>
          </w:p>
        </w:tc>
        <w:tc>
          <w:tcPr>
            <w:tcW w:w="1890" w:type="dxa"/>
            <w:gridSpan w:val="6"/>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监测点位数</w:t>
            </w:r>
            <w:r>
              <w:rPr>
                <w:rFonts w:ascii="Times New Roman" w:hAnsi="Times New Roman" w:eastAsia="宋体" w:cs="Times New Roman"/>
                <w:color w:val="auto"/>
                <w:kern w:val="2"/>
                <w:sz w:val="21"/>
                <w:szCs w:val="21"/>
                <w:highlight w:val="none"/>
              </w:rPr>
              <w:t>（）</w:t>
            </w:r>
          </w:p>
        </w:tc>
        <w:tc>
          <w:tcPr>
            <w:tcW w:w="1151" w:type="dxa"/>
            <w:gridSpan w:val="2"/>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无监测</w:t>
            </w:r>
            <w:r>
              <w:rPr>
                <w:rFonts w:ascii="Times New Roman" w:hAnsi="Times New Roman" w:eastAsia="宋体" w:cs="Times New Roman"/>
                <w:color w:val="auto"/>
                <w:kern w:val="0"/>
                <w:sz w:val="21"/>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183" w:type="dxa"/>
            <w:vMerge w:val="restart"/>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评价结论</w:t>
            </w: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环境影响</w:t>
            </w:r>
          </w:p>
        </w:tc>
        <w:tc>
          <w:tcPr>
            <w:tcW w:w="6537" w:type="dxa"/>
            <w:gridSpan w:val="1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可以接受</w:t>
            </w:r>
            <w:r>
              <w:rPr>
                <w:rFonts w:ascii="Times New Roman" w:hAnsi="Times New Roman" w:eastAsia="宋体" w:cs="Times New Roman"/>
                <w:color w:val="auto"/>
                <w:kern w:val="0"/>
                <w:sz w:val="21"/>
                <w:szCs w:val="21"/>
                <w:highlight w:val="none"/>
              </w:rPr>
              <w:sym w:font="Wingdings 2" w:char="0052"/>
            </w:r>
            <w:r>
              <w:rPr>
                <w:rFonts w:ascii="Times New Roman" w:hAnsi="Times New Roman" w:eastAsia="宋体" w:cs="Times New Roman"/>
                <w:color w:val="auto"/>
                <w:kern w:val="2"/>
                <w:sz w:val="21"/>
                <w:szCs w:val="21"/>
                <w:highlight w:val="none"/>
              </w:rPr>
              <w:t xml:space="preserve">         不可以接受</w:t>
            </w:r>
            <w:r>
              <w:rPr>
                <w:rFonts w:ascii="Times New Roman" w:hAnsi="Times New Roman" w:eastAsia="宋体" w:cs="Times New Roman"/>
                <w:color w:val="auto"/>
                <w:kern w:val="0"/>
                <w:sz w:val="21"/>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大气环境防护距离</w:t>
            </w:r>
          </w:p>
        </w:tc>
        <w:tc>
          <w:tcPr>
            <w:tcW w:w="6537" w:type="dxa"/>
            <w:gridSpan w:val="15"/>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距（      ）厂界最远（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83" w:type="dxa"/>
            <w:vMerge w:val="continue"/>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p>
        </w:tc>
        <w:tc>
          <w:tcPr>
            <w:tcW w:w="2025" w:type="dxa"/>
            <w:tcBorders>
              <w:tl2br w:val="nil"/>
              <w:tr2bl w:val="nil"/>
            </w:tcBorders>
            <w:tcMar>
              <w:top w:w="0" w:type="dxa"/>
              <w:left w:w="57" w:type="dxa"/>
              <w:bottom w:w="0" w:type="dxa"/>
              <w:right w:w="57"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污染源年排放量</w:t>
            </w:r>
          </w:p>
        </w:tc>
        <w:tc>
          <w:tcPr>
            <w:tcW w:w="2086"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SO</w:t>
            </w:r>
            <w:r>
              <w:rPr>
                <w:rFonts w:ascii="Times New Roman" w:hAnsi="Times New Roman" w:eastAsia="宋体" w:cs="Times New Roman"/>
                <w:color w:val="auto"/>
                <w:kern w:val="2"/>
                <w:sz w:val="21"/>
                <w:szCs w:val="21"/>
                <w:highlight w:val="none"/>
                <w:vertAlign w:val="subscript"/>
              </w:rPr>
              <w:t>2</w:t>
            </w:r>
            <w:r>
              <w:rPr>
                <w:rFonts w:ascii="Times New Roman" w:hAnsi="Times New Roman" w:eastAsia="宋体" w:cs="Times New Roman"/>
                <w:color w:val="auto"/>
                <w:kern w:val="2"/>
                <w:sz w:val="21"/>
                <w:szCs w:val="21"/>
                <w:highlight w:val="none"/>
              </w:rPr>
              <w:t>：</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r>
              <w:rPr>
                <w:rFonts w:hint="eastAsia" w:cs="Times New Roman"/>
                <w:color w:val="auto"/>
                <w:kern w:val="2"/>
                <w:sz w:val="21"/>
                <w:szCs w:val="21"/>
                <w:highlight w:val="none"/>
                <w:lang w:val="en-US" w:eastAsia="zh-CN"/>
              </w:rPr>
              <w:t>0.004</w:t>
            </w:r>
            <w:r>
              <w:rPr>
                <w:rFonts w:ascii="Times New Roman" w:hAnsi="Times New Roman" w:eastAsia="宋体" w:cs="Times New Roman"/>
                <w:color w:val="auto"/>
                <w:kern w:val="2"/>
                <w:sz w:val="21"/>
                <w:szCs w:val="21"/>
                <w:highlight w:val="none"/>
              </w:rPr>
              <w:t>）t/a</w:t>
            </w:r>
          </w:p>
        </w:tc>
        <w:tc>
          <w:tcPr>
            <w:tcW w:w="1410" w:type="dxa"/>
            <w:gridSpan w:val="3"/>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NO</w:t>
            </w:r>
            <w:r>
              <w:rPr>
                <w:rFonts w:ascii="Times New Roman" w:hAnsi="Times New Roman" w:eastAsia="宋体" w:cs="Times New Roman"/>
                <w:color w:val="auto"/>
                <w:kern w:val="2"/>
                <w:sz w:val="21"/>
                <w:szCs w:val="21"/>
                <w:highlight w:val="none"/>
                <w:vertAlign w:val="subscript"/>
              </w:rPr>
              <w:t>x</w:t>
            </w:r>
            <w:r>
              <w:rPr>
                <w:rFonts w:ascii="Times New Roman" w:hAnsi="Times New Roman" w:eastAsia="宋体" w:cs="Times New Roman"/>
                <w:color w:val="auto"/>
                <w:kern w:val="2"/>
                <w:sz w:val="21"/>
                <w:szCs w:val="21"/>
                <w:highlight w:val="none"/>
              </w:rPr>
              <w:t>：</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r>
              <w:rPr>
                <w:rFonts w:hint="eastAsia" w:cs="Times New Roman"/>
                <w:color w:val="auto"/>
                <w:kern w:val="2"/>
                <w:sz w:val="21"/>
                <w:szCs w:val="21"/>
                <w:highlight w:val="none"/>
                <w:lang w:val="en-US" w:eastAsia="zh-CN"/>
              </w:rPr>
              <w:t>0.006</w:t>
            </w:r>
            <w:r>
              <w:rPr>
                <w:rFonts w:ascii="Times New Roman" w:hAnsi="Times New Roman" w:eastAsia="宋体" w:cs="Times New Roman"/>
                <w:color w:val="auto"/>
                <w:kern w:val="2"/>
                <w:sz w:val="21"/>
                <w:szCs w:val="21"/>
                <w:highlight w:val="none"/>
              </w:rPr>
              <w:t>）t/a</w:t>
            </w:r>
          </w:p>
        </w:tc>
        <w:tc>
          <w:tcPr>
            <w:tcW w:w="1528"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颗粒物：（</w:t>
            </w:r>
            <w:r>
              <w:rPr>
                <w:rFonts w:hint="eastAsia" w:cs="Times New Roman"/>
                <w:color w:val="auto"/>
                <w:kern w:val="2"/>
                <w:sz w:val="21"/>
                <w:szCs w:val="21"/>
                <w:highlight w:val="none"/>
                <w:lang w:val="en-US" w:eastAsia="zh-CN"/>
              </w:rPr>
              <w:t>0.0073</w:t>
            </w:r>
            <w:r>
              <w:rPr>
                <w:rFonts w:ascii="Times New Roman" w:hAnsi="Times New Roman" w:eastAsia="宋体" w:cs="Times New Roman"/>
                <w:color w:val="auto"/>
                <w:kern w:val="2"/>
                <w:sz w:val="21"/>
                <w:szCs w:val="21"/>
                <w:highlight w:val="none"/>
              </w:rPr>
              <w:t>）t/a</w:t>
            </w:r>
          </w:p>
        </w:tc>
        <w:tc>
          <w:tcPr>
            <w:tcW w:w="1513" w:type="dxa"/>
            <w:gridSpan w:val="4"/>
            <w:tcBorders>
              <w:tl2br w:val="nil"/>
              <w:tr2bl w:val="nil"/>
            </w:tcBorders>
            <w:tcMar>
              <w:top w:w="0" w:type="dxa"/>
              <w:left w:w="85" w:type="dxa"/>
              <w:bottom w:w="0" w:type="dxa"/>
              <w:right w:w="85" w:type="dxa"/>
            </w:tcMar>
            <w:vAlign w:val="center"/>
          </w:tcPr>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VOCs</w:t>
            </w:r>
          </w:p>
          <w:p>
            <w:pPr>
              <w:widowControl w:val="0"/>
              <w:spacing w:after="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r>
              <w:rPr>
                <w:rFonts w:hint="eastAsia" w:cs="Times New Roman"/>
                <w:color w:val="auto"/>
                <w:kern w:val="2"/>
                <w:sz w:val="21"/>
                <w:szCs w:val="21"/>
                <w:highlight w:val="none"/>
                <w:lang w:val="en-US" w:eastAsia="zh-CN"/>
              </w:rPr>
              <w:t>0.007</w:t>
            </w:r>
            <w:r>
              <w:rPr>
                <w:rFonts w:ascii="Times New Roman" w:hAnsi="Times New Roman" w:eastAsia="宋体" w:cs="Times New Roman"/>
                <w:color w:val="auto"/>
                <w:kern w:val="2"/>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745" w:type="dxa"/>
            <w:gridSpan w:val="17"/>
            <w:tcBorders>
              <w:tl2br w:val="nil"/>
              <w:tr2bl w:val="nil"/>
            </w:tcBorders>
            <w:tcMar>
              <w:top w:w="0" w:type="dxa"/>
              <w:left w:w="85" w:type="dxa"/>
              <w:bottom w:w="0" w:type="dxa"/>
              <w:right w:w="85" w:type="dxa"/>
            </w:tcMar>
            <w:vAlign w:val="center"/>
          </w:tcPr>
          <w:p>
            <w:pPr>
              <w:widowControl w:val="0"/>
              <w:spacing w:after="0" w:line="240" w:lineRule="auto"/>
              <w:jc w:val="left"/>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注：“</w:t>
            </w:r>
            <w:r>
              <w:rPr>
                <w:rFonts w:ascii="Times New Roman" w:hAnsi="Times New Roman" w:eastAsia="宋体" w:cs="Times New Roman"/>
                <w:color w:val="auto"/>
                <w:kern w:val="0"/>
                <w:sz w:val="21"/>
                <w:szCs w:val="21"/>
                <w:highlight w:val="none"/>
              </w:rPr>
              <w:sym w:font="Wingdings 2" w:char="00A3"/>
            </w:r>
            <w:r>
              <w:rPr>
                <w:rFonts w:ascii="Times New Roman" w:hAnsi="Times New Roman" w:eastAsia="宋体" w:cs="Times New Roman"/>
                <w:color w:val="auto"/>
                <w:kern w:val="2"/>
                <w:sz w:val="21"/>
                <w:szCs w:val="21"/>
                <w:highlight w:val="none"/>
              </w:rPr>
              <w:t>”为勾选，填“√”，“（  ）”为内容填写项</w:t>
            </w:r>
          </w:p>
        </w:tc>
      </w:tr>
    </w:tbl>
    <w:p>
      <w:pPr>
        <w:pStyle w:val="19"/>
        <w:ind w:left="0" w:leftChars="0" w:firstLine="0" w:firstLineChars="0"/>
        <w:outlineLvl w:val="0"/>
        <w:rPr>
          <w:b/>
          <w:color w:val="auto"/>
          <w:kern w:val="0"/>
          <w:sz w:val="24"/>
          <w:highlight w:val="none"/>
          <w:lang w:bidi="ar"/>
        </w:rPr>
        <w:sectPr>
          <w:pgSz w:w="11907" w:h="16840"/>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p>
    <w:p>
      <w:pPr>
        <w:pStyle w:val="19"/>
        <w:outlineLvl w:val="0"/>
        <w:rPr>
          <w:b/>
          <w:color w:val="auto"/>
          <w:sz w:val="24"/>
          <w:szCs w:val="24"/>
          <w:highlight w:val="none"/>
        </w:rPr>
      </w:pPr>
      <w:r>
        <w:rPr>
          <w:rFonts w:hint="eastAsia" w:ascii="Times New Roman" w:hAnsi="Times New Roman"/>
          <w:b/>
          <w:bCs/>
          <w:color w:val="auto"/>
          <w:sz w:val="24"/>
          <w:highlight w:val="none"/>
        </w:rPr>
        <w:t>建设项目地表水环境影响评价自查表</w:t>
      </w:r>
    </w:p>
    <w:tbl>
      <w:tblPr>
        <w:tblStyle w:val="35"/>
        <w:tblW w:w="9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1831"/>
        <w:gridCol w:w="1180"/>
        <w:gridCol w:w="905"/>
        <w:gridCol w:w="541"/>
        <w:gridCol w:w="1445"/>
        <w:gridCol w:w="564"/>
        <w:gridCol w:w="883"/>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176"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工作内容</w:t>
            </w:r>
          </w:p>
        </w:tc>
        <w:tc>
          <w:tcPr>
            <w:tcW w:w="7500" w:type="dxa"/>
            <w:gridSpan w:val="7"/>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影响识别</w:t>
            </w: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影响类型</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水污染影响型</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；水文要素影响型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水环境保护目标</w:t>
            </w:r>
          </w:p>
        </w:tc>
        <w:tc>
          <w:tcPr>
            <w:tcW w:w="7500" w:type="dxa"/>
            <w:gridSpan w:val="7"/>
            <w:noWrap w:val="0"/>
            <w:vAlign w:val="center"/>
          </w:tcPr>
          <w:p>
            <w:pPr>
              <w:jc w:val="left"/>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饮用水水源保护区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；饮用水取水</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；涉水的自然保护区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；重要湿度</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b w:val="0"/>
                <w:bCs w:val="0"/>
                <w:color w:val="auto"/>
                <w:highlight w:val="none"/>
                <w:vertAlign w:val="baseline"/>
                <w:lang w:val="en-US" w:eastAsia="zh-CN"/>
              </w:rPr>
              <w:t>；</w:t>
            </w:r>
          </w:p>
          <w:p>
            <w:pPr>
              <w:jc w:val="left"/>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重点保护与珍稀水生生物的栖息地</w:t>
            </w:r>
            <w:r>
              <w:rPr>
                <w:rFonts w:hint="default" w:ascii="Times New Roman" w:hAnsi="Times New Roman" w:cs="Times New Roman"/>
                <w:b w:val="0"/>
                <w:bCs w:val="0"/>
                <w:color w:val="auto"/>
                <w:highlight w:val="none"/>
                <w:vertAlign w:val="baseline"/>
                <w:lang w:val="en-US" w:eastAsia="zh-CN"/>
              </w:rPr>
              <w:fldChar w:fldCharType="begin"/>
            </w:r>
            <w:r>
              <w:rPr>
                <w:rFonts w:hint="default" w:ascii="Times New Roman" w:hAnsi="Times New Roman" w:cs="Times New Roman"/>
                <w:b w:val="0"/>
                <w:bCs w:val="0"/>
                <w:color w:val="auto"/>
                <w:highlight w:val="none"/>
                <w:vertAlign w:val="baseline"/>
                <w:lang w:val="en-US" w:eastAsia="zh-CN"/>
              </w:rPr>
              <w:instrText xml:space="preserve"> EQ \o\ac(</w:instrText>
            </w:r>
            <w:r>
              <w:rPr>
                <w:rFonts w:hint="default" w:ascii="Times New Roman" w:hAnsi="Times New Roman" w:eastAsia="宋体" w:cs="Times New Roman"/>
                <w:b w:val="0"/>
                <w:bCs w:val="0"/>
                <w:color w:val="auto"/>
                <w:kern w:val="2"/>
                <w:sz w:val="21"/>
                <w:szCs w:val="24"/>
                <w:highlight w:val="none"/>
                <w:vertAlign w:val="baseline"/>
                <w:lang w:val="en-US" w:eastAsia="zh-CN" w:bidi="ar-SA"/>
              </w:rPr>
              <w:instrText xml:space="preserve">□</w:instrText>
            </w:r>
            <w:r>
              <w:rPr>
                <w:rFonts w:hint="default" w:ascii="Times New Roman" w:hAnsi="Times New Roman" w:cs="Times New Roman"/>
                <w:b w:val="0"/>
                <w:bCs w:val="0"/>
                <w:color w:val="auto"/>
                <w:highlight w:val="none"/>
                <w:vertAlign w:val="baseline"/>
                <w:lang w:val="en-US" w:eastAsia="zh-CN"/>
              </w:rPr>
              <w:instrText xml:space="preserve">)</w:instrText>
            </w:r>
            <w:r>
              <w:rPr>
                <w:rFonts w:hint="default" w:ascii="Times New Roman" w:hAnsi="Times New Roman" w:cs="Times New Roman"/>
                <w:b w:val="0"/>
                <w:bCs w:val="0"/>
                <w:color w:val="auto"/>
                <w:highlight w:val="none"/>
                <w:vertAlign w:val="baseline"/>
                <w:lang w:val="en-US" w:eastAsia="zh-CN"/>
              </w:rPr>
              <w:fldChar w:fldCharType="end"/>
            </w:r>
            <w:r>
              <w:rPr>
                <w:rFonts w:hint="default" w:ascii="Times New Roman" w:hAnsi="Times New Roman" w:cs="Times New Roman"/>
                <w:b w:val="0"/>
                <w:bCs w:val="0"/>
                <w:color w:val="auto"/>
                <w:highlight w:val="none"/>
                <w:vertAlign w:val="baseline"/>
                <w:lang w:val="en-US" w:eastAsia="zh-CN"/>
              </w:rPr>
              <w:t>；重要水生生物的自然产卵场及索饵场、越冬场和洄</w:t>
            </w:r>
            <w:r>
              <w:rPr>
                <w:rFonts w:hint="default" w:ascii="Times New Roman" w:hAnsi="Times New Roman" w:cs="Times New Roman"/>
                <w:color w:val="auto"/>
                <w:highlight w:val="none"/>
                <w:vertAlign w:val="baseline"/>
                <w:lang w:val="en-US" w:eastAsia="zh-CN"/>
              </w:rPr>
              <w:t>游通道、天然渔场等渔业水体</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；涉水的风景名胜区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影响途径</w:t>
            </w:r>
          </w:p>
        </w:tc>
        <w:tc>
          <w:tcPr>
            <w:tcW w:w="4635" w:type="dxa"/>
            <w:gridSpan w:val="5"/>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水污染影响型</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4635" w:type="dxa"/>
            <w:gridSpan w:val="5"/>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直接排放</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；间接排放</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865" w:type="dxa"/>
            <w:gridSpan w:val="2"/>
            <w:noWrap w:val="0"/>
            <w:vAlign w:val="center"/>
          </w:tcPr>
          <w:p>
            <w:pPr>
              <w:jc w:val="left"/>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水温</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；径流</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；水域面积</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影响因子</w:t>
            </w:r>
          </w:p>
        </w:tc>
        <w:tc>
          <w:tcPr>
            <w:tcW w:w="4635" w:type="dxa"/>
            <w:gridSpan w:val="5"/>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持久性污染物</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；有毒有害污染物</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；非持久性污染物</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；pH值</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；热污染</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；富营养化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86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水温</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；水位（水深）</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；流速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；流量</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176"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评价等级</w:t>
            </w:r>
          </w:p>
        </w:tc>
        <w:tc>
          <w:tcPr>
            <w:tcW w:w="4635" w:type="dxa"/>
            <w:gridSpan w:val="5"/>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水污染影响型</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176" w:type="dxa"/>
            <w:gridSpan w:val="2"/>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4635" w:type="dxa"/>
            <w:gridSpan w:val="5"/>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一级</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；二级</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；三级A</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；三级B</w:t>
            </w:r>
            <w:r>
              <w:rPr>
                <w:rFonts w:hint="default" w:ascii="Times New Roman" w:hAnsi="Times New Roman" w:cs="Times New Roman"/>
                <w:color w:val="auto"/>
                <w:szCs w:val="21"/>
                <w:highlight w:val="none"/>
              </w:rPr>
              <w:t>√</w:t>
            </w:r>
          </w:p>
        </w:tc>
        <w:tc>
          <w:tcPr>
            <w:tcW w:w="286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一级</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；二级</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；三级</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现状调查</w:t>
            </w:r>
          </w:p>
        </w:tc>
        <w:tc>
          <w:tcPr>
            <w:tcW w:w="1831"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区域污染源</w:t>
            </w:r>
          </w:p>
        </w:tc>
        <w:tc>
          <w:tcPr>
            <w:tcW w:w="4635" w:type="dxa"/>
            <w:gridSpan w:val="5"/>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调查项目</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jc w:val="left"/>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已建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；在建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；拟建</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550" w:type="dxa"/>
            <w:gridSpan w:val="3"/>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拟替代的污染源</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865" w:type="dxa"/>
            <w:gridSpan w:val="2"/>
            <w:noWrap w:val="0"/>
            <w:vAlign w:val="center"/>
          </w:tcPr>
          <w:p>
            <w:pPr>
              <w:jc w:val="left"/>
              <w:rPr>
                <w:rFonts w:hint="default" w:ascii="Times New Roman" w:hAnsi="Times New Roman" w:cs="Times New Roman"/>
                <w:b/>
                <w:bCs/>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排污许可证</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；环评</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；环保验收</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b w:val="0"/>
                <w:bCs w:val="0"/>
                <w:color w:val="auto"/>
                <w:highlight w:val="none"/>
                <w:vertAlign w:val="baseline"/>
                <w:lang w:val="en-US" w:eastAsia="zh-CN"/>
              </w:rPr>
              <w:t>；既有实测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；现场监测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；入河排放口数据</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受影响水体水环境质量</w:t>
            </w:r>
          </w:p>
        </w:tc>
        <w:tc>
          <w:tcPr>
            <w:tcW w:w="4635" w:type="dxa"/>
            <w:gridSpan w:val="5"/>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调查时期</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4635" w:type="dxa"/>
            <w:gridSpan w:val="5"/>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丰水期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；平水期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；枯水期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；冰封期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春季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；夏季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；秋季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；冬季</w:t>
            </w:r>
            <w:r>
              <w:rPr>
                <w:rFonts w:hint="default" w:ascii="Times New Roman" w:hAnsi="Times New Roman" w:cs="Times New Roman"/>
                <w:color w:val="auto"/>
                <w:szCs w:val="21"/>
                <w:highlight w:val="none"/>
              </w:rPr>
              <w:t>√</w:t>
            </w:r>
          </w:p>
        </w:tc>
        <w:tc>
          <w:tcPr>
            <w:tcW w:w="286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生态环境保护主管部门</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；补充监测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区域水资源开发利用状况</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未开发</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；开放量40% 以下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；开发量40% 以上</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水文情势调查</w:t>
            </w:r>
          </w:p>
        </w:tc>
        <w:tc>
          <w:tcPr>
            <w:tcW w:w="4635" w:type="dxa"/>
            <w:gridSpan w:val="5"/>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调查时期</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4635" w:type="dxa"/>
            <w:gridSpan w:val="5"/>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丰水期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；平水期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；枯水期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；冰封期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春季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；夏季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；秋季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；冬季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86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水行政主管部门</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；补充监测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补充监测</w:t>
            </w: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监测时期</w:t>
            </w: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监测因子</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丰水期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；平水期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；枯水期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；冰封期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春季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；夏季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；秋季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；冬季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c>
          <w:tcPr>
            <w:tcW w:w="2550" w:type="dxa"/>
            <w:gridSpan w:val="3"/>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2865" w:type="dxa"/>
            <w:gridSpan w:val="2"/>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监测断面或点位个数（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现状评价</w:t>
            </w: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评价范围</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河流：长度（  ）km；湖库、河口及近岸海域：面积（  ）km</w:t>
            </w:r>
            <w:r>
              <w:rPr>
                <w:rFonts w:hint="default" w:ascii="Times New Roman" w:hAnsi="Times New Roman" w:cs="Times New Roman"/>
                <w:color w:val="auto"/>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评价因子</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pH、CODcr、BOD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vertAlign w:val="baseline"/>
                <w:lang w:val="en-US" w:eastAsia="zh-CN"/>
              </w:rPr>
              <w:t>、DO、氨氮、总磷、SS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评价标准</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河流、湖库、河口：Ⅰ类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；Ⅱ类</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；Ⅲ类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；Ⅳ类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；Ⅴ类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近岸海域：第一类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；第二类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；第三类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；第四类</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评价时期</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丰水期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；平水期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；枯水期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；冰封期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春季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；夏季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；秋季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；冬季</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评价结论</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水环境功能区或水功能区、近岸海域环境功能区水质达标状况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；不达标</w:t>
            </w:r>
            <w:r>
              <w:rPr>
                <w:rFonts w:hint="default" w:ascii="Times New Roman" w:hAnsi="Times New Roman" w:cs="Times New Roman"/>
                <w:color w:val="auto"/>
                <w:szCs w:val="21"/>
                <w:highlight w:val="none"/>
              </w:rPr>
              <w:t>√</w:t>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水环境控制单元或断面水质达标状况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；不达标</w:t>
            </w:r>
            <w:r>
              <w:rPr>
                <w:rFonts w:hint="default" w:ascii="Times New Roman" w:hAnsi="Times New Roman" w:cs="Times New Roman"/>
                <w:color w:val="auto"/>
                <w:szCs w:val="21"/>
                <w:highlight w:val="none"/>
              </w:rPr>
              <w:t>√</w:t>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水环境保护目标质量状况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；不达标</w:t>
            </w:r>
            <w:r>
              <w:rPr>
                <w:rFonts w:hint="default" w:ascii="Times New Roman" w:hAnsi="Times New Roman" w:cs="Times New Roman"/>
                <w:color w:val="auto"/>
                <w:szCs w:val="21"/>
                <w:highlight w:val="none"/>
              </w:rPr>
              <w:t>√</w:t>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对照断面、控制断面等代表性断面的水质状况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；不达标</w:t>
            </w:r>
            <w:r>
              <w:rPr>
                <w:rFonts w:hint="default" w:ascii="Times New Roman" w:hAnsi="Times New Roman" w:cs="Times New Roman"/>
                <w:color w:val="auto"/>
                <w:szCs w:val="21"/>
                <w:highlight w:val="none"/>
              </w:rPr>
              <w:t>√</w:t>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底泥污染评价</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水资源与开发利用程度及其水文情势评价</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水环境质量回顾评价</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流域（区域）水资源（包括谁能资源）与开发利用总体状况、生态流量管理要求与现状满足程度、建设项目占用水域空间的水流状况与河湖演变状况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影响预测</w:t>
            </w: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预测范围</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河流：长度（  ）km；湖库、河口及近岸海域：面积（  ）km</w:t>
            </w:r>
            <w:r>
              <w:rPr>
                <w:rFonts w:hint="default" w:ascii="Times New Roman" w:hAnsi="Times New Roman" w:cs="Times New Roman"/>
                <w:color w:val="auto"/>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预测因子</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预测时期</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丰水期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；平水期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；枯水期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；冰封期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春季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；夏季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；秋季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；冬季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设计水文条件</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预测情景</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建设期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；生产运行期</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；服务器满后</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正常工况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；非正常工况</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污染控制和减缓措施方案</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区（流）域环境质量改善目标要求情景</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预测方法</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数值解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：解析解</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导则推荐模式</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影响评价</w:t>
            </w: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水污染控制和水环境影响减缓措施有效性评价</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区（流）域水环境质量改善目标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；替代削减源</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p>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水环境影响评价</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排放口混合区外满足水环境管理要求</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水环境功能区或水功能区，近岸海域环境功能区水质达标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满足水环境保护目标水域水环境质量要求</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水环境控制单元或断面水质达标</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满足重点水污染物排放总量控制指标要求，重点行业建设项目，主要污染物排放满足等量或减量替代要求</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满足区（流）域水环境质量改善目标要求</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水文要素影响型建设项目同时应包括水文情势变化评价、主要水文特征值影响评价、生态流量符合性评价</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对于新设或调整入河（湖库、近岸海域）排放口的建设项目，应包括排放口设置的环境合理性评价</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满足生态保护红线、水环境质量底线、资源利用上线和环境准入清单管理要求</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污染源排放量核算</w:t>
            </w: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污染物名称</w:t>
            </w: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排放量（t/a）</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widowControl w:val="0"/>
              <w:spacing w:line="276" w:lineRule="auto"/>
              <w:ind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CODcr</w:t>
            </w:r>
          </w:p>
        </w:tc>
        <w:tc>
          <w:tcPr>
            <w:tcW w:w="2550" w:type="dxa"/>
            <w:gridSpan w:val="3"/>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bCs/>
                <w:color w:val="auto"/>
                <w:kern w:val="0"/>
                <w:szCs w:val="21"/>
                <w:highlight w:val="none"/>
                <w:lang w:val="en-US" w:eastAsia="zh-CN"/>
              </w:rPr>
              <w:t xml:space="preserve">0.011 </w:t>
            </w:r>
          </w:p>
        </w:tc>
        <w:tc>
          <w:tcPr>
            <w:tcW w:w="2865" w:type="dxa"/>
            <w:gridSpan w:val="2"/>
            <w:noWrap w:val="0"/>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widowControl w:val="0"/>
              <w:spacing w:line="276" w:lineRule="auto"/>
              <w:ind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2550" w:type="dxa"/>
            <w:gridSpan w:val="3"/>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bCs/>
                <w:color w:val="auto"/>
                <w:kern w:val="0"/>
                <w:szCs w:val="21"/>
                <w:highlight w:val="none"/>
                <w:lang w:val="en-US" w:eastAsia="zh-CN"/>
              </w:rPr>
              <w:t>0.006</w:t>
            </w:r>
          </w:p>
        </w:tc>
        <w:tc>
          <w:tcPr>
            <w:tcW w:w="2865" w:type="dxa"/>
            <w:gridSpan w:val="2"/>
            <w:noWrap w:val="0"/>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widowControl w:val="0"/>
              <w:spacing w:line="276" w:lineRule="auto"/>
              <w:ind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SS</w:t>
            </w:r>
          </w:p>
        </w:tc>
        <w:tc>
          <w:tcPr>
            <w:tcW w:w="2550" w:type="dxa"/>
            <w:gridSpan w:val="3"/>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bCs/>
                <w:color w:val="auto"/>
                <w:kern w:val="0"/>
                <w:szCs w:val="21"/>
                <w:highlight w:val="none"/>
                <w:lang w:val="en-US" w:eastAsia="zh-CN"/>
              </w:rPr>
              <w:t>0.006</w:t>
            </w:r>
          </w:p>
        </w:tc>
        <w:tc>
          <w:tcPr>
            <w:tcW w:w="2865" w:type="dxa"/>
            <w:gridSpan w:val="2"/>
            <w:noWrap w:val="0"/>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widowControl w:val="0"/>
              <w:spacing w:line="276" w:lineRule="auto"/>
              <w:ind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2550" w:type="dxa"/>
            <w:gridSpan w:val="3"/>
            <w:noWrap w:val="0"/>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bCs/>
                <w:color w:val="auto"/>
                <w:kern w:val="0"/>
                <w:szCs w:val="21"/>
                <w:highlight w:val="none"/>
                <w:lang w:val="en-US" w:eastAsia="zh-CN"/>
              </w:rPr>
              <w:t>0.001</w:t>
            </w:r>
          </w:p>
        </w:tc>
        <w:tc>
          <w:tcPr>
            <w:tcW w:w="2865" w:type="dxa"/>
            <w:gridSpan w:val="2"/>
            <w:noWrap w:val="0"/>
            <w:vAlign w:val="center"/>
          </w:tcPr>
          <w:p>
            <w:pPr>
              <w:widowControl/>
              <w:jc w:val="center"/>
              <w:rPr>
                <w:rFonts w:hint="default" w:ascii="Times New Roman" w:hAnsi="Times New Roman" w:cs="Times New Roman" w:eastAsiaTheme="minorEastAsia"/>
                <w:color w:val="auto"/>
                <w:kern w:val="2"/>
                <w:sz w:val="21"/>
                <w:szCs w:val="21"/>
                <w:highlight w:val="none"/>
                <w:lang w:val="en-US" w:eastAsia="zh-CN" w:bidi="ar-SA"/>
              </w:rPr>
            </w:pPr>
            <w:r>
              <w:rPr>
                <w:rFonts w:ascii="Times New Roman" w:hAnsi="Times New Roman" w:cs="Times New Roman"/>
                <w:color w:val="auto"/>
                <w:kern w:val="0"/>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替代源排放情况</w:t>
            </w:r>
          </w:p>
        </w:tc>
        <w:tc>
          <w:tcPr>
            <w:tcW w:w="1180"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污染源名称</w:t>
            </w:r>
          </w:p>
        </w:tc>
        <w:tc>
          <w:tcPr>
            <w:tcW w:w="1446"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排污许可证编号</w:t>
            </w:r>
          </w:p>
        </w:tc>
        <w:tc>
          <w:tcPr>
            <w:tcW w:w="1445"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污染物名称</w:t>
            </w:r>
          </w:p>
        </w:tc>
        <w:tc>
          <w:tcPr>
            <w:tcW w:w="1447"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排放量（t/a）</w:t>
            </w:r>
          </w:p>
        </w:tc>
        <w:tc>
          <w:tcPr>
            <w:tcW w:w="1982"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p>
        </w:tc>
        <w:tc>
          <w:tcPr>
            <w:tcW w:w="1180"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1446"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1445"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1447"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1982"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生态流量确定</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生态流量：一般水期（  ）m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/s；鱼类繁殖期（  ）m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/s；其他（  ）m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/s；生态水位：一般水期（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45"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防治措施</w:t>
            </w: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环保措施</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污水处理设施</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；水温减缓设施</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；生态流量保障设施</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；区域削减</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；依托其他工程措施</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；其他</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restart"/>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监测计划</w:t>
            </w: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环境质量</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监测方式</w:t>
            </w: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手动</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；自动</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；无监测</w:t>
            </w:r>
            <w:r>
              <w:rPr>
                <w:rFonts w:hint="default" w:ascii="Times New Roman" w:hAnsi="Times New Roman" w:cs="Times New Roman"/>
                <w:color w:val="auto"/>
                <w:szCs w:val="21"/>
                <w:highlight w:val="none"/>
              </w:rPr>
              <w:t>√</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手动</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；自动</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；无监测</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监测点位</w:t>
            </w: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r>
              <w:rPr>
                <w:rFonts w:hint="eastAsia" w:cs="Times New Roman"/>
                <w:color w:val="auto"/>
                <w:highlight w:val="none"/>
                <w:vertAlign w:val="baseline"/>
                <w:lang w:val="en-US" w:eastAsia="zh-CN"/>
              </w:rPr>
              <w:t>水喷淋废水和</w:t>
            </w:r>
            <w:r>
              <w:rPr>
                <w:rFonts w:hint="default" w:ascii="Times New Roman" w:hAnsi="Times New Roman" w:cs="Times New Roman" w:eastAsiaTheme="minorEastAsia"/>
                <w:color w:val="auto"/>
                <w:kern w:val="2"/>
                <w:sz w:val="21"/>
                <w:szCs w:val="21"/>
                <w:highlight w:val="none"/>
                <w:lang w:val="en-US" w:eastAsia="zh-CN" w:bidi="ar-SA"/>
              </w:rPr>
              <w:t>生活污水处理设施出口</w:t>
            </w:r>
            <w:r>
              <w:rPr>
                <w:rFonts w:hint="default" w:ascii="Times New Roman" w:hAnsi="Times New Roman" w:cs="Times New Roman"/>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208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监测因子</w:t>
            </w:r>
          </w:p>
        </w:tc>
        <w:tc>
          <w:tcPr>
            <w:tcW w:w="2550" w:type="dxa"/>
            <w:gridSpan w:val="3"/>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w:t>
            </w:r>
          </w:p>
        </w:tc>
        <w:tc>
          <w:tcPr>
            <w:tcW w:w="2865"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 xml:space="preserve">（ </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345" w:type="dxa"/>
            <w:vMerge w:val="continue"/>
            <w:noWrap w:val="0"/>
            <w:vAlign w:val="center"/>
          </w:tcPr>
          <w:p>
            <w:pPr>
              <w:jc w:val="center"/>
              <w:rPr>
                <w:rFonts w:hint="default" w:ascii="Times New Roman" w:hAnsi="Times New Roman" w:cs="Times New Roman"/>
                <w:color w:val="auto"/>
                <w:highlight w:val="none"/>
                <w:vertAlign w:val="baseline"/>
                <w:lang w:val="en-US" w:eastAsia="zh-CN"/>
              </w:rPr>
            </w:pPr>
          </w:p>
        </w:tc>
        <w:tc>
          <w:tcPr>
            <w:tcW w:w="1831" w:type="dxa"/>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污染物排放清单</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176" w:type="dxa"/>
            <w:gridSpan w:val="2"/>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评价结论</w:t>
            </w:r>
          </w:p>
        </w:tc>
        <w:tc>
          <w:tcPr>
            <w:tcW w:w="7500" w:type="dxa"/>
            <w:gridSpan w:val="7"/>
            <w:noWrap w:val="0"/>
            <w:vAlign w:val="center"/>
          </w:tcPr>
          <w:p>
            <w:pPr>
              <w:jc w:val="left"/>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可以接受</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vertAlign w:val="baseline"/>
                <w:lang w:val="en-US" w:eastAsia="zh-CN"/>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676" w:type="dxa"/>
            <w:gridSpan w:val="9"/>
            <w:noWrap w:val="0"/>
            <w:vAlign w:val="center"/>
          </w:tcPr>
          <w:p>
            <w:pPr>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注：“</w:t>
            </w:r>
            <w:r>
              <w:rPr>
                <w:rFonts w:hint="default" w:ascii="Times New Roman" w:hAnsi="Times New Roman" w:cs="Times New Roman"/>
                <w:color w:val="auto"/>
                <w:highlight w:val="none"/>
                <w:vertAlign w:val="baseline"/>
                <w:lang w:val="en-US" w:eastAsia="zh-CN"/>
              </w:rPr>
              <w:fldChar w:fldCharType="begin"/>
            </w:r>
            <w:r>
              <w:rPr>
                <w:rFonts w:hint="default" w:ascii="Times New Roman" w:hAnsi="Times New Roman" w:cs="Times New Roman"/>
                <w:color w:val="auto"/>
                <w:highlight w:val="none"/>
                <w:vertAlign w:val="baseline"/>
                <w:lang w:val="en-US" w:eastAsia="zh-CN"/>
              </w:rPr>
              <w:instrText xml:space="preserve"> EQ \o\ac(</w:instrText>
            </w:r>
            <w:r>
              <w:rPr>
                <w:rFonts w:hint="default" w:ascii="Times New Roman" w:hAnsi="Times New Roman" w:eastAsia="宋体" w:cs="Times New Roman"/>
                <w:color w:val="auto"/>
                <w:kern w:val="2"/>
                <w:sz w:val="21"/>
                <w:szCs w:val="24"/>
                <w:highlight w:val="none"/>
                <w:vertAlign w:val="baseline"/>
                <w:lang w:val="en-US" w:eastAsia="zh-CN" w:bidi="ar-SA"/>
              </w:rPr>
              <w:instrText xml:space="preserve">□</w:instrText>
            </w:r>
            <w:r>
              <w:rPr>
                <w:rFonts w:hint="default" w:ascii="Times New Roman" w:hAnsi="Times New Roman" w:cs="Times New Roman"/>
                <w:color w:val="auto"/>
                <w:highlight w:val="none"/>
                <w:vertAlign w:val="baseline"/>
                <w:lang w:val="en-US" w:eastAsia="zh-CN"/>
              </w:rPr>
              <w:instrText xml:space="preserve">)</w:instrText>
            </w:r>
            <w:r>
              <w:rPr>
                <w:rFonts w:hint="default" w:ascii="Times New Roman" w:hAnsi="Times New Roman" w:cs="Times New Roman"/>
                <w:color w:val="auto"/>
                <w:highlight w:val="none"/>
                <w:vertAlign w:val="baseline"/>
                <w:lang w:val="en-US" w:eastAsia="zh-CN"/>
              </w:rPr>
              <w:fldChar w:fldCharType="end"/>
            </w:r>
            <w:r>
              <w:rPr>
                <w:rFonts w:hint="default" w:ascii="Times New Roman" w:hAnsi="Times New Roman" w:cs="Times New Roman"/>
                <w:color w:val="auto"/>
                <w:highlight w:val="none"/>
                <w:vertAlign w:val="baseline"/>
                <w:lang w:val="en-US" w:eastAsia="zh-CN"/>
              </w:rPr>
              <w:t>”为勾选项，可√；“（ ）”为内容填写项；“备注”为其他补充内容。</w:t>
            </w:r>
          </w:p>
        </w:tc>
      </w:tr>
    </w:tbl>
    <w:p>
      <w:pPr>
        <w:bidi w:val="0"/>
        <w:rPr>
          <w:color w:val="auto"/>
          <w:highlight w:val="none"/>
        </w:rPr>
      </w:pPr>
    </w:p>
    <w:p>
      <w:pPr>
        <w:pStyle w:val="19"/>
        <w:outlineLvl w:val="0"/>
        <w:rPr>
          <w:b/>
          <w:color w:val="auto"/>
          <w:sz w:val="24"/>
          <w:szCs w:val="24"/>
          <w:highlight w:val="none"/>
        </w:rPr>
        <w:sectPr>
          <w:pgSz w:w="11907" w:h="16840"/>
          <w:pgMar w:top="1134" w:right="1134" w:bottom="1134" w:left="1134" w:header="851" w:footer="992" w:gutter="0"/>
          <w:pgBorders>
            <w:top w:val="none" w:sz="0" w:space="0"/>
            <w:left w:val="none" w:sz="0" w:space="0"/>
            <w:bottom w:val="none" w:sz="0" w:space="0"/>
            <w:right w:val="none" w:sz="0" w:space="0"/>
          </w:pgBorders>
          <w:pgNumType w:fmt="decimal"/>
          <w:cols w:space="720" w:num="1"/>
          <w:docGrid w:linePitch="319" w:charSpace="0"/>
        </w:sectPr>
      </w:pPr>
    </w:p>
    <w:p>
      <w:pPr>
        <w:pStyle w:val="19"/>
        <w:outlineLvl w:val="0"/>
        <w:rPr>
          <w:rFonts w:hint="eastAsia"/>
          <w:b/>
          <w:bCs/>
          <w:color w:val="auto"/>
          <w:sz w:val="24"/>
          <w:szCs w:val="24"/>
          <w:highlight w:val="none"/>
        </w:rPr>
      </w:pPr>
      <w:r>
        <w:rPr>
          <w:rFonts w:hint="eastAsia" w:ascii="Times New Roman" w:hAnsi="Times New Roman"/>
          <w:b/>
          <w:bCs/>
          <w:color w:val="auto"/>
          <w:sz w:val="24"/>
          <w:highlight w:val="none"/>
          <w:lang w:eastAsia="zh-CN"/>
        </w:rPr>
        <w:t>建设项目</w:t>
      </w:r>
      <w:r>
        <w:rPr>
          <w:rFonts w:hint="eastAsia" w:ascii="Times New Roman" w:hAnsi="Times New Roman"/>
          <w:b/>
          <w:bCs/>
          <w:color w:val="auto"/>
          <w:sz w:val="24"/>
          <w:highlight w:val="none"/>
          <w:lang w:val="en-US" w:eastAsia="zh-CN"/>
        </w:rPr>
        <w:t>环境风险评价自查表</w:t>
      </w:r>
    </w:p>
    <w:tbl>
      <w:tblPr>
        <w:tblStyle w:val="34"/>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396"/>
        <w:gridCol w:w="956"/>
        <w:gridCol w:w="289"/>
        <w:gridCol w:w="314"/>
        <w:gridCol w:w="288"/>
        <w:gridCol w:w="229"/>
        <w:gridCol w:w="297"/>
        <w:gridCol w:w="118"/>
        <w:gridCol w:w="224"/>
        <w:gridCol w:w="405"/>
        <w:gridCol w:w="473"/>
        <w:gridCol w:w="146"/>
        <w:gridCol w:w="415"/>
        <w:gridCol w:w="98"/>
        <w:gridCol w:w="222"/>
        <w:gridCol w:w="206"/>
        <w:gridCol w:w="224"/>
        <w:gridCol w:w="81"/>
        <w:gridCol w:w="587"/>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tcBorders>
              <w:tl2br w:val="nil"/>
              <w:tr2bl w:val="nil"/>
            </w:tcBorders>
            <w:vAlign w:val="center"/>
          </w:tcPr>
          <w:p>
            <w:pPr>
              <w:jc w:val="center"/>
              <w:rPr>
                <w:color w:val="auto"/>
                <w:szCs w:val="21"/>
                <w:highlight w:val="none"/>
              </w:rPr>
            </w:pPr>
            <w:r>
              <w:rPr>
                <w:color w:val="auto"/>
                <w:szCs w:val="21"/>
                <w:highlight w:val="none"/>
              </w:rPr>
              <w:t>工作内容</w:t>
            </w:r>
          </w:p>
        </w:tc>
        <w:tc>
          <w:tcPr>
            <w:tcW w:w="6766" w:type="dxa"/>
            <w:gridSpan w:val="19"/>
            <w:tcBorders>
              <w:tl2br w:val="nil"/>
              <w:tr2bl w:val="nil"/>
            </w:tcBorders>
            <w:vAlign w:val="center"/>
          </w:tcPr>
          <w:p>
            <w:pPr>
              <w:jc w:val="center"/>
              <w:rPr>
                <w:color w:val="auto"/>
                <w:szCs w:val="21"/>
                <w:highlight w:val="none"/>
              </w:rPr>
            </w:pPr>
            <w:r>
              <w:rPr>
                <w:rFonts w:hint="eastAsia"/>
                <w:color w:val="auto"/>
                <w:szCs w:val="21"/>
                <w:highlight w:val="none"/>
              </w:rPr>
              <w:t>完成</w:t>
            </w:r>
            <w:r>
              <w:rPr>
                <w:color w:val="auto"/>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tcBorders>
              <w:tl2br w:val="nil"/>
              <w:tr2bl w:val="nil"/>
            </w:tcBorders>
            <w:vAlign w:val="center"/>
          </w:tcPr>
          <w:p>
            <w:pPr>
              <w:jc w:val="center"/>
              <w:rPr>
                <w:color w:val="auto"/>
                <w:szCs w:val="21"/>
                <w:highlight w:val="none"/>
              </w:rPr>
            </w:pPr>
            <w:r>
              <w:rPr>
                <w:rFonts w:hint="eastAsia"/>
                <w:color w:val="auto"/>
                <w:szCs w:val="21"/>
                <w:highlight w:val="none"/>
              </w:rPr>
              <w:t>风</w:t>
            </w:r>
          </w:p>
          <w:p>
            <w:pPr>
              <w:jc w:val="center"/>
              <w:rPr>
                <w:color w:val="auto"/>
                <w:szCs w:val="21"/>
                <w:highlight w:val="none"/>
              </w:rPr>
            </w:pPr>
            <w:r>
              <w:rPr>
                <w:rFonts w:hint="eastAsia"/>
                <w:color w:val="auto"/>
                <w:szCs w:val="21"/>
                <w:highlight w:val="none"/>
              </w:rPr>
              <w:t>险</w:t>
            </w:r>
          </w:p>
          <w:p>
            <w:pPr>
              <w:jc w:val="center"/>
              <w:rPr>
                <w:color w:val="auto"/>
                <w:szCs w:val="21"/>
                <w:highlight w:val="none"/>
              </w:rPr>
            </w:pPr>
            <w:r>
              <w:rPr>
                <w:color w:val="auto"/>
                <w:szCs w:val="21"/>
                <w:highlight w:val="none"/>
              </w:rPr>
              <w:t>调</w:t>
            </w:r>
          </w:p>
          <w:p>
            <w:pPr>
              <w:jc w:val="center"/>
              <w:rPr>
                <w:color w:val="auto"/>
                <w:szCs w:val="21"/>
                <w:highlight w:val="none"/>
              </w:rPr>
            </w:pPr>
            <w:r>
              <w:rPr>
                <w:color w:val="auto"/>
                <w:szCs w:val="21"/>
                <w:highlight w:val="none"/>
              </w:rPr>
              <w:t>查</w:t>
            </w:r>
          </w:p>
        </w:tc>
        <w:tc>
          <w:tcPr>
            <w:tcW w:w="1396" w:type="dxa"/>
            <w:vMerge w:val="restart"/>
            <w:tcBorders>
              <w:tl2br w:val="nil"/>
              <w:tr2bl w:val="nil"/>
            </w:tcBorders>
            <w:vAlign w:val="center"/>
          </w:tcPr>
          <w:p>
            <w:pPr>
              <w:jc w:val="center"/>
              <w:rPr>
                <w:color w:val="auto"/>
                <w:szCs w:val="21"/>
                <w:highlight w:val="none"/>
              </w:rPr>
            </w:pPr>
            <w:r>
              <w:rPr>
                <w:rFonts w:hint="eastAsia"/>
                <w:color w:val="auto"/>
                <w:szCs w:val="21"/>
                <w:highlight w:val="none"/>
              </w:rPr>
              <w:t>危险</w:t>
            </w:r>
            <w:r>
              <w:rPr>
                <w:color w:val="auto"/>
                <w:szCs w:val="21"/>
                <w:highlight w:val="none"/>
              </w:rPr>
              <w:t>物质</w:t>
            </w:r>
          </w:p>
        </w:tc>
        <w:tc>
          <w:tcPr>
            <w:tcW w:w="956" w:type="dxa"/>
            <w:tcBorders>
              <w:tl2br w:val="nil"/>
              <w:tr2bl w:val="nil"/>
            </w:tcBorders>
            <w:vAlign w:val="center"/>
          </w:tcPr>
          <w:p>
            <w:pPr>
              <w:jc w:val="center"/>
              <w:rPr>
                <w:color w:val="auto"/>
                <w:szCs w:val="21"/>
                <w:highlight w:val="none"/>
              </w:rPr>
            </w:pPr>
            <w:r>
              <w:rPr>
                <w:color w:val="auto"/>
                <w:szCs w:val="21"/>
                <w:highlight w:val="none"/>
              </w:rPr>
              <w:t>名称</w:t>
            </w:r>
          </w:p>
        </w:tc>
        <w:tc>
          <w:tcPr>
            <w:tcW w:w="891" w:type="dxa"/>
            <w:gridSpan w:val="3"/>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润滑油</w:t>
            </w:r>
          </w:p>
        </w:tc>
        <w:tc>
          <w:tcPr>
            <w:tcW w:w="868" w:type="dxa"/>
            <w:gridSpan w:val="4"/>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天然气</w:t>
            </w:r>
          </w:p>
        </w:tc>
        <w:tc>
          <w:tcPr>
            <w:tcW w:w="878" w:type="dxa"/>
            <w:gridSpan w:val="2"/>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59" w:type="dxa"/>
            <w:gridSpan w:val="3"/>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52" w:type="dxa"/>
            <w:gridSpan w:val="3"/>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68" w:type="dxa"/>
            <w:gridSpan w:val="2"/>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119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tcBorders>
              <w:tl2br w:val="nil"/>
              <w:tr2bl w:val="nil"/>
            </w:tcBorders>
            <w:vAlign w:val="center"/>
          </w:tcPr>
          <w:p>
            <w:pPr>
              <w:jc w:val="center"/>
              <w:rPr>
                <w:color w:val="auto"/>
                <w:szCs w:val="21"/>
                <w:highlight w:val="none"/>
              </w:rPr>
            </w:pPr>
            <w:r>
              <w:rPr>
                <w:color w:val="auto"/>
                <w:szCs w:val="21"/>
                <w:highlight w:val="none"/>
              </w:rPr>
              <w:t>存在总量</w:t>
            </w:r>
            <w:r>
              <w:rPr>
                <w:rFonts w:hint="eastAsia"/>
                <w:color w:val="auto"/>
                <w:szCs w:val="21"/>
                <w:highlight w:val="none"/>
              </w:rPr>
              <w:t>/t</w:t>
            </w:r>
          </w:p>
        </w:tc>
        <w:tc>
          <w:tcPr>
            <w:tcW w:w="891" w:type="dxa"/>
            <w:gridSpan w:val="3"/>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0.1</w:t>
            </w:r>
          </w:p>
        </w:tc>
        <w:tc>
          <w:tcPr>
            <w:tcW w:w="868" w:type="dxa"/>
            <w:gridSpan w:val="4"/>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0.1</w:t>
            </w:r>
          </w:p>
        </w:tc>
        <w:tc>
          <w:tcPr>
            <w:tcW w:w="878" w:type="dxa"/>
            <w:gridSpan w:val="2"/>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59" w:type="dxa"/>
            <w:gridSpan w:val="3"/>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52" w:type="dxa"/>
            <w:gridSpan w:val="3"/>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668" w:type="dxa"/>
            <w:gridSpan w:val="2"/>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c>
          <w:tcPr>
            <w:tcW w:w="1194"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restart"/>
            <w:tcBorders>
              <w:tl2br w:val="nil"/>
              <w:tr2bl w:val="nil"/>
            </w:tcBorders>
            <w:vAlign w:val="center"/>
          </w:tcPr>
          <w:p>
            <w:pPr>
              <w:jc w:val="center"/>
              <w:rPr>
                <w:color w:val="auto"/>
                <w:szCs w:val="21"/>
                <w:highlight w:val="none"/>
              </w:rPr>
            </w:pPr>
            <w:r>
              <w:rPr>
                <w:color w:val="auto"/>
                <w:szCs w:val="21"/>
                <w:highlight w:val="none"/>
              </w:rPr>
              <w:t>环境敏感性</w:t>
            </w:r>
          </w:p>
        </w:tc>
        <w:tc>
          <w:tcPr>
            <w:tcW w:w="956" w:type="dxa"/>
            <w:vMerge w:val="restart"/>
            <w:tcBorders>
              <w:tl2br w:val="nil"/>
              <w:tr2bl w:val="nil"/>
            </w:tcBorders>
            <w:vAlign w:val="center"/>
          </w:tcPr>
          <w:p>
            <w:pPr>
              <w:jc w:val="center"/>
              <w:rPr>
                <w:color w:val="auto"/>
                <w:szCs w:val="21"/>
                <w:highlight w:val="none"/>
              </w:rPr>
            </w:pPr>
            <w:r>
              <w:rPr>
                <w:color w:val="auto"/>
                <w:szCs w:val="21"/>
                <w:highlight w:val="none"/>
              </w:rPr>
              <w:t>大气</w:t>
            </w:r>
          </w:p>
        </w:tc>
        <w:tc>
          <w:tcPr>
            <w:tcW w:w="2637" w:type="dxa"/>
            <w:gridSpan w:val="9"/>
            <w:tcBorders>
              <w:tl2br w:val="nil"/>
              <w:tr2bl w:val="nil"/>
            </w:tcBorders>
            <w:vAlign w:val="center"/>
          </w:tcPr>
          <w:p>
            <w:pPr>
              <w:jc w:val="center"/>
              <w:rPr>
                <w:color w:val="auto"/>
                <w:szCs w:val="21"/>
                <w:highlight w:val="none"/>
              </w:rPr>
            </w:pPr>
            <w:r>
              <w:rPr>
                <w:rFonts w:hint="eastAsia"/>
                <w:color w:val="auto"/>
                <w:szCs w:val="21"/>
                <w:highlight w:val="none"/>
              </w:rPr>
              <w:t>500m范围内人口数    人</w:t>
            </w:r>
          </w:p>
        </w:tc>
        <w:tc>
          <w:tcPr>
            <w:tcW w:w="3173" w:type="dxa"/>
            <w:gridSpan w:val="9"/>
            <w:tcBorders>
              <w:tl2br w:val="nil"/>
              <w:tr2bl w:val="nil"/>
            </w:tcBorders>
            <w:vAlign w:val="center"/>
          </w:tcPr>
          <w:p>
            <w:pPr>
              <w:jc w:val="center"/>
              <w:rPr>
                <w:color w:val="auto"/>
                <w:szCs w:val="21"/>
                <w:highlight w:val="none"/>
              </w:rPr>
            </w:pPr>
            <w:r>
              <w:rPr>
                <w:rFonts w:hint="eastAsia"/>
                <w:color w:val="auto"/>
                <w:szCs w:val="21"/>
                <w:highlight w:val="none"/>
              </w:rPr>
              <w:t>5km范围内人口数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vMerge w:val="continue"/>
            <w:tcBorders>
              <w:tl2br w:val="nil"/>
              <w:tr2bl w:val="nil"/>
            </w:tcBorders>
            <w:vAlign w:val="center"/>
          </w:tcPr>
          <w:p>
            <w:pPr>
              <w:jc w:val="center"/>
              <w:rPr>
                <w:color w:val="auto"/>
                <w:szCs w:val="21"/>
                <w:highlight w:val="none"/>
              </w:rPr>
            </w:pPr>
          </w:p>
        </w:tc>
        <w:tc>
          <w:tcPr>
            <w:tcW w:w="3948" w:type="dxa"/>
            <w:gridSpan w:val="15"/>
            <w:tcBorders>
              <w:tl2br w:val="nil"/>
              <w:tr2bl w:val="nil"/>
            </w:tcBorders>
            <w:vAlign w:val="center"/>
          </w:tcPr>
          <w:p>
            <w:pPr>
              <w:jc w:val="center"/>
              <w:rPr>
                <w:color w:val="auto"/>
                <w:szCs w:val="21"/>
                <w:highlight w:val="none"/>
              </w:rPr>
            </w:pPr>
            <w:r>
              <w:rPr>
                <w:rFonts w:hint="eastAsia"/>
                <w:color w:val="auto"/>
                <w:szCs w:val="21"/>
                <w:highlight w:val="none"/>
              </w:rPr>
              <w:t>每公里管段周边200m范围内人口数（最大）</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vMerge w:val="restart"/>
            <w:tcBorders>
              <w:tl2br w:val="nil"/>
              <w:tr2bl w:val="nil"/>
            </w:tcBorders>
            <w:vAlign w:val="center"/>
          </w:tcPr>
          <w:p>
            <w:pPr>
              <w:jc w:val="center"/>
              <w:rPr>
                <w:color w:val="auto"/>
                <w:szCs w:val="21"/>
                <w:highlight w:val="none"/>
              </w:rPr>
            </w:pPr>
            <w:r>
              <w:rPr>
                <w:color w:val="auto"/>
                <w:szCs w:val="21"/>
                <w:highlight w:val="none"/>
              </w:rPr>
              <w:t>地表水</w:t>
            </w: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地表水功能敏感性</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F1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F2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F3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vMerge w:val="continue"/>
            <w:tcBorders>
              <w:tl2br w:val="nil"/>
              <w:tr2bl w:val="nil"/>
            </w:tcBorders>
            <w:vAlign w:val="center"/>
          </w:tcPr>
          <w:p>
            <w:pPr>
              <w:jc w:val="center"/>
              <w:rPr>
                <w:color w:val="auto"/>
                <w:szCs w:val="21"/>
                <w:highlight w:val="none"/>
              </w:rPr>
            </w:pP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环境敏感目标分级</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S1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S2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S3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vMerge w:val="restart"/>
            <w:tcBorders>
              <w:tl2br w:val="nil"/>
              <w:tr2bl w:val="nil"/>
            </w:tcBorders>
            <w:vAlign w:val="center"/>
          </w:tcPr>
          <w:p>
            <w:pPr>
              <w:jc w:val="center"/>
              <w:rPr>
                <w:color w:val="auto"/>
                <w:szCs w:val="21"/>
                <w:highlight w:val="none"/>
              </w:rPr>
            </w:pPr>
            <w:r>
              <w:rPr>
                <w:color w:val="auto"/>
                <w:szCs w:val="21"/>
                <w:highlight w:val="none"/>
              </w:rPr>
              <w:t>地下水</w:t>
            </w: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地下水功能敏感性</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G1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G2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G3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956" w:type="dxa"/>
            <w:vMerge w:val="continue"/>
            <w:tcBorders>
              <w:tl2br w:val="nil"/>
              <w:tr2bl w:val="nil"/>
            </w:tcBorders>
            <w:vAlign w:val="center"/>
          </w:tcPr>
          <w:p>
            <w:pPr>
              <w:jc w:val="center"/>
              <w:rPr>
                <w:color w:val="auto"/>
                <w:szCs w:val="21"/>
                <w:highlight w:val="none"/>
              </w:rPr>
            </w:pP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包气带防污性能</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D1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D2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D3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restart"/>
            <w:tcBorders>
              <w:tl2br w:val="nil"/>
              <w:tr2bl w:val="nil"/>
            </w:tcBorders>
            <w:vAlign w:val="center"/>
          </w:tcPr>
          <w:p>
            <w:pPr>
              <w:jc w:val="center"/>
              <w:rPr>
                <w:color w:val="auto"/>
                <w:szCs w:val="21"/>
                <w:highlight w:val="none"/>
              </w:rPr>
            </w:pPr>
            <w:r>
              <w:rPr>
                <w:rFonts w:hint="eastAsia"/>
                <w:color w:val="auto"/>
                <w:szCs w:val="21"/>
                <w:highlight w:val="none"/>
              </w:rPr>
              <w:t>物质及工艺系统</w:t>
            </w:r>
          </w:p>
          <w:p>
            <w:pPr>
              <w:jc w:val="center"/>
              <w:rPr>
                <w:color w:val="auto"/>
                <w:szCs w:val="21"/>
                <w:highlight w:val="none"/>
              </w:rPr>
            </w:pPr>
            <w:r>
              <w:rPr>
                <w:rFonts w:hint="eastAsia"/>
                <w:color w:val="auto"/>
                <w:szCs w:val="21"/>
                <w:highlight w:val="none"/>
              </w:rPr>
              <w:t>危险性</w:t>
            </w: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Q值</w:t>
            </w: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 xml:space="preserve">Q＜1 </w:t>
            </w:r>
            <w:r>
              <w:rPr>
                <w:rFonts w:hint="eastAsia"/>
                <w:color w:val="auto"/>
                <w:szCs w:val="21"/>
                <w:highlight w:val="none"/>
              </w:rPr>
              <w:sym w:font="Wingdings 2" w:char="0052"/>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1≤Q＜10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10≤Q＜100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Q＞100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tcBorders>
              <w:tl2br w:val="nil"/>
              <w:tr2bl w:val="nil"/>
            </w:tcBorders>
            <w:vAlign w:val="center"/>
          </w:tcPr>
          <w:p>
            <w:pPr>
              <w:jc w:val="center"/>
              <w:rPr>
                <w:color w:val="auto"/>
                <w:szCs w:val="21"/>
                <w:highlight w:val="none"/>
              </w:rPr>
            </w:pP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M值</w:t>
            </w: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M1 □</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M2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M3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M4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tcBorders>
              <w:tl2br w:val="nil"/>
              <w:tr2bl w:val="nil"/>
            </w:tcBorders>
            <w:vAlign w:val="center"/>
          </w:tcPr>
          <w:p>
            <w:pPr>
              <w:jc w:val="center"/>
              <w:rPr>
                <w:color w:val="auto"/>
                <w:szCs w:val="21"/>
                <w:highlight w:val="none"/>
              </w:rPr>
            </w:pP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P值</w:t>
            </w:r>
          </w:p>
        </w:tc>
        <w:tc>
          <w:tcPr>
            <w:tcW w:w="1417" w:type="dxa"/>
            <w:gridSpan w:val="5"/>
            <w:tcBorders>
              <w:tl2br w:val="nil"/>
              <w:tr2bl w:val="nil"/>
            </w:tcBorders>
            <w:vAlign w:val="center"/>
          </w:tcPr>
          <w:p>
            <w:pPr>
              <w:jc w:val="center"/>
              <w:rPr>
                <w:color w:val="auto"/>
                <w:szCs w:val="21"/>
                <w:highlight w:val="none"/>
              </w:rPr>
            </w:pPr>
            <w:r>
              <w:rPr>
                <w:rFonts w:hint="eastAsia"/>
                <w:color w:val="auto"/>
                <w:szCs w:val="21"/>
                <w:highlight w:val="none"/>
              </w:rPr>
              <w:t>P1 □</w:t>
            </w:r>
          </w:p>
        </w:tc>
        <w:tc>
          <w:tcPr>
            <w:tcW w:w="1220" w:type="dxa"/>
            <w:gridSpan w:val="4"/>
            <w:tcBorders>
              <w:tl2br w:val="nil"/>
              <w:tr2bl w:val="nil"/>
            </w:tcBorders>
            <w:vAlign w:val="center"/>
          </w:tcPr>
          <w:p>
            <w:pPr>
              <w:jc w:val="center"/>
              <w:rPr>
                <w:color w:val="auto"/>
                <w:szCs w:val="21"/>
                <w:highlight w:val="none"/>
              </w:rPr>
            </w:pPr>
            <w:r>
              <w:rPr>
                <w:rFonts w:hint="eastAsia"/>
                <w:color w:val="auto"/>
                <w:szCs w:val="21"/>
                <w:highlight w:val="none"/>
              </w:rPr>
              <w:t>P2 □</w:t>
            </w:r>
          </w:p>
        </w:tc>
        <w:tc>
          <w:tcPr>
            <w:tcW w:w="1311" w:type="dxa"/>
            <w:gridSpan w:val="6"/>
            <w:tcBorders>
              <w:tl2br w:val="nil"/>
              <w:tr2bl w:val="nil"/>
            </w:tcBorders>
            <w:vAlign w:val="center"/>
          </w:tcPr>
          <w:p>
            <w:pPr>
              <w:jc w:val="center"/>
              <w:rPr>
                <w:color w:val="auto"/>
                <w:szCs w:val="21"/>
                <w:highlight w:val="none"/>
              </w:rPr>
            </w:pPr>
            <w:r>
              <w:rPr>
                <w:rFonts w:hint="eastAsia"/>
                <w:color w:val="auto"/>
                <w:szCs w:val="21"/>
                <w:highlight w:val="none"/>
              </w:rPr>
              <w:t>P3 □</w:t>
            </w:r>
          </w:p>
        </w:tc>
        <w:tc>
          <w:tcPr>
            <w:tcW w:w="1862" w:type="dxa"/>
            <w:gridSpan w:val="3"/>
            <w:tcBorders>
              <w:tl2br w:val="nil"/>
              <w:tr2bl w:val="nil"/>
            </w:tcBorders>
            <w:vAlign w:val="center"/>
          </w:tcPr>
          <w:p>
            <w:pPr>
              <w:jc w:val="center"/>
              <w:rPr>
                <w:color w:val="auto"/>
                <w:szCs w:val="21"/>
                <w:highlight w:val="none"/>
              </w:rPr>
            </w:pPr>
            <w:r>
              <w:rPr>
                <w:rFonts w:hint="eastAsia"/>
                <w:color w:val="auto"/>
                <w:szCs w:val="21"/>
                <w:highlight w:val="none"/>
              </w:rPr>
              <w:t>P4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restart"/>
            <w:tcBorders>
              <w:tl2br w:val="nil"/>
              <w:tr2bl w:val="nil"/>
            </w:tcBorders>
            <w:vAlign w:val="center"/>
          </w:tcPr>
          <w:p>
            <w:pPr>
              <w:jc w:val="center"/>
              <w:rPr>
                <w:color w:val="auto"/>
                <w:szCs w:val="21"/>
                <w:highlight w:val="none"/>
              </w:rPr>
            </w:pPr>
            <w:r>
              <w:rPr>
                <w:rFonts w:hint="eastAsia"/>
                <w:color w:val="auto"/>
                <w:szCs w:val="21"/>
                <w:highlight w:val="none"/>
              </w:rPr>
              <w:t>环境敏感</w:t>
            </w:r>
          </w:p>
          <w:p>
            <w:pPr>
              <w:jc w:val="center"/>
              <w:rPr>
                <w:color w:val="auto"/>
                <w:szCs w:val="21"/>
                <w:highlight w:val="none"/>
              </w:rPr>
            </w:pPr>
            <w:r>
              <w:rPr>
                <w:rFonts w:hint="eastAsia"/>
                <w:color w:val="auto"/>
                <w:szCs w:val="21"/>
                <w:highlight w:val="none"/>
              </w:rPr>
              <w:t>程度</w:t>
            </w: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大气</w:t>
            </w:r>
          </w:p>
        </w:tc>
        <w:tc>
          <w:tcPr>
            <w:tcW w:w="1759" w:type="dxa"/>
            <w:gridSpan w:val="7"/>
            <w:tcBorders>
              <w:tl2br w:val="nil"/>
              <w:tr2bl w:val="nil"/>
            </w:tcBorders>
            <w:vAlign w:val="center"/>
          </w:tcPr>
          <w:p>
            <w:pPr>
              <w:jc w:val="center"/>
              <w:rPr>
                <w:color w:val="auto"/>
                <w:szCs w:val="21"/>
                <w:highlight w:val="none"/>
              </w:rPr>
            </w:pPr>
            <w:r>
              <w:rPr>
                <w:rFonts w:hint="eastAsia"/>
                <w:color w:val="auto"/>
                <w:szCs w:val="21"/>
                <w:highlight w:val="none"/>
              </w:rPr>
              <w:t>E1 □</w:t>
            </w:r>
          </w:p>
        </w:tc>
        <w:tc>
          <w:tcPr>
            <w:tcW w:w="1759" w:type="dxa"/>
            <w:gridSpan w:val="6"/>
            <w:tcBorders>
              <w:tl2br w:val="nil"/>
              <w:tr2bl w:val="nil"/>
            </w:tcBorders>
            <w:vAlign w:val="center"/>
          </w:tcPr>
          <w:p>
            <w:pPr>
              <w:jc w:val="center"/>
              <w:rPr>
                <w:color w:val="auto"/>
                <w:szCs w:val="21"/>
                <w:highlight w:val="none"/>
              </w:rPr>
            </w:pPr>
            <w:r>
              <w:rPr>
                <w:rFonts w:hint="eastAsia"/>
                <w:color w:val="auto"/>
                <w:szCs w:val="21"/>
                <w:highlight w:val="none"/>
              </w:rPr>
              <w:t>E2 □</w:t>
            </w:r>
          </w:p>
        </w:tc>
        <w:tc>
          <w:tcPr>
            <w:tcW w:w="2292" w:type="dxa"/>
            <w:gridSpan w:val="5"/>
            <w:tcBorders>
              <w:tl2br w:val="nil"/>
              <w:tr2bl w:val="nil"/>
            </w:tcBorders>
            <w:vAlign w:val="center"/>
          </w:tcPr>
          <w:p>
            <w:pPr>
              <w:jc w:val="center"/>
              <w:rPr>
                <w:color w:val="auto"/>
                <w:szCs w:val="21"/>
                <w:highlight w:val="none"/>
              </w:rPr>
            </w:pPr>
            <w:r>
              <w:rPr>
                <w:rFonts w:hint="eastAsia"/>
                <w:color w:val="auto"/>
                <w:szCs w:val="21"/>
                <w:highlight w:val="none"/>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tcBorders>
              <w:tl2br w:val="nil"/>
              <w:tr2bl w:val="nil"/>
            </w:tcBorders>
            <w:vAlign w:val="center"/>
          </w:tcPr>
          <w:p>
            <w:pPr>
              <w:jc w:val="center"/>
              <w:rPr>
                <w:color w:val="auto"/>
                <w:szCs w:val="21"/>
                <w:highlight w:val="none"/>
              </w:rPr>
            </w:pP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地表水</w:t>
            </w:r>
          </w:p>
        </w:tc>
        <w:tc>
          <w:tcPr>
            <w:tcW w:w="1759" w:type="dxa"/>
            <w:gridSpan w:val="7"/>
            <w:tcBorders>
              <w:tl2br w:val="nil"/>
              <w:tr2bl w:val="nil"/>
            </w:tcBorders>
            <w:vAlign w:val="center"/>
          </w:tcPr>
          <w:p>
            <w:pPr>
              <w:jc w:val="center"/>
              <w:rPr>
                <w:color w:val="auto"/>
                <w:szCs w:val="21"/>
                <w:highlight w:val="none"/>
              </w:rPr>
            </w:pPr>
            <w:r>
              <w:rPr>
                <w:rFonts w:hint="eastAsia"/>
                <w:color w:val="auto"/>
                <w:szCs w:val="21"/>
                <w:highlight w:val="none"/>
              </w:rPr>
              <w:t>E1 □</w:t>
            </w:r>
          </w:p>
        </w:tc>
        <w:tc>
          <w:tcPr>
            <w:tcW w:w="1759" w:type="dxa"/>
            <w:gridSpan w:val="6"/>
            <w:tcBorders>
              <w:tl2br w:val="nil"/>
              <w:tr2bl w:val="nil"/>
            </w:tcBorders>
            <w:vAlign w:val="center"/>
          </w:tcPr>
          <w:p>
            <w:pPr>
              <w:jc w:val="center"/>
              <w:rPr>
                <w:color w:val="auto"/>
                <w:szCs w:val="21"/>
                <w:highlight w:val="none"/>
              </w:rPr>
            </w:pPr>
            <w:r>
              <w:rPr>
                <w:rFonts w:hint="eastAsia"/>
                <w:color w:val="auto"/>
                <w:szCs w:val="21"/>
                <w:highlight w:val="none"/>
              </w:rPr>
              <w:t>E2 □</w:t>
            </w:r>
          </w:p>
        </w:tc>
        <w:tc>
          <w:tcPr>
            <w:tcW w:w="2292" w:type="dxa"/>
            <w:gridSpan w:val="5"/>
            <w:tcBorders>
              <w:tl2br w:val="nil"/>
              <w:tr2bl w:val="nil"/>
            </w:tcBorders>
            <w:vAlign w:val="center"/>
          </w:tcPr>
          <w:p>
            <w:pPr>
              <w:jc w:val="center"/>
              <w:rPr>
                <w:color w:val="auto"/>
                <w:szCs w:val="21"/>
                <w:highlight w:val="none"/>
              </w:rPr>
            </w:pPr>
            <w:r>
              <w:rPr>
                <w:rFonts w:hint="eastAsia"/>
                <w:color w:val="auto"/>
                <w:szCs w:val="21"/>
                <w:highlight w:val="none"/>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vMerge w:val="continue"/>
            <w:tcBorders>
              <w:tl2br w:val="nil"/>
              <w:tr2bl w:val="nil"/>
            </w:tcBorders>
            <w:vAlign w:val="center"/>
          </w:tcPr>
          <w:p>
            <w:pPr>
              <w:jc w:val="center"/>
              <w:rPr>
                <w:color w:val="auto"/>
                <w:szCs w:val="21"/>
                <w:highlight w:val="none"/>
              </w:rPr>
            </w:pPr>
          </w:p>
        </w:tc>
        <w:tc>
          <w:tcPr>
            <w:tcW w:w="956" w:type="dxa"/>
            <w:tcBorders>
              <w:tl2br w:val="nil"/>
              <w:tr2bl w:val="nil"/>
            </w:tcBorders>
            <w:vAlign w:val="center"/>
          </w:tcPr>
          <w:p>
            <w:pPr>
              <w:jc w:val="center"/>
              <w:rPr>
                <w:color w:val="auto"/>
                <w:szCs w:val="21"/>
                <w:highlight w:val="none"/>
              </w:rPr>
            </w:pPr>
            <w:r>
              <w:rPr>
                <w:rFonts w:hint="eastAsia"/>
                <w:color w:val="auto"/>
                <w:szCs w:val="21"/>
                <w:highlight w:val="none"/>
              </w:rPr>
              <w:t>地下水</w:t>
            </w:r>
          </w:p>
        </w:tc>
        <w:tc>
          <w:tcPr>
            <w:tcW w:w="1759" w:type="dxa"/>
            <w:gridSpan w:val="7"/>
            <w:tcBorders>
              <w:tl2br w:val="nil"/>
              <w:tr2bl w:val="nil"/>
            </w:tcBorders>
            <w:vAlign w:val="center"/>
          </w:tcPr>
          <w:p>
            <w:pPr>
              <w:jc w:val="center"/>
              <w:rPr>
                <w:color w:val="auto"/>
                <w:szCs w:val="21"/>
                <w:highlight w:val="none"/>
              </w:rPr>
            </w:pPr>
            <w:r>
              <w:rPr>
                <w:rFonts w:hint="eastAsia"/>
                <w:color w:val="auto"/>
                <w:szCs w:val="21"/>
                <w:highlight w:val="none"/>
              </w:rPr>
              <w:t>E1 □</w:t>
            </w:r>
          </w:p>
        </w:tc>
        <w:tc>
          <w:tcPr>
            <w:tcW w:w="1759" w:type="dxa"/>
            <w:gridSpan w:val="6"/>
            <w:tcBorders>
              <w:tl2br w:val="nil"/>
              <w:tr2bl w:val="nil"/>
            </w:tcBorders>
            <w:vAlign w:val="center"/>
          </w:tcPr>
          <w:p>
            <w:pPr>
              <w:jc w:val="center"/>
              <w:rPr>
                <w:color w:val="auto"/>
                <w:szCs w:val="21"/>
                <w:highlight w:val="none"/>
              </w:rPr>
            </w:pPr>
            <w:r>
              <w:rPr>
                <w:rFonts w:hint="eastAsia"/>
                <w:color w:val="auto"/>
                <w:szCs w:val="21"/>
                <w:highlight w:val="none"/>
              </w:rPr>
              <w:t>E2 □</w:t>
            </w:r>
          </w:p>
        </w:tc>
        <w:tc>
          <w:tcPr>
            <w:tcW w:w="2292" w:type="dxa"/>
            <w:gridSpan w:val="5"/>
            <w:tcBorders>
              <w:tl2br w:val="nil"/>
              <w:tr2bl w:val="nil"/>
            </w:tcBorders>
            <w:vAlign w:val="center"/>
          </w:tcPr>
          <w:p>
            <w:pPr>
              <w:jc w:val="center"/>
              <w:rPr>
                <w:color w:val="auto"/>
                <w:szCs w:val="21"/>
                <w:highlight w:val="none"/>
              </w:rPr>
            </w:pPr>
            <w:r>
              <w:rPr>
                <w:rFonts w:hint="eastAsia"/>
                <w:color w:val="auto"/>
                <w:szCs w:val="21"/>
                <w:highlight w:val="none"/>
              </w:rPr>
              <w:t>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tcBorders>
              <w:tl2br w:val="nil"/>
              <w:tr2bl w:val="nil"/>
            </w:tcBorders>
            <w:vAlign w:val="center"/>
          </w:tcPr>
          <w:p>
            <w:pPr>
              <w:jc w:val="center"/>
              <w:rPr>
                <w:color w:val="auto"/>
                <w:szCs w:val="21"/>
                <w:highlight w:val="none"/>
              </w:rPr>
            </w:pPr>
            <w:r>
              <w:rPr>
                <w:rFonts w:hint="eastAsia"/>
                <w:color w:val="auto"/>
                <w:szCs w:val="21"/>
                <w:highlight w:val="none"/>
              </w:rPr>
              <w:t>环境风险</w:t>
            </w:r>
          </w:p>
          <w:p>
            <w:pPr>
              <w:jc w:val="center"/>
              <w:rPr>
                <w:color w:val="auto"/>
                <w:szCs w:val="21"/>
                <w:highlight w:val="none"/>
              </w:rPr>
            </w:pPr>
            <w:r>
              <w:rPr>
                <w:rFonts w:hint="eastAsia"/>
                <w:color w:val="auto"/>
                <w:szCs w:val="21"/>
                <w:highlight w:val="none"/>
              </w:rPr>
              <w:t>潜势</w:t>
            </w:r>
          </w:p>
        </w:tc>
        <w:tc>
          <w:tcPr>
            <w:tcW w:w="1245" w:type="dxa"/>
            <w:gridSpan w:val="2"/>
            <w:tcBorders>
              <w:tl2br w:val="nil"/>
              <w:tr2bl w:val="nil"/>
            </w:tcBorders>
            <w:vAlign w:val="center"/>
          </w:tcPr>
          <w:p>
            <w:pPr>
              <w:jc w:val="center"/>
              <w:rPr>
                <w:color w:val="auto"/>
                <w:szCs w:val="21"/>
                <w:highlight w:val="none"/>
              </w:rPr>
            </w:pPr>
            <w:r>
              <w:rPr>
                <w:rFonts w:hint="eastAsia"/>
                <w:color w:val="auto"/>
                <w:szCs w:val="21"/>
                <w:highlight w:val="none"/>
              </w:rPr>
              <w:t>Ⅳ</w:t>
            </w:r>
            <w:r>
              <w:rPr>
                <w:rFonts w:hint="eastAsia"/>
                <w:color w:val="auto"/>
                <w:szCs w:val="21"/>
                <w:highlight w:val="none"/>
                <w:vertAlign w:val="superscript"/>
              </w:rPr>
              <w:t>+</w:t>
            </w:r>
            <w:r>
              <w:rPr>
                <w:rFonts w:hint="eastAsia"/>
                <w:color w:val="auto"/>
                <w:szCs w:val="21"/>
                <w:highlight w:val="none"/>
              </w:rPr>
              <w:t xml:space="preserve"> □</w:t>
            </w:r>
          </w:p>
        </w:tc>
        <w:tc>
          <w:tcPr>
            <w:tcW w:w="1246" w:type="dxa"/>
            <w:gridSpan w:val="5"/>
            <w:tcBorders>
              <w:tl2br w:val="nil"/>
              <w:tr2bl w:val="nil"/>
            </w:tcBorders>
            <w:vAlign w:val="center"/>
          </w:tcPr>
          <w:p>
            <w:pPr>
              <w:jc w:val="center"/>
              <w:rPr>
                <w:color w:val="auto"/>
                <w:szCs w:val="21"/>
                <w:highlight w:val="none"/>
              </w:rPr>
            </w:pPr>
            <w:r>
              <w:rPr>
                <w:rFonts w:hint="eastAsia"/>
                <w:color w:val="auto"/>
                <w:szCs w:val="21"/>
                <w:highlight w:val="none"/>
              </w:rPr>
              <w:t>Ⅳ □</w:t>
            </w:r>
          </w:p>
        </w:tc>
        <w:tc>
          <w:tcPr>
            <w:tcW w:w="1248" w:type="dxa"/>
            <w:gridSpan w:val="4"/>
            <w:tcBorders>
              <w:tl2br w:val="nil"/>
              <w:tr2bl w:val="nil"/>
            </w:tcBorders>
            <w:vAlign w:val="center"/>
          </w:tcPr>
          <w:p>
            <w:pPr>
              <w:jc w:val="center"/>
              <w:rPr>
                <w:color w:val="auto"/>
                <w:szCs w:val="21"/>
                <w:highlight w:val="none"/>
              </w:rPr>
            </w:pPr>
            <w:r>
              <w:rPr>
                <w:rFonts w:hint="eastAsia"/>
                <w:color w:val="auto"/>
                <w:szCs w:val="21"/>
                <w:highlight w:val="none"/>
                <w:lang w:eastAsia="zh-CN"/>
              </w:rPr>
              <w:t>Ⅲ</w:t>
            </w:r>
            <w:r>
              <w:rPr>
                <w:rFonts w:hint="eastAsia"/>
                <w:color w:val="auto"/>
                <w:szCs w:val="21"/>
                <w:highlight w:val="none"/>
              </w:rPr>
              <w:t xml:space="preserve"> □</w:t>
            </w:r>
          </w:p>
        </w:tc>
        <w:tc>
          <w:tcPr>
            <w:tcW w:w="1246" w:type="dxa"/>
            <w:gridSpan w:val="6"/>
            <w:tcBorders>
              <w:tl2br w:val="nil"/>
              <w:tr2bl w:val="nil"/>
            </w:tcBorders>
            <w:vAlign w:val="center"/>
          </w:tcPr>
          <w:p>
            <w:pPr>
              <w:jc w:val="center"/>
              <w:rPr>
                <w:color w:val="auto"/>
                <w:szCs w:val="21"/>
                <w:highlight w:val="none"/>
              </w:rPr>
            </w:pPr>
            <w:r>
              <w:rPr>
                <w:rFonts w:hint="default" w:ascii="Times New Roman" w:hAnsi="Times New Roman" w:eastAsia="宋体" w:cs="Times New Roman"/>
                <w:color w:val="auto"/>
                <w:sz w:val="21"/>
                <w:szCs w:val="21"/>
                <w:highlight w:val="none"/>
                <w:vertAlign w:val="baseline"/>
              </w:rPr>
              <w:t>Ⅱ</w:t>
            </w:r>
            <w:r>
              <w:rPr>
                <w:rFonts w:hint="eastAsia"/>
                <w:color w:val="auto"/>
                <w:szCs w:val="21"/>
                <w:highlight w:val="none"/>
              </w:rPr>
              <w:t xml:space="preserve"> □</w:t>
            </w:r>
          </w:p>
        </w:tc>
        <w:tc>
          <w:tcPr>
            <w:tcW w:w="1781" w:type="dxa"/>
            <w:gridSpan w:val="2"/>
            <w:tcBorders>
              <w:tl2br w:val="nil"/>
              <w:tr2bl w:val="nil"/>
            </w:tcBorders>
            <w:vAlign w:val="center"/>
          </w:tcPr>
          <w:p>
            <w:pPr>
              <w:jc w:val="center"/>
              <w:rPr>
                <w:color w:val="auto"/>
                <w:szCs w:val="21"/>
                <w:highlight w:val="none"/>
              </w:rPr>
            </w:pPr>
            <w:r>
              <w:rPr>
                <w:rFonts w:hint="eastAsia"/>
                <w:color w:val="auto"/>
                <w:szCs w:val="21"/>
                <w:highlight w:val="none"/>
              </w:rPr>
              <w:t xml:space="preserve">I </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tcBorders>
              <w:tl2br w:val="nil"/>
              <w:tr2bl w:val="nil"/>
            </w:tcBorders>
            <w:vAlign w:val="center"/>
          </w:tcPr>
          <w:p>
            <w:pPr>
              <w:jc w:val="center"/>
              <w:rPr>
                <w:color w:val="auto"/>
                <w:szCs w:val="21"/>
                <w:highlight w:val="none"/>
              </w:rPr>
            </w:pPr>
            <w:r>
              <w:rPr>
                <w:rFonts w:hint="eastAsia"/>
                <w:color w:val="auto"/>
                <w:szCs w:val="21"/>
                <w:highlight w:val="none"/>
              </w:rPr>
              <w:t>评价等级</w:t>
            </w:r>
          </w:p>
        </w:tc>
        <w:tc>
          <w:tcPr>
            <w:tcW w:w="1559" w:type="dxa"/>
            <w:gridSpan w:val="3"/>
            <w:tcBorders>
              <w:tl2br w:val="nil"/>
              <w:tr2bl w:val="nil"/>
            </w:tcBorders>
            <w:vAlign w:val="center"/>
          </w:tcPr>
          <w:p>
            <w:pPr>
              <w:jc w:val="center"/>
              <w:rPr>
                <w:color w:val="auto"/>
                <w:szCs w:val="21"/>
                <w:highlight w:val="none"/>
              </w:rPr>
            </w:pPr>
            <w:r>
              <w:rPr>
                <w:rFonts w:hint="eastAsia"/>
                <w:color w:val="auto"/>
                <w:szCs w:val="21"/>
                <w:highlight w:val="none"/>
              </w:rPr>
              <w:t>一级 □</w:t>
            </w:r>
          </w:p>
        </w:tc>
        <w:tc>
          <w:tcPr>
            <w:tcW w:w="1561" w:type="dxa"/>
            <w:gridSpan w:val="6"/>
            <w:tcBorders>
              <w:tl2br w:val="nil"/>
              <w:tr2bl w:val="nil"/>
            </w:tcBorders>
            <w:vAlign w:val="center"/>
          </w:tcPr>
          <w:p>
            <w:pPr>
              <w:jc w:val="center"/>
              <w:rPr>
                <w:color w:val="auto"/>
                <w:szCs w:val="21"/>
                <w:highlight w:val="none"/>
              </w:rPr>
            </w:pPr>
            <w:r>
              <w:rPr>
                <w:rFonts w:hint="eastAsia"/>
                <w:color w:val="auto"/>
                <w:szCs w:val="21"/>
                <w:highlight w:val="none"/>
              </w:rPr>
              <w:t>二级 □</w:t>
            </w:r>
          </w:p>
        </w:tc>
        <w:tc>
          <w:tcPr>
            <w:tcW w:w="1560" w:type="dxa"/>
            <w:gridSpan w:val="6"/>
            <w:tcBorders>
              <w:tl2br w:val="nil"/>
              <w:tr2bl w:val="nil"/>
            </w:tcBorders>
            <w:vAlign w:val="center"/>
          </w:tcPr>
          <w:p>
            <w:pPr>
              <w:jc w:val="center"/>
              <w:rPr>
                <w:color w:val="auto"/>
                <w:szCs w:val="21"/>
                <w:highlight w:val="none"/>
              </w:rPr>
            </w:pPr>
            <w:r>
              <w:rPr>
                <w:rFonts w:hint="eastAsia"/>
                <w:color w:val="auto"/>
                <w:szCs w:val="21"/>
                <w:highlight w:val="none"/>
              </w:rPr>
              <w:t>三级 □</w:t>
            </w:r>
          </w:p>
        </w:tc>
        <w:tc>
          <w:tcPr>
            <w:tcW w:w="2086" w:type="dxa"/>
            <w:gridSpan w:val="4"/>
            <w:tcBorders>
              <w:tl2br w:val="nil"/>
              <w:tr2bl w:val="nil"/>
            </w:tcBorders>
            <w:vAlign w:val="center"/>
          </w:tcPr>
          <w:p>
            <w:pPr>
              <w:jc w:val="center"/>
              <w:rPr>
                <w:color w:val="auto"/>
                <w:szCs w:val="21"/>
                <w:highlight w:val="none"/>
              </w:rPr>
            </w:pPr>
            <w:r>
              <w:rPr>
                <w:rFonts w:hint="eastAsia"/>
                <w:color w:val="auto"/>
                <w:szCs w:val="21"/>
                <w:highlight w:val="none"/>
              </w:rPr>
              <w:t xml:space="preserve">简单分析 </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tcBorders>
              <w:tl2br w:val="nil"/>
              <w:tr2bl w:val="nil"/>
            </w:tcBorders>
            <w:vAlign w:val="center"/>
          </w:tcPr>
          <w:p>
            <w:pPr>
              <w:jc w:val="center"/>
              <w:rPr>
                <w:color w:val="auto"/>
                <w:szCs w:val="21"/>
                <w:highlight w:val="none"/>
              </w:rPr>
            </w:pPr>
            <w:r>
              <w:rPr>
                <w:rFonts w:hint="eastAsia"/>
                <w:color w:val="auto"/>
                <w:szCs w:val="21"/>
                <w:highlight w:val="none"/>
              </w:rPr>
              <w:t>风</w:t>
            </w:r>
          </w:p>
          <w:p>
            <w:pPr>
              <w:jc w:val="center"/>
              <w:rPr>
                <w:color w:val="auto"/>
                <w:szCs w:val="21"/>
                <w:highlight w:val="none"/>
              </w:rPr>
            </w:pPr>
            <w:r>
              <w:rPr>
                <w:rFonts w:hint="eastAsia"/>
                <w:color w:val="auto"/>
                <w:szCs w:val="21"/>
                <w:highlight w:val="none"/>
              </w:rPr>
              <w:t>险</w:t>
            </w:r>
          </w:p>
          <w:p>
            <w:pPr>
              <w:jc w:val="center"/>
              <w:rPr>
                <w:color w:val="auto"/>
                <w:szCs w:val="21"/>
                <w:highlight w:val="none"/>
              </w:rPr>
            </w:pPr>
            <w:r>
              <w:rPr>
                <w:rFonts w:hint="eastAsia"/>
                <w:color w:val="auto"/>
                <w:szCs w:val="21"/>
                <w:highlight w:val="none"/>
              </w:rPr>
              <w:t>识</w:t>
            </w:r>
          </w:p>
          <w:p>
            <w:pPr>
              <w:jc w:val="center"/>
              <w:rPr>
                <w:color w:val="auto"/>
                <w:szCs w:val="21"/>
                <w:highlight w:val="none"/>
              </w:rPr>
            </w:pPr>
            <w:r>
              <w:rPr>
                <w:rFonts w:hint="eastAsia"/>
                <w:color w:val="auto"/>
                <w:szCs w:val="21"/>
                <w:highlight w:val="none"/>
              </w:rPr>
              <w:t>别</w:t>
            </w:r>
          </w:p>
        </w:tc>
        <w:tc>
          <w:tcPr>
            <w:tcW w:w="1396" w:type="dxa"/>
            <w:tcBorders>
              <w:tl2br w:val="nil"/>
              <w:tr2bl w:val="nil"/>
            </w:tcBorders>
            <w:vAlign w:val="center"/>
          </w:tcPr>
          <w:p>
            <w:pPr>
              <w:jc w:val="center"/>
              <w:rPr>
                <w:color w:val="auto"/>
                <w:szCs w:val="21"/>
                <w:highlight w:val="none"/>
              </w:rPr>
            </w:pPr>
            <w:r>
              <w:rPr>
                <w:rFonts w:hint="eastAsia"/>
                <w:color w:val="auto"/>
                <w:szCs w:val="21"/>
                <w:highlight w:val="none"/>
              </w:rPr>
              <w:t>物质危险性</w:t>
            </w:r>
          </w:p>
        </w:tc>
        <w:tc>
          <w:tcPr>
            <w:tcW w:w="3120" w:type="dxa"/>
            <w:gridSpan w:val="9"/>
            <w:tcBorders>
              <w:tl2br w:val="nil"/>
              <w:tr2bl w:val="nil"/>
            </w:tcBorders>
            <w:vAlign w:val="center"/>
          </w:tcPr>
          <w:p>
            <w:pPr>
              <w:jc w:val="center"/>
              <w:rPr>
                <w:color w:val="auto"/>
                <w:szCs w:val="21"/>
                <w:highlight w:val="none"/>
              </w:rPr>
            </w:pPr>
            <w:r>
              <w:rPr>
                <w:rFonts w:hint="eastAsia"/>
                <w:color w:val="auto"/>
                <w:szCs w:val="21"/>
                <w:highlight w:val="none"/>
              </w:rPr>
              <w:t xml:space="preserve">有毒有害 </w:t>
            </w:r>
            <w:r>
              <w:rPr>
                <w:rFonts w:hint="eastAsia"/>
                <w:color w:val="auto"/>
                <w:szCs w:val="21"/>
                <w:highlight w:val="none"/>
              </w:rPr>
              <w:sym w:font="Wingdings 2" w:char="00A3"/>
            </w:r>
          </w:p>
        </w:tc>
        <w:tc>
          <w:tcPr>
            <w:tcW w:w="3646" w:type="dxa"/>
            <w:gridSpan w:val="10"/>
            <w:tcBorders>
              <w:tl2br w:val="nil"/>
              <w:tr2bl w:val="nil"/>
            </w:tcBorders>
            <w:vAlign w:val="center"/>
          </w:tcPr>
          <w:p>
            <w:pPr>
              <w:jc w:val="center"/>
              <w:rPr>
                <w:color w:val="auto"/>
                <w:szCs w:val="21"/>
                <w:highlight w:val="none"/>
              </w:rPr>
            </w:pPr>
            <w:r>
              <w:rPr>
                <w:rFonts w:hint="eastAsia"/>
                <w:color w:val="auto"/>
                <w:szCs w:val="21"/>
                <w:highlight w:val="none"/>
              </w:rPr>
              <w:t xml:space="preserve">易燃易爆 </w:t>
            </w:r>
            <w:r>
              <w:rPr>
                <w:rFonts w:hint="eastAsia"/>
                <w:color w:val="auto"/>
                <w:szCs w:val="21"/>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tcBorders>
              <w:tl2br w:val="nil"/>
              <w:tr2bl w:val="nil"/>
            </w:tcBorders>
            <w:vAlign w:val="center"/>
          </w:tcPr>
          <w:p>
            <w:pPr>
              <w:jc w:val="center"/>
              <w:rPr>
                <w:color w:val="auto"/>
                <w:szCs w:val="21"/>
                <w:highlight w:val="none"/>
              </w:rPr>
            </w:pPr>
            <w:r>
              <w:rPr>
                <w:rFonts w:hint="eastAsia"/>
                <w:color w:val="auto"/>
                <w:szCs w:val="21"/>
                <w:highlight w:val="none"/>
              </w:rPr>
              <w:t>环境风险</w:t>
            </w:r>
          </w:p>
          <w:p>
            <w:pPr>
              <w:jc w:val="center"/>
              <w:rPr>
                <w:color w:val="auto"/>
                <w:szCs w:val="21"/>
                <w:highlight w:val="none"/>
              </w:rPr>
            </w:pPr>
            <w:r>
              <w:rPr>
                <w:rFonts w:hint="eastAsia"/>
                <w:color w:val="auto"/>
                <w:szCs w:val="21"/>
                <w:highlight w:val="none"/>
              </w:rPr>
              <w:t>类型</w:t>
            </w:r>
          </w:p>
        </w:tc>
        <w:tc>
          <w:tcPr>
            <w:tcW w:w="3120" w:type="dxa"/>
            <w:gridSpan w:val="9"/>
            <w:tcBorders>
              <w:tl2br w:val="nil"/>
              <w:tr2bl w:val="nil"/>
            </w:tcBorders>
            <w:vAlign w:val="center"/>
          </w:tcPr>
          <w:p>
            <w:pPr>
              <w:jc w:val="center"/>
              <w:rPr>
                <w:color w:val="auto"/>
                <w:szCs w:val="21"/>
                <w:highlight w:val="none"/>
              </w:rPr>
            </w:pPr>
            <w:r>
              <w:rPr>
                <w:rFonts w:hint="eastAsia"/>
                <w:color w:val="auto"/>
                <w:szCs w:val="21"/>
                <w:highlight w:val="none"/>
              </w:rPr>
              <w:t xml:space="preserve">泄漏 </w:t>
            </w:r>
            <w:r>
              <w:rPr>
                <w:rFonts w:hint="eastAsia"/>
                <w:color w:val="auto"/>
                <w:szCs w:val="21"/>
                <w:highlight w:val="none"/>
              </w:rPr>
              <w:sym w:font="Wingdings 2" w:char="0052"/>
            </w:r>
            <w:r>
              <w:rPr>
                <w:rFonts w:hint="eastAsia"/>
                <w:color w:val="auto"/>
                <w:szCs w:val="21"/>
                <w:highlight w:val="none"/>
              </w:rPr>
              <w:t xml:space="preserve"> </w:t>
            </w:r>
          </w:p>
        </w:tc>
        <w:tc>
          <w:tcPr>
            <w:tcW w:w="3646" w:type="dxa"/>
            <w:gridSpan w:val="10"/>
            <w:tcBorders>
              <w:tl2br w:val="nil"/>
              <w:tr2bl w:val="nil"/>
            </w:tcBorders>
            <w:vAlign w:val="center"/>
          </w:tcPr>
          <w:p>
            <w:pPr>
              <w:jc w:val="center"/>
              <w:rPr>
                <w:color w:val="auto"/>
                <w:szCs w:val="21"/>
                <w:highlight w:val="none"/>
              </w:rPr>
            </w:pPr>
            <w:r>
              <w:rPr>
                <w:rFonts w:hint="eastAsia"/>
                <w:color w:val="auto"/>
                <w:szCs w:val="21"/>
                <w:highlight w:val="none"/>
              </w:rPr>
              <w:t xml:space="preserve">火灾、爆炸引发伴生/次生污染物排放 </w:t>
            </w:r>
            <w:r>
              <w:rPr>
                <w:rFonts w:hint="eastAsia"/>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tcBorders>
              <w:tl2br w:val="nil"/>
              <w:tr2bl w:val="nil"/>
            </w:tcBorders>
            <w:vAlign w:val="center"/>
          </w:tcPr>
          <w:p>
            <w:pPr>
              <w:jc w:val="center"/>
              <w:rPr>
                <w:color w:val="auto"/>
                <w:szCs w:val="21"/>
                <w:highlight w:val="none"/>
              </w:rPr>
            </w:pPr>
            <w:r>
              <w:rPr>
                <w:rFonts w:hint="eastAsia"/>
                <w:color w:val="auto"/>
                <w:szCs w:val="21"/>
                <w:highlight w:val="none"/>
              </w:rPr>
              <w:t>影响途径</w:t>
            </w:r>
          </w:p>
        </w:tc>
        <w:tc>
          <w:tcPr>
            <w:tcW w:w="2076" w:type="dxa"/>
            <w:gridSpan w:val="5"/>
            <w:tcBorders>
              <w:tl2br w:val="nil"/>
              <w:tr2bl w:val="nil"/>
            </w:tcBorders>
            <w:vAlign w:val="center"/>
          </w:tcPr>
          <w:p>
            <w:pPr>
              <w:jc w:val="center"/>
              <w:rPr>
                <w:color w:val="auto"/>
                <w:szCs w:val="21"/>
                <w:highlight w:val="none"/>
              </w:rPr>
            </w:pPr>
            <w:r>
              <w:rPr>
                <w:rFonts w:hint="eastAsia"/>
                <w:color w:val="auto"/>
                <w:szCs w:val="21"/>
                <w:highlight w:val="none"/>
              </w:rPr>
              <w:t xml:space="preserve">大气 </w:t>
            </w:r>
            <w:r>
              <w:rPr>
                <w:color w:val="auto"/>
                <w:szCs w:val="21"/>
                <w:highlight w:val="none"/>
              </w:rPr>
              <w:sym w:font="Wingdings 2" w:char="0052"/>
            </w:r>
          </w:p>
        </w:tc>
        <w:tc>
          <w:tcPr>
            <w:tcW w:w="2078" w:type="dxa"/>
            <w:gridSpan w:val="7"/>
            <w:tcBorders>
              <w:tl2br w:val="nil"/>
              <w:tr2bl w:val="nil"/>
            </w:tcBorders>
            <w:vAlign w:val="center"/>
          </w:tcPr>
          <w:p>
            <w:pPr>
              <w:jc w:val="center"/>
              <w:rPr>
                <w:color w:val="auto"/>
                <w:szCs w:val="21"/>
                <w:highlight w:val="none"/>
              </w:rPr>
            </w:pPr>
            <w:r>
              <w:rPr>
                <w:rFonts w:hint="eastAsia"/>
                <w:color w:val="auto"/>
                <w:szCs w:val="21"/>
                <w:highlight w:val="none"/>
              </w:rPr>
              <w:t xml:space="preserve">地表水 </w:t>
            </w:r>
            <w:r>
              <w:rPr>
                <w:rFonts w:hint="eastAsia"/>
                <w:color w:val="auto"/>
                <w:szCs w:val="21"/>
                <w:highlight w:val="none"/>
              </w:rPr>
              <w:sym w:font="Wingdings 2" w:char="0052"/>
            </w:r>
          </w:p>
        </w:tc>
        <w:tc>
          <w:tcPr>
            <w:tcW w:w="2612" w:type="dxa"/>
            <w:gridSpan w:val="7"/>
            <w:tcBorders>
              <w:tl2br w:val="nil"/>
              <w:tr2bl w:val="nil"/>
            </w:tcBorders>
            <w:vAlign w:val="center"/>
          </w:tcPr>
          <w:p>
            <w:pPr>
              <w:jc w:val="center"/>
              <w:rPr>
                <w:color w:val="auto"/>
                <w:szCs w:val="21"/>
                <w:highlight w:val="none"/>
              </w:rPr>
            </w:pPr>
            <w:r>
              <w:rPr>
                <w:rFonts w:hint="eastAsia"/>
                <w:color w:val="auto"/>
                <w:szCs w:val="21"/>
                <w:highlight w:val="none"/>
              </w:rPr>
              <w:t xml:space="preserve">地下水 </w:t>
            </w:r>
            <w:r>
              <w:rPr>
                <w:color w:val="auto"/>
                <w:szCs w:val="21"/>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tcBorders>
              <w:tl2br w:val="nil"/>
              <w:tr2bl w:val="nil"/>
            </w:tcBorders>
            <w:vAlign w:val="center"/>
          </w:tcPr>
          <w:p>
            <w:pPr>
              <w:jc w:val="center"/>
              <w:rPr>
                <w:color w:val="auto"/>
                <w:szCs w:val="21"/>
                <w:highlight w:val="none"/>
              </w:rPr>
            </w:pPr>
            <w:r>
              <w:rPr>
                <w:rFonts w:hint="eastAsia"/>
                <w:color w:val="auto"/>
                <w:szCs w:val="21"/>
                <w:highlight w:val="none"/>
              </w:rPr>
              <w:t xml:space="preserve">事故情形分析 </w:t>
            </w:r>
          </w:p>
        </w:tc>
        <w:tc>
          <w:tcPr>
            <w:tcW w:w="1559" w:type="dxa"/>
            <w:gridSpan w:val="3"/>
            <w:tcBorders>
              <w:tl2br w:val="nil"/>
              <w:tr2bl w:val="nil"/>
            </w:tcBorders>
            <w:vAlign w:val="center"/>
          </w:tcPr>
          <w:p>
            <w:pPr>
              <w:jc w:val="center"/>
              <w:rPr>
                <w:color w:val="auto"/>
                <w:szCs w:val="21"/>
                <w:highlight w:val="none"/>
              </w:rPr>
            </w:pPr>
            <w:r>
              <w:rPr>
                <w:rFonts w:hint="eastAsia"/>
                <w:color w:val="auto"/>
                <w:szCs w:val="21"/>
                <w:highlight w:val="none"/>
              </w:rPr>
              <w:t>源强设定方法</w:t>
            </w:r>
          </w:p>
        </w:tc>
        <w:tc>
          <w:tcPr>
            <w:tcW w:w="1561" w:type="dxa"/>
            <w:gridSpan w:val="6"/>
            <w:tcBorders>
              <w:tl2br w:val="nil"/>
              <w:tr2bl w:val="nil"/>
            </w:tcBorders>
            <w:vAlign w:val="center"/>
          </w:tcPr>
          <w:p>
            <w:pPr>
              <w:jc w:val="center"/>
              <w:rPr>
                <w:color w:val="auto"/>
                <w:szCs w:val="21"/>
                <w:highlight w:val="none"/>
              </w:rPr>
            </w:pPr>
            <w:r>
              <w:rPr>
                <w:rFonts w:hint="eastAsia"/>
                <w:color w:val="auto"/>
                <w:szCs w:val="21"/>
                <w:highlight w:val="none"/>
              </w:rPr>
              <w:t>计算法 □</w:t>
            </w:r>
          </w:p>
        </w:tc>
        <w:tc>
          <w:tcPr>
            <w:tcW w:w="1560" w:type="dxa"/>
            <w:gridSpan w:val="6"/>
            <w:tcBorders>
              <w:tl2br w:val="nil"/>
              <w:tr2bl w:val="nil"/>
            </w:tcBorders>
            <w:vAlign w:val="center"/>
          </w:tcPr>
          <w:p>
            <w:pPr>
              <w:jc w:val="center"/>
              <w:rPr>
                <w:color w:val="auto"/>
                <w:szCs w:val="21"/>
                <w:highlight w:val="none"/>
              </w:rPr>
            </w:pPr>
            <w:r>
              <w:rPr>
                <w:rFonts w:hint="eastAsia"/>
                <w:color w:val="auto"/>
                <w:szCs w:val="21"/>
                <w:highlight w:val="none"/>
              </w:rPr>
              <w:t>经验估算法 □</w:t>
            </w:r>
          </w:p>
        </w:tc>
        <w:tc>
          <w:tcPr>
            <w:tcW w:w="2086" w:type="dxa"/>
            <w:gridSpan w:val="4"/>
            <w:tcBorders>
              <w:tl2br w:val="nil"/>
              <w:tr2bl w:val="nil"/>
            </w:tcBorders>
            <w:vAlign w:val="center"/>
          </w:tcPr>
          <w:p>
            <w:pPr>
              <w:jc w:val="center"/>
              <w:rPr>
                <w:color w:val="auto"/>
                <w:szCs w:val="21"/>
                <w:highlight w:val="none"/>
              </w:rPr>
            </w:pPr>
            <w:r>
              <w:rPr>
                <w:rFonts w:hint="eastAsia"/>
                <w:color w:val="auto"/>
                <w:szCs w:val="21"/>
                <w:highlight w:val="none"/>
              </w:rPr>
              <w:t>其他估算法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restart"/>
            <w:tcBorders>
              <w:tl2br w:val="nil"/>
              <w:tr2bl w:val="nil"/>
            </w:tcBorders>
            <w:vAlign w:val="center"/>
          </w:tcPr>
          <w:p>
            <w:pPr>
              <w:jc w:val="center"/>
              <w:rPr>
                <w:color w:val="auto"/>
                <w:szCs w:val="21"/>
                <w:highlight w:val="none"/>
              </w:rPr>
            </w:pPr>
            <w:r>
              <w:rPr>
                <w:color w:val="auto"/>
                <w:szCs w:val="21"/>
                <w:highlight w:val="none"/>
              </w:rPr>
              <w:t>风险</w:t>
            </w:r>
          </w:p>
          <w:p>
            <w:pPr>
              <w:jc w:val="center"/>
              <w:rPr>
                <w:color w:val="auto"/>
                <w:szCs w:val="21"/>
                <w:highlight w:val="none"/>
              </w:rPr>
            </w:pPr>
            <w:r>
              <w:rPr>
                <w:color w:val="auto"/>
                <w:szCs w:val="21"/>
                <w:highlight w:val="none"/>
              </w:rPr>
              <w:t>预测</w:t>
            </w:r>
          </w:p>
          <w:p>
            <w:pPr>
              <w:jc w:val="center"/>
              <w:rPr>
                <w:color w:val="auto"/>
                <w:szCs w:val="21"/>
                <w:highlight w:val="none"/>
              </w:rPr>
            </w:pPr>
            <w:r>
              <w:rPr>
                <w:color w:val="auto"/>
                <w:szCs w:val="21"/>
                <w:highlight w:val="none"/>
              </w:rPr>
              <w:t>与</w:t>
            </w:r>
          </w:p>
          <w:p>
            <w:pPr>
              <w:jc w:val="center"/>
              <w:rPr>
                <w:color w:val="auto"/>
                <w:szCs w:val="21"/>
                <w:highlight w:val="none"/>
              </w:rPr>
            </w:pPr>
            <w:r>
              <w:rPr>
                <w:color w:val="auto"/>
                <w:szCs w:val="21"/>
                <w:highlight w:val="none"/>
              </w:rPr>
              <w:t>评价</w:t>
            </w:r>
          </w:p>
        </w:tc>
        <w:tc>
          <w:tcPr>
            <w:tcW w:w="1396" w:type="dxa"/>
            <w:vMerge w:val="restart"/>
            <w:tcBorders>
              <w:tl2br w:val="nil"/>
              <w:tr2bl w:val="nil"/>
            </w:tcBorders>
            <w:vAlign w:val="center"/>
          </w:tcPr>
          <w:p>
            <w:pPr>
              <w:jc w:val="center"/>
              <w:rPr>
                <w:color w:val="auto"/>
                <w:szCs w:val="21"/>
                <w:highlight w:val="none"/>
              </w:rPr>
            </w:pPr>
            <w:r>
              <w:rPr>
                <w:color w:val="auto"/>
                <w:szCs w:val="21"/>
                <w:highlight w:val="none"/>
              </w:rPr>
              <w:t>大气</w:t>
            </w:r>
          </w:p>
        </w:tc>
        <w:tc>
          <w:tcPr>
            <w:tcW w:w="1559" w:type="dxa"/>
            <w:gridSpan w:val="3"/>
            <w:tcBorders>
              <w:tl2br w:val="nil"/>
              <w:tr2bl w:val="nil"/>
            </w:tcBorders>
            <w:vAlign w:val="center"/>
          </w:tcPr>
          <w:p>
            <w:pPr>
              <w:jc w:val="center"/>
              <w:rPr>
                <w:color w:val="auto"/>
                <w:szCs w:val="21"/>
                <w:highlight w:val="none"/>
              </w:rPr>
            </w:pPr>
            <w:r>
              <w:rPr>
                <w:rFonts w:hint="eastAsia"/>
                <w:color w:val="auto"/>
                <w:szCs w:val="21"/>
                <w:highlight w:val="none"/>
              </w:rPr>
              <w:t>预测模型</w:t>
            </w:r>
          </w:p>
        </w:tc>
        <w:tc>
          <w:tcPr>
            <w:tcW w:w="1561" w:type="dxa"/>
            <w:gridSpan w:val="6"/>
            <w:tcBorders>
              <w:tl2br w:val="nil"/>
              <w:tr2bl w:val="nil"/>
            </w:tcBorders>
            <w:vAlign w:val="center"/>
          </w:tcPr>
          <w:p>
            <w:pPr>
              <w:jc w:val="center"/>
              <w:rPr>
                <w:color w:val="auto"/>
                <w:szCs w:val="21"/>
                <w:highlight w:val="none"/>
              </w:rPr>
            </w:pPr>
            <w:r>
              <w:rPr>
                <w:rFonts w:hint="eastAsia"/>
                <w:color w:val="auto"/>
                <w:szCs w:val="21"/>
                <w:highlight w:val="none"/>
              </w:rPr>
              <w:t>SLAB □</w:t>
            </w:r>
          </w:p>
        </w:tc>
        <w:tc>
          <w:tcPr>
            <w:tcW w:w="1560" w:type="dxa"/>
            <w:gridSpan w:val="6"/>
            <w:tcBorders>
              <w:tl2br w:val="nil"/>
              <w:tr2bl w:val="nil"/>
            </w:tcBorders>
            <w:vAlign w:val="center"/>
          </w:tcPr>
          <w:p>
            <w:pPr>
              <w:jc w:val="center"/>
              <w:rPr>
                <w:color w:val="auto"/>
                <w:szCs w:val="21"/>
                <w:highlight w:val="none"/>
              </w:rPr>
            </w:pPr>
            <w:r>
              <w:rPr>
                <w:rFonts w:hint="eastAsia"/>
                <w:color w:val="auto"/>
                <w:szCs w:val="21"/>
                <w:highlight w:val="none"/>
              </w:rPr>
              <w:t>AFTOX □</w:t>
            </w:r>
          </w:p>
        </w:tc>
        <w:tc>
          <w:tcPr>
            <w:tcW w:w="2086" w:type="dxa"/>
            <w:gridSpan w:val="4"/>
            <w:tcBorders>
              <w:tl2br w:val="nil"/>
              <w:tr2bl w:val="nil"/>
            </w:tcBorders>
            <w:vAlign w:val="center"/>
          </w:tcPr>
          <w:p>
            <w:pPr>
              <w:jc w:val="center"/>
              <w:rPr>
                <w:color w:val="auto"/>
                <w:szCs w:val="21"/>
                <w:highlight w:val="none"/>
              </w:rPr>
            </w:pPr>
            <w:r>
              <w:rPr>
                <w:rFonts w:hint="eastAsia"/>
                <w:color w:val="auto"/>
                <w:szCs w:val="21"/>
                <w:highlight w:val="none"/>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1559" w:type="dxa"/>
            <w:gridSpan w:val="3"/>
            <w:vMerge w:val="restart"/>
            <w:tcBorders>
              <w:tl2br w:val="nil"/>
              <w:tr2bl w:val="nil"/>
            </w:tcBorders>
            <w:vAlign w:val="center"/>
          </w:tcPr>
          <w:p>
            <w:pPr>
              <w:jc w:val="center"/>
              <w:rPr>
                <w:color w:val="auto"/>
                <w:szCs w:val="21"/>
                <w:highlight w:val="none"/>
              </w:rPr>
            </w:pPr>
            <w:r>
              <w:rPr>
                <w:color w:val="auto"/>
                <w:szCs w:val="21"/>
                <w:highlight w:val="none"/>
              </w:rPr>
              <w:t>预测结果</w:t>
            </w:r>
          </w:p>
        </w:tc>
        <w:tc>
          <w:tcPr>
            <w:tcW w:w="5207" w:type="dxa"/>
            <w:gridSpan w:val="16"/>
            <w:tcBorders>
              <w:tl2br w:val="nil"/>
              <w:tr2bl w:val="nil"/>
            </w:tcBorders>
            <w:vAlign w:val="center"/>
          </w:tcPr>
          <w:p>
            <w:pPr>
              <w:jc w:val="center"/>
              <w:rPr>
                <w:color w:val="auto"/>
                <w:szCs w:val="21"/>
                <w:highlight w:val="none"/>
              </w:rPr>
            </w:pPr>
            <w:r>
              <w:rPr>
                <w:rFonts w:hint="eastAsia"/>
                <w:color w:val="auto"/>
                <w:szCs w:val="21"/>
                <w:highlight w:val="none"/>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1559" w:type="dxa"/>
            <w:gridSpan w:val="3"/>
            <w:vMerge w:val="continue"/>
            <w:tcBorders>
              <w:tl2br w:val="nil"/>
              <w:tr2bl w:val="nil"/>
            </w:tcBorders>
            <w:vAlign w:val="center"/>
          </w:tcPr>
          <w:p>
            <w:pPr>
              <w:jc w:val="center"/>
              <w:rPr>
                <w:color w:val="auto"/>
                <w:szCs w:val="21"/>
                <w:highlight w:val="none"/>
              </w:rPr>
            </w:pPr>
          </w:p>
        </w:tc>
        <w:tc>
          <w:tcPr>
            <w:tcW w:w="5207" w:type="dxa"/>
            <w:gridSpan w:val="16"/>
            <w:tcBorders>
              <w:tl2br w:val="nil"/>
              <w:tr2bl w:val="nil"/>
            </w:tcBorders>
            <w:vAlign w:val="center"/>
          </w:tcPr>
          <w:p>
            <w:pPr>
              <w:jc w:val="center"/>
              <w:rPr>
                <w:color w:val="auto"/>
                <w:szCs w:val="21"/>
                <w:highlight w:val="none"/>
              </w:rPr>
            </w:pPr>
            <w:r>
              <w:rPr>
                <w:rFonts w:hint="eastAsia"/>
                <w:color w:val="auto"/>
                <w:szCs w:val="21"/>
                <w:highlight w:val="none"/>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tcBorders>
              <w:tl2br w:val="nil"/>
              <w:tr2bl w:val="nil"/>
            </w:tcBorders>
            <w:vAlign w:val="center"/>
          </w:tcPr>
          <w:p>
            <w:pPr>
              <w:jc w:val="center"/>
              <w:rPr>
                <w:color w:val="auto"/>
                <w:szCs w:val="21"/>
                <w:highlight w:val="none"/>
              </w:rPr>
            </w:pPr>
            <w:r>
              <w:rPr>
                <w:color w:val="auto"/>
                <w:szCs w:val="21"/>
                <w:highlight w:val="none"/>
              </w:rPr>
              <w:t>地表水</w:t>
            </w:r>
          </w:p>
        </w:tc>
        <w:tc>
          <w:tcPr>
            <w:tcW w:w="6766" w:type="dxa"/>
            <w:gridSpan w:val="19"/>
            <w:tcBorders>
              <w:tl2br w:val="nil"/>
              <w:tr2bl w:val="nil"/>
            </w:tcBorders>
            <w:vAlign w:val="center"/>
          </w:tcPr>
          <w:p>
            <w:pPr>
              <w:jc w:val="center"/>
              <w:rPr>
                <w:color w:val="auto"/>
                <w:szCs w:val="21"/>
                <w:highlight w:val="none"/>
              </w:rPr>
            </w:pPr>
            <w:r>
              <w:rPr>
                <w:rFonts w:hint="eastAsia"/>
                <w:color w:val="auto"/>
                <w:szCs w:val="21"/>
                <w:highlight w:val="none"/>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restart"/>
            <w:tcBorders>
              <w:tl2br w:val="nil"/>
              <w:tr2bl w:val="nil"/>
            </w:tcBorders>
            <w:vAlign w:val="center"/>
          </w:tcPr>
          <w:p>
            <w:pPr>
              <w:jc w:val="center"/>
              <w:rPr>
                <w:color w:val="auto"/>
                <w:szCs w:val="21"/>
                <w:highlight w:val="none"/>
              </w:rPr>
            </w:pPr>
            <w:r>
              <w:rPr>
                <w:color w:val="auto"/>
                <w:szCs w:val="21"/>
                <w:highlight w:val="none"/>
              </w:rPr>
              <w:t>地下水</w:t>
            </w:r>
          </w:p>
        </w:tc>
        <w:tc>
          <w:tcPr>
            <w:tcW w:w="6766" w:type="dxa"/>
            <w:gridSpan w:val="19"/>
            <w:tcBorders>
              <w:tl2br w:val="nil"/>
              <w:tr2bl w:val="nil"/>
            </w:tcBorders>
            <w:vAlign w:val="center"/>
          </w:tcPr>
          <w:p>
            <w:pPr>
              <w:jc w:val="center"/>
              <w:rPr>
                <w:color w:val="auto"/>
                <w:szCs w:val="21"/>
                <w:highlight w:val="none"/>
              </w:rPr>
            </w:pPr>
            <w:r>
              <w:rPr>
                <w:rFonts w:hint="eastAsia"/>
                <w:color w:val="auto"/>
                <w:szCs w:val="21"/>
                <w:highlight w:val="none"/>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Merge w:val="continue"/>
            <w:tcBorders>
              <w:tl2br w:val="nil"/>
              <w:tr2bl w:val="nil"/>
            </w:tcBorders>
            <w:vAlign w:val="center"/>
          </w:tcPr>
          <w:p>
            <w:pPr>
              <w:jc w:val="center"/>
              <w:rPr>
                <w:color w:val="auto"/>
                <w:szCs w:val="21"/>
                <w:highlight w:val="none"/>
              </w:rPr>
            </w:pPr>
          </w:p>
        </w:tc>
        <w:tc>
          <w:tcPr>
            <w:tcW w:w="1396" w:type="dxa"/>
            <w:vMerge w:val="continue"/>
            <w:tcBorders>
              <w:tl2br w:val="nil"/>
              <w:tr2bl w:val="nil"/>
            </w:tcBorders>
            <w:vAlign w:val="center"/>
          </w:tcPr>
          <w:p>
            <w:pPr>
              <w:jc w:val="center"/>
              <w:rPr>
                <w:color w:val="auto"/>
                <w:szCs w:val="21"/>
                <w:highlight w:val="none"/>
              </w:rPr>
            </w:pPr>
          </w:p>
        </w:tc>
        <w:tc>
          <w:tcPr>
            <w:tcW w:w="6766" w:type="dxa"/>
            <w:gridSpan w:val="19"/>
            <w:tcBorders>
              <w:tl2br w:val="nil"/>
              <w:tr2bl w:val="nil"/>
            </w:tcBorders>
            <w:vAlign w:val="center"/>
          </w:tcPr>
          <w:p>
            <w:pPr>
              <w:jc w:val="center"/>
              <w:rPr>
                <w:color w:val="auto"/>
                <w:szCs w:val="21"/>
                <w:highlight w:val="none"/>
              </w:rPr>
            </w:pPr>
            <w:r>
              <w:rPr>
                <w:rFonts w:hint="eastAsia"/>
                <w:color w:val="auto"/>
                <w:szCs w:val="21"/>
                <w:highlight w:val="none"/>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1" w:type="dxa"/>
            <w:gridSpan w:val="2"/>
            <w:tcBorders>
              <w:tl2br w:val="nil"/>
              <w:tr2bl w:val="nil"/>
            </w:tcBorders>
            <w:vAlign w:val="center"/>
          </w:tcPr>
          <w:p>
            <w:pPr>
              <w:jc w:val="center"/>
              <w:rPr>
                <w:color w:val="auto"/>
                <w:szCs w:val="21"/>
                <w:highlight w:val="none"/>
              </w:rPr>
            </w:pPr>
            <w:r>
              <w:rPr>
                <w:color w:val="auto"/>
                <w:szCs w:val="21"/>
                <w:highlight w:val="none"/>
              </w:rPr>
              <w:t>重点风险防范</w:t>
            </w:r>
          </w:p>
          <w:p>
            <w:pPr>
              <w:jc w:val="center"/>
              <w:rPr>
                <w:color w:val="auto"/>
                <w:szCs w:val="21"/>
                <w:highlight w:val="none"/>
              </w:rPr>
            </w:pPr>
            <w:r>
              <w:rPr>
                <w:color w:val="auto"/>
                <w:szCs w:val="21"/>
                <w:highlight w:val="none"/>
              </w:rPr>
              <w:t>措施</w:t>
            </w:r>
          </w:p>
        </w:tc>
        <w:tc>
          <w:tcPr>
            <w:tcW w:w="6766" w:type="dxa"/>
            <w:gridSpan w:val="19"/>
            <w:tcBorders>
              <w:tl2br w:val="nil"/>
              <w:tr2bl w:val="nil"/>
            </w:tcBorders>
            <w:vAlign w:val="center"/>
          </w:tcPr>
          <w:p>
            <w:pPr>
              <w:jc w:val="left"/>
              <w:rPr>
                <w:rFonts w:eastAsia="TT174o00"/>
                <w:color w:val="auto"/>
                <w:szCs w:val="21"/>
                <w:highlight w:val="none"/>
              </w:rPr>
            </w:pPr>
            <w:r>
              <w:rPr>
                <w:rFonts w:eastAsiaTheme="minorEastAsia"/>
                <w:color w:val="auto"/>
                <w:szCs w:val="21"/>
                <w:highlight w:val="none"/>
              </w:rPr>
              <w:t>①储存危险废物必须严实包装，储存场地硬底化，设置漫坡围堰，储存场地选择室内或设置遮雨措施</w:t>
            </w:r>
            <w:r>
              <w:rPr>
                <w:rFonts w:hint="eastAsia" w:eastAsiaTheme="minorEastAsia"/>
                <w:color w:val="auto"/>
                <w:szCs w:val="21"/>
                <w:highlight w:val="none"/>
              </w:rPr>
              <w:t>；</w:t>
            </w:r>
            <w:r>
              <w:rPr>
                <w:rFonts w:eastAsiaTheme="minorEastAsia"/>
                <w:color w:val="auto"/>
                <w:szCs w:val="21"/>
                <w:highlight w:val="none"/>
              </w:rPr>
              <w:t>②储存液体化学品必须严实包装，储存场地硬底化，设置漫坡围堰，储存场地选择室内或设置遮雨措施</w:t>
            </w:r>
            <w:r>
              <w:rPr>
                <w:rFonts w:hint="eastAsia" w:eastAsiaTheme="minorEastAsia"/>
                <w:color w:val="auto"/>
                <w:szCs w:val="21"/>
                <w:highlight w:val="none"/>
              </w:rPr>
              <w:t>；</w:t>
            </w:r>
            <w:r>
              <w:rPr>
                <w:rFonts w:eastAsiaTheme="minorEastAsia"/>
                <w:color w:val="auto"/>
                <w:szCs w:val="21"/>
                <w:highlight w:val="none"/>
              </w:rPr>
              <w:t>③加强检修维护，确保废气收集系统的正常运行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2261" w:type="dxa"/>
            <w:gridSpan w:val="2"/>
            <w:tcBorders>
              <w:tl2br w:val="nil"/>
              <w:tr2bl w:val="nil"/>
            </w:tcBorders>
            <w:vAlign w:val="center"/>
          </w:tcPr>
          <w:p>
            <w:pPr>
              <w:jc w:val="center"/>
              <w:rPr>
                <w:color w:val="auto"/>
                <w:szCs w:val="21"/>
                <w:highlight w:val="none"/>
              </w:rPr>
            </w:pPr>
            <w:r>
              <w:rPr>
                <w:rFonts w:hint="eastAsia"/>
                <w:color w:val="auto"/>
                <w:szCs w:val="21"/>
                <w:highlight w:val="none"/>
              </w:rPr>
              <w:t>评价结论与建议</w:t>
            </w:r>
          </w:p>
        </w:tc>
        <w:tc>
          <w:tcPr>
            <w:tcW w:w="6766" w:type="dxa"/>
            <w:gridSpan w:val="19"/>
            <w:tcBorders>
              <w:tl2br w:val="nil"/>
              <w:tr2bl w:val="nil"/>
            </w:tcBorders>
            <w:vAlign w:val="center"/>
          </w:tcPr>
          <w:p>
            <w:pPr>
              <w:jc w:val="center"/>
              <w:rPr>
                <w:color w:val="auto"/>
                <w:szCs w:val="21"/>
                <w:highlight w:val="none"/>
              </w:rPr>
            </w:pPr>
            <w:r>
              <w:rPr>
                <w:color w:val="auto"/>
                <w:szCs w:val="21"/>
                <w:highlight w:val="none"/>
              </w:rPr>
              <w:t>项目物质不构成重大危险源，企业在落实相应风险防范和控制措施的情况下，总体环境风险可控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7" w:type="dxa"/>
            <w:gridSpan w:val="21"/>
            <w:tcBorders>
              <w:tl2br w:val="nil"/>
              <w:tr2bl w:val="nil"/>
            </w:tcBorders>
            <w:vAlign w:val="center"/>
          </w:tcPr>
          <w:p>
            <w:pPr>
              <w:jc w:val="center"/>
              <w:rPr>
                <w:color w:val="auto"/>
                <w:szCs w:val="21"/>
                <w:highlight w:val="none"/>
              </w:rPr>
            </w:pPr>
            <w:r>
              <w:rPr>
                <w:rFonts w:hint="eastAsia"/>
                <w:color w:val="auto"/>
                <w:szCs w:val="21"/>
                <w:highlight w:val="none"/>
              </w:rPr>
              <w:t>注：“□”为勾选项，“ ”为填写项。</w:t>
            </w:r>
          </w:p>
        </w:tc>
      </w:tr>
    </w:tbl>
    <w:p>
      <w:pPr>
        <w:bidi w:val="0"/>
        <w:rPr>
          <w:rFonts w:hint="eastAsia"/>
          <w:color w:val="auto"/>
          <w:highlight w:val="none"/>
        </w:rPr>
      </w:pPr>
    </w:p>
    <w:p>
      <w:pPr>
        <w:bidi w:val="0"/>
        <w:rPr>
          <w:rFonts w:hint="eastAsia"/>
          <w:color w:val="auto"/>
          <w:highlight w:val="none"/>
        </w:rPr>
      </w:pPr>
    </w:p>
    <w:p>
      <w:pPr>
        <w:bidi w:val="0"/>
        <w:rPr>
          <w:rFonts w:hint="default"/>
          <w:color w:val="auto"/>
          <w:highlight w:val="none"/>
          <w:lang w:val="en-US" w:eastAsia="zh-CN"/>
        </w:rPr>
      </w:pPr>
    </w:p>
    <w:sectPr>
      <w:footerReference r:id="rId12" w:type="default"/>
      <w:pgSz w:w="11850" w:h="16783"/>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仿宋体">
    <w:altName w:val="微软雅黑"/>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方正仿宋_GBK">
    <w:altName w:val="宋体"/>
    <w:panose1 w:val="00000000000000000000"/>
    <w:charset w:val="86"/>
    <w:family w:val="script"/>
    <w:pitch w:val="default"/>
    <w:sig w:usb0="00000000" w:usb1="00000000" w:usb2="00000010" w:usb3="00000000" w:csb0="003C004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T174o00">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93" name="文本框 1025"/>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27"/>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rvABY0QAAAAIBAAAPAAAAAAAAAAEAIAAAACIAAABkcnMvZG93bnJldi54bWxQSwECFAAU&#10;AAAACACHTuJAZgEpPL8BAABVAwAADgAAAAAAAAABACAAAAAgAQAAZHJzL2Uyb0RvYy54bWxQSwUG&#10;AAAAAAYABgBZAQAAU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7"/>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文本框 98"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SVju0AAAAAUBAAAPAAAAAAAAAAEAIAAAACIAAABkcnMvZG93bnJldi54bWxQSwECFAAUAAAACACH&#10;TuJA6vv1FboBAABWAwAADgAAAAAAAAABACAAAAAfAQAAZHJzL2Uyb0RvYy54bWxQSwUGAAAAAAYA&#10;BgBZAQAASw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7E1535"/>
    <w:multiLevelType w:val="singleLevel"/>
    <w:tmpl w:val="DF7E1535"/>
    <w:lvl w:ilvl="0" w:tentative="0">
      <w:start w:val="6"/>
      <w:numFmt w:val="decimal"/>
      <w:suff w:val="nothing"/>
      <w:lvlText w:val="%1、"/>
      <w:lvlJc w:val="left"/>
    </w:lvl>
  </w:abstractNum>
  <w:abstractNum w:abstractNumId="1">
    <w:nsid w:val="EB53EDAD"/>
    <w:multiLevelType w:val="singleLevel"/>
    <w:tmpl w:val="EB53EDAD"/>
    <w:lvl w:ilvl="0" w:tentative="0">
      <w:start w:val="3"/>
      <w:numFmt w:val="decimal"/>
      <w:suff w:val="nothing"/>
      <w:lvlText w:val="（%1）"/>
      <w:lvlJc w:val="left"/>
    </w:lvl>
  </w:abstractNum>
  <w:abstractNum w:abstractNumId="2">
    <w:nsid w:val="0D58AB21"/>
    <w:multiLevelType w:val="singleLevel"/>
    <w:tmpl w:val="0D58AB21"/>
    <w:lvl w:ilvl="0" w:tentative="0">
      <w:start w:val="1"/>
      <w:numFmt w:val="decimal"/>
      <w:suff w:val="nothing"/>
      <w:lvlText w:val="%1、"/>
      <w:lvlJc w:val="left"/>
      <w:rPr>
        <w:rFonts w:cs="Times New Roman"/>
      </w:rPr>
    </w:lvl>
  </w:abstractNum>
  <w:abstractNum w:abstractNumId="3">
    <w:nsid w:val="21585DFC"/>
    <w:multiLevelType w:val="singleLevel"/>
    <w:tmpl w:val="21585DFC"/>
    <w:lvl w:ilvl="0" w:tentative="0">
      <w:start w:val="1"/>
      <w:numFmt w:val="decimal"/>
      <w:suff w:val="nothing"/>
      <w:lvlText w:val="%1、"/>
      <w:lvlJc w:val="left"/>
      <w:rPr>
        <w:rFonts w:cs="Times New Roman"/>
      </w:rPr>
    </w:lvl>
  </w:abstractNum>
  <w:abstractNum w:abstractNumId="4">
    <w:nsid w:val="415C38C1"/>
    <w:multiLevelType w:val="singleLevel"/>
    <w:tmpl w:val="415C38C1"/>
    <w:lvl w:ilvl="0" w:tentative="0">
      <w:start w:val="1"/>
      <w:numFmt w:val="bullet"/>
      <w:pStyle w:val="12"/>
      <w:lvlText w:val=""/>
      <w:lvlJc w:val="left"/>
      <w:pPr>
        <w:tabs>
          <w:tab w:val="left" w:pos="780"/>
        </w:tabs>
        <w:ind w:left="780" w:hanging="360"/>
      </w:pPr>
      <w:rPr>
        <w:rFonts w:hint="default" w:ascii="Wingdings" w:hAnsi="Wingdings"/>
      </w:rPr>
    </w:lvl>
  </w:abstractNum>
  <w:num w:numId="1">
    <w:abstractNumId w:val="4"/>
  </w:num>
  <w:num w:numId="2">
    <w:abstractNumId w:val="0"/>
  </w:num>
  <w:num w:numId="3">
    <w:abstractNumId w:val="2"/>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D"/>
    <w:rsid w:val="00003A20"/>
    <w:rsid w:val="00004500"/>
    <w:rsid w:val="00004C9A"/>
    <w:rsid w:val="00004F01"/>
    <w:rsid w:val="000065E7"/>
    <w:rsid w:val="00011B07"/>
    <w:rsid w:val="00011F45"/>
    <w:rsid w:val="00011FA2"/>
    <w:rsid w:val="00012B6B"/>
    <w:rsid w:val="00014A22"/>
    <w:rsid w:val="00014F3B"/>
    <w:rsid w:val="00015EB7"/>
    <w:rsid w:val="00016BA6"/>
    <w:rsid w:val="000175A0"/>
    <w:rsid w:val="000205EA"/>
    <w:rsid w:val="00020B04"/>
    <w:rsid w:val="00021258"/>
    <w:rsid w:val="00021347"/>
    <w:rsid w:val="00022100"/>
    <w:rsid w:val="00022D39"/>
    <w:rsid w:val="00023888"/>
    <w:rsid w:val="00023B1E"/>
    <w:rsid w:val="00023DDE"/>
    <w:rsid w:val="00026A16"/>
    <w:rsid w:val="00027C24"/>
    <w:rsid w:val="00030047"/>
    <w:rsid w:val="00030D9D"/>
    <w:rsid w:val="0003192D"/>
    <w:rsid w:val="00034E91"/>
    <w:rsid w:val="000363D1"/>
    <w:rsid w:val="0003693D"/>
    <w:rsid w:val="000369C1"/>
    <w:rsid w:val="00036CE1"/>
    <w:rsid w:val="00037BF0"/>
    <w:rsid w:val="0004041F"/>
    <w:rsid w:val="00041204"/>
    <w:rsid w:val="0004340C"/>
    <w:rsid w:val="0004467B"/>
    <w:rsid w:val="00044D4B"/>
    <w:rsid w:val="000458C4"/>
    <w:rsid w:val="00045979"/>
    <w:rsid w:val="00046023"/>
    <w:rsid w:val="00046042"/>
    <w:rsid w:val="0005037E"/>
    <w:rsid w:val="00053CC0"/>
    <w:rsid w:val="000576FE"/>
    <w:rsid w:val="0006115F"/>
    <w:rsid w:val="0006342F"/>
    <w:rsid w:val="00063505"/>
    <w:rsid w:val="00064963"/>
    <w:rsid w:val="00072993"/>
    <w:rsid w:val="00072994"/>
    <w:rsid w:val="00075ECF"/>
    <w:rsid w:val="00077ACF"/>
    <w:rsid w:val="00077F32"/>
    <w:rsid w:val="00081524"/>
    <w:rsid w:val="00083252"/>
    <w:rsid w:val="00083E34"/>
    <w:rsid w:val="00090BE4"/>
    <w:rsid w:val="00091423"/>
    <w:rsid w:val="00091EDE"/>
    <w:rsid w:val="00092110"/>
    <w:rsid w:val="0009258A"/>
    <w:rsid w:val="0009283C"/>
    <w:rsid w:val="000941FD"/>
    <w:rsid w:val="000946B4"/>
    <w:rsid w:val="00094A11"/>
    <w:rsid w:val="00095B87"/>
    <w:rsid w:val="000968D6"/>
    <w:rsid w:val="00096DBA"/>
    <w:rsid w:val="00096DC0"/>
    <w:rsid w:val="00097083"/>
    <w:rsid w:val="000A1D8D"/>
    <w:rsid w:val="000A47C1"/>
    <w:rsid w:val="000A6FE8"/>
    <w:rsid w:val="000A7069"/>
    <w:rsid w:val="000A7DB1"/>
    <w:rsid w:val="000B003C"/>
    <w:rsid w:val="000B11A0"/>
    <w:rsid w:val="000B27D6"/>
    <w:rsid w:val="000B402F"/>
    <w:rsid w:val="000B45FC"/>
    <w:rsid w:val="000B6B7F"/>
    <w:rsid w:val="000B6D20"/>
    <w:rsid w:val="000B6DFB"/>
    <w:rsid w:val="000C0877"/>
    <w:rsid w:val="000C21BE"/>
    <w:rsid w:val="000C2708"/>
    <w:rsid w:val="000C4F48"/>
    <w:rsid w:val="000C5321"/>
    <w:rsid w:val="000C5555"/>
    <w:rsid w:val="000C5855"/>
    <w:rsid w:val="000C6FB8"/>
    <w:rsid w:val="000D0A83"/>
    <w:rsid w:val="000D44A3"/>
    <w:rsid w:val="000D46B0"/>
    <w:rsid w:val="000D4E2F"/>
    <w:rsid w:val="000D6513"/>
    <w:rsid w:val="000D6553"/>
    <w:rsid w:val="000E0755"/>
    <w:rsid w:val="000E3219"/>
    <w:rsid w:val="000E395E"/>
    <w:rsid w:val="000E3A5A"/>
    <w:rsid w:val="000E501B"/>
    <w:rsid w:val="000E5075"/>
    <w:rsid w:val="000E5675"/>
    <w:rsid w:val="000E5F30"/>
    <w:rsid w:val="000E624D"/>
    <w:rsid w:val="00101620"/>
    <w:rsid w:val="00101979"/>
    <w:rsid w:val="00102507"/>
    <w:rsid w:val="0010361F"/>
    <w:rsid w:val="001036EF"/>
    <w:rsid w:val="00103E84"/>
    <w:rsid w:val="00106DB6"/>
    <w:rsid w:val="00107731"/>
    <w:rsid w:val="00107A67"/>
    <w:rsid w:val="0011091E"/>
    <w:rsid w:val="0011120F"/>
    <w:rsid w:val="001118A7"/>
    <w:rsid w:val="00112ADB"/>
    <w:rsid w:val="00113BB0"/>
    <w:rsid w:val="00114948"/>
    <w:rsid w:val="00114B34"/>
    <w:rsid w:val="00114B47"/>
    <w:rsid w:val="00114B75"/>
    <w:rsid w:val="00114C20"/>
    <w:rsid w:val="0011543F"/>
    <w:rsid w:val="00116E50"/>
    <w:rsid w:val="001178D0"/>
    <w:rsid w:val="00120CAB"/>
    <w:rsid w:val="00121780"/>
    <w:rsid w:val="00121858"/>
    <w:rsid w:val="0012195E"/>
    <w:rsid w:val="001238AF"/>
    <w:rsid w:val="00125716"/>
    <w:rsid w:val="001314C1"/>
    <w:rsid w:val="00135A97"/>
    <w:rsid w:val="0013708E"/>
    <w:rsid w:val="0013762E"/>
    <w:rsid w:val="00140576"/>
    <w:rsid w:val="001407E8"/>
    <w:rsid w:val="00141201"/>
    <w:rsid w:val="0014208D"/>
    <w:rsid w:val="00145A42"/>
    <w:rsid w:val="00146174"/>
    <w:rsid w:val="00146406"/>
    <w:rsid w:val="001502F4"/>
    <w:rsid w:val="00153E5C"/>
    <w:rsid w:val="001540E1"/>
    <w:rsid w:val="0015593E"/>
    <w:rsid w:val="00157115"/>
    <w:rsid w:val="00157361"/>
    <w:rsid w:val="00157D48"/>
    <w:rsid w:val="00160DEC"/>
    <w:rsid w:val="00160EC7"/>
    <w:rsid w:val="001613E7"/>
    <w:rsid w:val="00161E87"/>
    <w:rsid w:val="00162AAC"/>
    <w:rsid w:val="001645B0"/>
    <w:rsid w:val="001652CF"/>
    <w:rsid w:val="00165658"/>
    <w:rsid w:val="00165C23"/>
    <w:rsid w:val="00166FBA"/>
    <w:rsid w:val="00167145"/>
    <w:rsid w:val="00167DDA"/>
    <w:rsid w:val="001705BD"/>
    <w:rsid w:val="00172A27"/>
    <w:rsid w:val="00172A58"/>
    <w:rsid w:val="0017389A"/>
    <w:rsid w:val="00173D3C"/>
    <w:rsid w:val="00173F53"/>
    <w:rsid w:val="00175BAA"/>
    <w:rsid w:val="00176013"/>
    <w:rsid w:val="0017644B"/>
    <w:rsid w:val="00176C3C"/>
    <w:rsid w:val="00176C78"/>
    <w:rsid w:val="001804CD"/>
    <w:rsid w:val="0018099D"/>
    <w:rsid w:val="00182D33"/>
    <w:rsid w:val="00183C44"/>
    <w:rsid w:val="001846C1"/>
    <w:rsid w:val="00184806"/>
    <w:rsid w:val="00185542"/>
    <w:rsid w:val="00186FA4"/>
    <w:rsid w:val="001914B2"/>
    <w:rsid w:val="00191F21"/>
    <w:rsid w:val="00193A9C"/>
    <w:rsid w:val="00197A08"/>
    <w:rsid w:val="00197E2B"/>
    <w:rsid w:val="001A1492"/>
    <w:rsid w:val="001A23D2"/>
    <w:rsid w:val="001A2441"/>
    <w:rsid w:val="001A47C3"/>
    <w:rsid w:val="001A5617"/>
    <w:rsid w:val="001A59F7"/>
    <w:rsid w:val="001A70A7"/>
    <w:rsid w:val="001B400B"/>
    <w:rsid w:val="001B40F6"/>
    <w:rsid w:val="001B634D"/>
    <w:rsid w:val="001C1457"/>
    <w:rsid w:val="001C226D"/>
    <w:rsid w:val="001C58FA"/>
    <w:rsid w:val="001C7AA4"/>
    <w:rsid w:val="001D033B"/>
    <w:rsid w:val="001D28B5"/>
    <w:rsid w:val="001D2AEA"/>
    <w:rsid w:val="001D2EE0"/>
    <w:rsid w:val="001D3162"/>
    <w:rsid w:val="001D4FB5"/>
    <w:rsid w:val="001D5D50"/>
    <w:rsid w:val="001D7C19"/>
    <w:rsid w:val="001E01A3"/>
    <w:rsid w:val="001E4442"/>
    <w:rsid w:val="001E4C62"/>
    <w:rsid w:val="001E56A5"/>
    <w:rsid w:val="001E5FEE"/>
    <w:rsid w:val="001E7A0A"/>
    <w:rsid w:val="001E7BC4"/>
    <w:rsid w:val="001F0F65"/>
    <w:rsid w:val="001F2030"/>
    <w:rsid w:val="0020039E"/>
    <w:rsid w:val="00203A91"/>
    <w:rsid w:val="002047BD"/>
    <w:rsid w:val="00205962"/>
    <w:rsid w:val="0020669C"/>
    <w:rsid w:val="00210C68"/>
    <w:rsid w:val="0021181F"/>
    <w:rsid w:val="00211BD0"/>
    <w:rsid w:val="00211BE3"/>
    <w:rsid w:val="0021383E"/>
    <w:rsid w:val="00217E03"/>
    <w:rsid w:val="0022005E"/>
    <w:rsid w:val="0022142A"/>
    <w:rsid w:val="002216FB"/>
    <w:rsid w:val="0022193F"/>
    <w:rsid w:val="00221D38"/>
    <w:rsid w:val="002237A7"/>
    <w:rsid w:val="00224A9E"/>
    <w:rsid w:val="00226B54"/>
    <w:rsid w:val="00227E45"/>
    <w:rsid w:val="002308A5"/>
    <w:rsid w:val="00231435"/>
    <w:rsid w:val="002314F5"/>
    <w:rsid w:val="00234047"/>
    <w:rsid w:val="00234995"/>
    <w:rsid w:val="002357F4"/>
    <w:rsid w:val="00235955"/>
    <w:rsid w:val="00240C14"/>
    <w:rsid w:val="0024380C"/>
    <w:rsid w:val="00243C60"/>
    <w:rsid w:val="00243D81"/>
    <w:rsid w:val="002447E4"/>
    <w:rsid w:val="00245916"/>
    <w:rsid w:val="00245BD9"/>
    <w:rsid w:val="00245C49"/>
    <w:rsid w:val="00247976"/>
    <w:rsid w:val="002511C0"/>
    <w:rsid w:val="00251E76"/>
    <w:rsid w:val="00252980"/>
    <w:rsid w:val="00252EDD"/>
    <w:rsid w:val="002532DE"/>
    <w:rsid w:val="002535D5"/>
    <w:rsid w:val="00257190"/>
    <w:rsid w:val="00257C75"/>
    <w:rsid w:val="0026009F"/>
    <w:rsid w:val="00261195"/>
    <w:rsid w:val="002613FB"/>
    <w:rsid w:val="00263826"/>
    <w:rsid w:val="00263961"/>
    <w:rsid w:val="0026454A"/>
    <w:rsid w:val="00264B6F"/>
    <w:rsid w:val="002665BE"/>
    <w:rsid w:val="002674AA"/>
    <w:rsid w:val="002724F8"/>
    <w:rsid w:val="00272E19"/>
    <w:rsid w:val="00273CB5"/>
    <w:rsid w:val="00273CE1"/>
    <w:rsid w:val="00274746"/>
    <w:rsid w:val="00276B28"/>
    <w:rsid w:val="002779A2"/>
    <w:rsid w:val="002802B6"/>
    <w:rsid w:val="0028118E"/>
    <w:rsid w:val="0028124E"/>
    <w:rsid w:val="00283DA3"/>
    <w:rsid w:val="00285085"/>
    <w:rsid w:val="002860F2"/>
    <w:rsid w:val="00286AFB"/>
    <w:rsid w:val="00287D4C"/>
    <w:rsid w:val="00292431"/>
    <w:rsid w:val="00292434"/>
    <w:rsid w:val="00292DA8"/>
    <w:rsid w:val="00295AB0"/>
    <w:rsid w:val="00295C2B"/>
    <w:rsid w:val="00295D29"/>
    <w:rsid w:val="002961E7"/>
    <w:rsid w:val="00297F5C"/>
    <w:rsid w:val="002A3BA0"/>
    <w:rsid w:val="002A49C7"/>
    <w:rsid w:val="002A5948"/>
    <w:rsid w:val="002A5E15"/>
    <w:rsid w:val="002B058D"/>
    <w:rsid w:val="002B0850"/>
    <w:rsid w:val="002B13B5"/>
    <w:rsid w:val="002B2A09"/>
    <w:rsid w:val="002B3574"/>
    <w:rsid w:val="002B3F11"/>
    <w:rsid w:val="002B5C03"/>
    <w:rsid w:val="002B6277"/>
    <w:rsid w:val="002B764D"/>
    <w:rsid w:val="002C247C"/>
    <w:rsid w:val="002C3195"/>
    <w:rsid w:val="002C5CEF"/>
    <w:rsid w:val="002C6644"/>
    <w:rsid w:val="002C70B6"/>
    <w:rsid w:val="002C725E"/>
    <w:rsid w:val="002C7986"/>
    <w:rsid w:val="002D26DB"/>
    <w:rsid w:val="002D5038"/>
    <w:rsid w:val="002D57C0"/>
    <w:rsid w:val="002D6875"/>
    <w:rsid w:val="002D6F50"/>
    <w:rsid w:val="002D73E7"/>
    <w:rsid w:val="002E2097"/>
    <w:rsid w:val="002E249D"/>
    <w:rsid w:val="002E2BC8"/>
    <w:rsid w:val="002E3121"/>
    <w:rsid w:val="002E3CB1"/>
    <w:rsid w:val="002E4CDB"/>
    <w:rsid w:val="002E52F0"/>
    <w:rsid w:val="002E5D3F"/>
    <w:rsid w:val="002E5F60"/>
    <w:rsid w:val="002F206B"/>
    <w:rsid w:val="002F3D55"/>
    <w:rsid w:val="002F4E43"/>
    <w:rsid w:val="002F6CB8"/>
    <w:rsid w:val="003014B4"/>
    <w:rsid w:val="003031AA"/>
    <w:rsid w:val="003062A0"/>
    <w:rsid w:val="00306C8A"/>
    <w:rsid w:val="00307920"/>
    <w:rsid w:val="00307C43"/>
    <w:rsid w:val="00313F6E"/>
    <w:rsid w:val="00315E2B"/>
    <w:rsid w:val="00316406"/>
    <w:rsid w:val="0031640F"/>
    <w:rsid w:val="003168F8"/>
    <w:rsid w:val="00316C17"/>
    <w:rsid w:val="00316FC7"/>
    <w:rsid w:val="00320915"/>
    <w:rsid w:val="003216C6"/>
    <w:rsid w:val="003225D1"/>
    <w:rsid w:val="00322C50"/>
    <w:rsid w:val="003230B5"/>
    <w:rsid w:val="003235A6"/>
    <w:rsid w:val="00324049"/>
    <w:rsid w:val="00326880"/>
    <w:rsid w:val="0032724F"/>
    <w:rsid w:val="00327A17"/>
    <w:rsid w:val="00331296"/>
    <w:rsid w:val="00332023"/>
    <w:rsid w:val="0033399F"/>
    <w:rsid w:val="003353C1"/>
    <w:rsid w:val="00335800"/>
    <w:rsid w:val="00341435"/>
    <w:rsid w:val="00341AE6"/>
    <w:rsid w:val="00342ABB"/>
    <w:rsid w:val="00342BAC"/>
    <w:rsid w:val="003435DE"/>
    <w:rsid w:val="0034505B"/>
    <w:rsid w:val="00345A6A"/>
    <w:rsid w:val="003467AE"/>
    <w:rsid w:val="00346B25"/>
    <w:rsid w:val="00346BD3"/>
    <w:rsid w:val="00346FEA"/>
    <w:rsid w:val="00347CEC"/>
    <w:rsid w:val="00350091"/>
    <w:rsid w:val="003512FE"/>
    <w:rsid w:val="003514A6"/>
    <w:rsid w:val="00352157"/>
    <w:rsid w:val="003523CD"/>
    <w:rsid w:val="00353D10"/>
    <w:rsid w:val="00354177"/>
    <w:rsid w:val="00355C3D"/>
    <w:rsid w:val="00356B17"/>
    <w:rsid w:val="003578A9"/>
    <w:rsid w:val="003611D2"/>
    <w:rsid w:val="00362D9F"/>
    <w:rsid w:val="003630E9"/>
    <w:rsid w:val="00363254"/>
    <w:rsid w:val="00364305"/>
    <w:rsid w:val="003652B9"/>
    <w:rsid w:val="00366781"/>
    <w:rsid w:val="00366CF9"/>
    <w:rsid w:val="00367549"/>
    <w:rsid w:val="0037021F"/>
    <w:rsid w:val="0037166F"/>
    <w:rsid w:val="003721A5"/>
    <w:rsid w:val="00373080"/>
    <w:rsid w:val="003733DB"/>
    <w:rsid w:val="00373656"/>
    <w:rsid w:val="003737BC"/>
    <w:rsid w:val="00373C3F"/>
    <w:rsid w:val="00374213"/>
    <w:rsid w:val="00375645"/>
    <w:rsid w:val="0037596F"/>
    <w:rsid w:val="00376922"/>
    <w:rsid w:val="00377765"/>
    <w:rsid w:val="003779E4"/>
    <w:rsid w:val="00381C06"/>
    <w:rsid w:val="00382ADA"/>
    <w:rsid w:val="003831C6"/>
    <w:rsid w:val="0038320E"/>
    <w:rsid w:val="003837A7"/>
    <w:rsid w:val="003837DB"/>
    <w:rsid w:val="00387587"/>
    <w:rsid w:val="00390621"/>
    <w:rsid w:val="00390AE1"/>
    <w:rsid w:val="003921FC"/>
    <w:rsid w:val="0039233A"/>
    <w:rsid w:val="00392AE0"/>
    <w:rsid w:val="0039621A"/>
    <w:rsid w:val="00396EFE"/>
    <w:rsid w:val="003974E7"/>
    <w:rsid w:val="003976B0"/>
    <w:rsid w:val="003A24B8"/>
    <w:rsid w:val="003A24E9"/>
    <w:rsid w:val="003A4A85"/>
    <w:rsid w:val="003A529A"/>
    <w:rsid w:val="003A62D4"/>
    <w:rsid w:val="003A680B"/>
    <w:rsid w:val="003A7D0F"/>
    <w:rsid w:val="003B0007"/>
    <w:rsid w:val="003B02E3"/>
    <w:rsid w:val="003B0E1F"/>
    <w:rsid w:val="003B0E30"/>
    <w:rsid w:val="003B1976"/>
    <w:rsid w:val="003B2AFE"/>
    <w:rsid w:val="003B39AF"/>
    <w:rsid w:val="003B3CF5"/>
    <w:rsid w:val="003B3EC3"/>
    <w:rsid w:val="003B4331"/>
    <w:rsid w:val="003B4F35"/>
    <w:rsid w:val="003B5051"/>
    <w:rsid w:val="003B5C9D"/>
    <w:rsid w:val="003B65FE"/>
    <w:rsid w:val="003B6FDE"/>
    <w:rsid w:val="003C0BDA"/>
    <w:rsid w:val="003C1D4A"/>
    <w:rsid w:val="003C2833"/>
    <w:rsid w:val="003C2FC2"/>
    <w:rsid w:val="003C3288"/>
    <w:rsid w:val="003C4621"/>
    <w:rsid w:val="003C5DDE"/>
    <w:rsid w:val="003D0422"/>
    <w:rsid w:val="003D061E"/>
    <w:rsid w:val="003D0990"/>
    <w:rsid w:val="003D1AB2"/>
    <w:rsid w:val="003D1D1E"/>
    <w:rsid w:val="003D267B"/>
    <w:rsid w:val="003D32A3"/>
    <w:rsid w:val="003D4836"/>
    <w:rsid w:val="003D6DC0"/>
    <w:rsid w:val="003D7203"/>
    <w:rsid w:val="003D74BC"/>
    <w:rsid w:val="003E076A"/>
    <w:rsid w:val="003E28C0"/>
    <w:rsid w:val="003E47C8"/>
    <w:rsid w:val="003E4822"/>
    <w:rsid w:val="003E5EC7"/>
    <w:rsid w:val="003E6121"/>
    <w:rsid w:val="003F0666"/>
    <w:rsid w:val="003F1367"/>
    <w:rsid w:val="003F2286"/>
    <w:rsid w:val="003F3762"/>
    <w:rsid w:val="003F4370"/>
    <w:rsid w:val="003F508F"/>
    <w:rsid w:val="003F5693"/>
    <w:rsid w:val="003F72E8"/>
    <w:rsid w:val="003F72F3"/>
    <w:rsid w:val="003F7703"/>
    <w:rsid w:val="00401845"/>
    <w:rsid w:val="00401D6F"/>
    <w:rsid w:val="00402CE4"/>
    <w:rsid w:val="00404D3F"/>
    <w:rsid w:val="00405B3A"/>
    <w:rsid w:val="00406B2D"/>
    <w:rsid w:val="00410A3A"/>
    <w:rsid w:val="00411ADA"/>
    <w:rsid w:val="0041215F"/>
    <w:rsid w:val="00414538"/>
    <w:rsid w:val="004145BF"/>
    <w:rsid w:val="00414A63"/>
    <w:rsid w:val="00417554"/>
    <w:rsid w:val="00420C4A"/>
    <w:rsid w:val="0042456A"/>
    <w:rsid w:val="00424FAC"/>
    <w:rsid w:val="0042508B"/>
    <w:rsid w:val="004259D4"/>
    <w:rsid w:val="00427A36"/>
    <w:rsid w:val="00427A66"/>
    <w:rsid w:val="004300E4"/>
    <w:rsid w:val="00431685"/>
    <w:rsid w:val="00433003"/>
    <w:rsid w:val="004344DE"/>
    <w:rsid w:val="00434A15"/>
    <w:rsid w:val="004368E7"/>
    <w:rsid w:val="00440F3A"/>
    <w:rsid w:val="004417E3"/>
    <w:rsid w:val="00441CDC"/>
    <w:rsid w:val="00442609"/>
    <w:rsid w:val="0044567B"/>
    <w:rsid w:val="00445762"/>
    <w:rsid w:val="00445FC0"/>
    <w:rsid w:val="004466F8"/>
    <w:rsid w:val="00450795"/>
    <w:rsid w:val="00452F99"/>
    <w:rsid w:val="00457A1C"/>
    <w:rsid w:val="00460389"/>
    <w:rsid w:val="0046284F"/>
    <w:rsid w:val="004662BB"/>
    <w:rsid w:val="00470995"/>
    <w:rsid w:val="00470D04"/>
    <w:rsid w:val="004727B8"/>
    <w:rsid w:val="00472B0A"/>
    <w:rsid w:val="0047392F"/>
    <w:rsid w:val="0047465B"/>
    <w:rsid w:val="004757CC"/>
    <w:rsid w:val="00475B53"/>
    <w:rsid w:val="00475B86"/>
    <w:rsid w:val="00476B25"/>
    <w:rsid w:val="00477015"/>
    <w:rsid w:val="00480A7A"/>
    <w:rsid w:val="00482795"/>
    <w:rsid w:val="00483C5D"/>
    <w:rsid w:val="0048437F"/>
    <w:rsid w:val="004859D9"/>
    <w:rsid w:val="00486B5F"/>
    <w:rsid w:val="004903CA"/>
    <w:rsid w:val="004912D7"/>
    <w:rsid w:val="00492162"/>
    <w:rsid w:val="0049353D"/>
    <w:rsid w:val="00495768"/>
    <w:rsid w:val="00495C99"/>
    <w:rsid w:val="00496109"/>
    <w:rsid w:val="0049749B"/>
    <w:rsid w:val="004A0D2A"/>
    <w:rsid w:val="004A1453"/>
    <w:rsid w:val="004A3D63"/>
    <w:rsid w:val="004A4595"/>
    <w:rsid w:val="004A6242"/>
    <w:rsid w:val="004A7CA1"/>
    <w:rsid w:val="004B00A0"/>
    <w:rsid w:val="004B0961"/>
    <w:rsid w:val="004B1FEC"/>
    <w:rsid w:val="004B4198"/>
    <w:rsid w:val="004B53B2"/>
    <w:rsid w:val="004B7DD0"/>
    <w:rsid w:val="004C011D"/>
    <w:rsid w:val="004C2A80"/>
    <w:rsid w:val="004C4095"/>
    <w:rsid w:val="004C4826"/>
    <w:rsid w:val="004C5505"/>
    <w:rsid w:val="004C7ACC"/>
    <w:rsid w:val="004D0D67"/>
    <w:rsid w:val="004D1423"/>
    <w:rsid w:val="004D3E04"/>
    <w:rsid w:val="004D4C59"/>
    <w:rsid w:val="004D7BE8"/>
    <w:rsid w:val="004E1CB7"/>
    <w:rsid w:val="004E495B"/>
    <w:rsid w:val="004E65A3"/>
    <w:rsid w:val="004F0766"/>
    <w:rsid w:val="004F1D12"/>
    <w:rsid w:val="004F4B04"/>
    <w:rsid w:val="004F567F"/>
    <w:rsid w:val="004F6726"/>
    <w:rsid w:val="004F6728"/>
    <w:rsid w:val="004F7653"/>
    <w:rsid w:val="00500C86"/>
    <w:rsid w:val="005015D2"/>
    <w:rsid w:val="0050180A"/>
    <w:rsid w:val="00502316"/>
    <w:rsid w:val="005030B4"/>
    <w:rsid w:val="00503600"/>
    <w:rsid w:val="00504405"/>
    <w:rsid w:val="00504B4D"/>
    <w:rsid w:val="00504F96"/>
    <w:rsid w:val="0050524A"/>
    <w:rsid w:val="0050568F"/>
    <w:rsid w:val="00506397"/>
    <w:rsid w:val="0050639E"/>
    <w:rsid w:val="00506A67"/>
    <w:rsid w:val="00506CFB"/>
    <w:rsid w:val="00510F08"/>
    <w:rsid w:val="00511769"/>
    <w:rsid w:val="00511A36"/>
    <w:rsid w:val="0051515D"/>
    <w:rsid w:val="0051526B"/>
    <w:rsid w:val="0051530A"/>
    <w:rsid w:val="0051585A"/>
    <w:rsid w:val="00516169"/>
    <w:rsid w:val="0051654A"/>
    <w:rsid w:val="0051729F"/>
    <w:rsid w:val="00517512"/>
    <w:rsid w:val="00520CF7"/>
    <w:rsid w:val="00520D22"/>
    <w:rsid w:val="005225F5"/>
    <w:rsid w:val="005247CF"/>
    <w:rsid w:val="0052505B"/>
    <w:rsid w:val="0052643E"/>
    <w:rsid w:val="00526C93"/>
    <w:rsid w:val="005275AC"/>
    <w:rsid w:val="005301C6"/>
    <w:rsid w:val="005318CB"/>
    <w:rsid w:val="00532A21"/>
    <w:rsid w:val="00532A57"/>
    <w:rsid w:val="0053306E"/>
    <w:rsid w:val="00533F11"/>
    <w:rsid w:val="005346C3"/>
    <w:rsid w:val="00534DEB"/>
    <w:rsid w:val="00535A9E"/>
    <w:rsid w:val="005362C7"/>
    <w:rsid w:val="00536BA9"/>
    <w:rsid w:val="00537BEA"/>
    <w:rsid w:val="0054140E"/>
    <w:rsid w:val="00541DF2"/>
    <w:rsid w:val="00545719"/>
    <w:rsid w:val="005470CA"/>
    <w:rsid w:val="005476D3"/>
    <w:rsid w:val="00547719"/>
    <w:rsid w:val="00547C98"/>
    <w:rsid w:val="00552175"/>
    <w:rsid w:val="00552BBF"/>
    <w:rsid w:val="00552EA8"/>
    <w:rsid w:val="005535C9"/>
    <w:rsid w:val="00553C07"/>
    <w:rsid w:val="005572EC"/>
    <w:rsid w:val="00557B91"/>
    <w:rsid w:val="00560240"/>
    <w:rsid w:val="00560F5F"/>
    <w:rsid w:val="005612BD"/>
    <w:rsid w:val="005613E5"/>
    <w:rsid w:val="00561765"/>
    <w:rsid w:val="005625E0"/>
    <w:rsid w:val="005638E7"/>
    <w:rsid w:val="005638ED"/>
    <w:rsid w:val="005641CC"/>
    <w:rsid w:val="00564BD7"/>
    <w:rsid w:val="00566C86"/>
    <w:rsid w:val="00570DED"/>
    <w:rsid w:val="00571735"/>
    <w:rsid w:val="00573532"/>
    <w:rsid w:val="00573F75"/>
    <w:rsid w:val="00574E08"/>
    <w:rsid w:val="0058026F"/>
    <w:rsid w:val="00584A10"/>
    <w:rsid w:val="00586985"/>
    <w:rsid w:val="0058770B"/>
    <w:rsid w:val="00591947"/>
    <w:rsid w:val="005922F6"/>
    <w:rsid w:val="00594DCC"/>
    <w:rsid w:val="00594EB1"/>
    <w:rsid w:val="005961D3"/>
    <w:rsid w:val="00597CDD"/>
    <w:rsid w:val="005A06DE"/>
    <w:rsid w:val="005A0979"/>
    <w:rsid w:val="005A15EE"/>
    <w:rsid w:val="005A5688"/>
    <w:rsid w:val="005A5E13"/>
    <w:rsid w:val="005B0B7E"/>
    <w:rsid w:val="005B0DDA"/>
    <w:rsid w:val="005B1056"/>
    <w:rsid w:val="005B2CC9"/>
    <w:rsid w:val="005B2E45"/>
    <w:rsid w:val="005B3467"/>
    <w:rsid w:val="005B3A7A"/>
    <w:rsid w:val="005B3AFC"/>
    <w:rsid w:val="005B3F76"/>
    <w:rsid w:val="005B4D42"/>
    <w:rsid w:val="005B5589"/>
    <w:rsid w:val="005B569C"/>
    <w:rsid w:val="005C004E"/>
    <w:rsid w:val="005C0805"/>
    <w:rsid w:val="005C3A85"/>
    <w:rsid w:val="005C4FB2"/>
    <w:rsid w:val="005C589E"/>
    <w:rsid w:val="005C592B"/>
    <w:rsid w:val="005C6043"/>
    <w:rsid w:val="005C7F6E"/>
    <w:rsid w:val="005D04E9"/>
    <w:rsid w:val="005D08B2"/>
    <w:rsid w:val="005D36FF"/>
    <w:rsid w:val="005D37AF"/>
    <w:rsid w:val="005D3E0E"/>
    <w:rsid w:val="005D4F0B"/>
    <w:rsid w:val="005D58F4"/>
    <w:rsid w:val="005D6807"/>
    <w:rsid w:val="005E1300"/>
    <w:rsid w:val="005E133A"/>
    <w:rsid w:val="005E14EF"/>
    <w:rsid w:val="005E180B"/>
    <w:rsid w:val="005E60AE"/>
    <w:rsid w:val="005E643F"/>
    <w:rsid w:val="005E7DEA"/>
    <w:rsid w:val="005F218C"/>
    <w:rsid w:val="005F2256"/>
    <w:rsid w:val="005F2C01"/>
    <w:rsid w:val="005F2F10"/>
    <w:rsid w:val="005F3E99"/>
    <w:rsid w:val="005F604D"/>
    <w:rsid w:val="005F77A8"/>
    <w:rsid w:val="00600CF1"/>
    <w:rsid w:val="00600E52"/>
    <w:rsid w:val="00600EED"/>
    <w:rsid w:val="00602270"/>
    <w:rsid w:val="006023BB"/>
    <w:rsid w:val="0060484E"/>
    <w:rsid w:val="0060643E"/>
    <w:rsid w:val="00607DFD"/>
    <w:rsid w:val="00610AFF"/>
    <w:rsid w:val="00610F6D"/>
    <w:rsid w:val="006121A4"/>
    <w:rsid w:val="00613053"/>
    <w:rsid w:val="006133DB"/>
    <w:rsid w:val="00614AF9"/>
    <w:rsid w:val="00615BB7"/>
    <w:rsid w:val="00624054"/>
    <w:rsid w:val="00624CD0"/>
    <w:rsid w:val="00626E62"/>
    <w:rsid w:val="0063453E"/>
    <w:rsid w:val="0063511A"/>
    <w:rsid w:val="00635D51"/>
    <w:rsid w:val="00636999"/>
    <w:rsid w:val="00636B5B"/>
    <w:rsid w:val="00637C5C"/>
    <w:rsid w:val="006407B9"/>
    <w:rsid w:val="0064088D"/>
    <w:rsid w:val="00640A56"/>
    <w:rsid w:val="006415F3"/>
    <w:rsid w:val="00641BF2"/>
    <w:rsid w:val="00641E86"/>
    <w:rsid w:val="00642338"/>
    <w:rsid w:val="00642690"/>
    <w:rsid w:val="00643AA9"/>
    <w:rsid w:val="006441A3"/>
    <w:rsid w:val="00646BB3"/>
    <w:rsid w:val="00646DBD"/>
    <w:rsid w:val="006509F2"/>
    <w:rsid w:val="006512ED"/>
    <w:rsid w:val="006534E0"/>
    <w:rsid w:val="00654B5B"/>
    <w:rsid w:val="006556C6"/>
    <w:rsid w:val="00656A73"/>
    <w:rsid w:val="0066064F"/>
    <w:rsid w:val="00661517"/>
    <w:rsid w:val="00664D08"/>
    <w:rsid w:val="00665C77"/>
    <w:rsid w:val="00671118"/>
    <w:rsid w:val="00674474"/>
    <w:rsid w:val="006745C6"/>
    <w:rsid w:val="006749A6"/>
    <w:rsid w:val="00674A4F"/>
    <w:rsid w:val="006758E4"/>
    <w:rsid w:val="00675971"/>
    <w:rsid w:val="006760AD"/>
    <w:rsid w:val="00677950"/>
    <w:rsid w:val="00677E4A"/>
    <w:rsid w:val="00680DC4"/>
    <w:rsid w:val="00680E32"/>
    <w:rsid w:val="00681A8D"/>
    <w:rsid w:val="00682873"/>
    <w:rsid w:val="00682FBE"/>
    <w:rsid w:val="00683A22"/>
    <w:rsid w:val="00683A56"/>
    <w:rsid w:val="00683BD1"/>
    <w:rsid w:val="00683C7C"/>
    <w:rsid w:val="00684162"/>
    <w:rsid w:val="00685EAD"/>
    <w:rsid w:val="0068783D"/>
    <w:rsid w:val="00691DB9"/>
    <w:rsid w:val="00692153"/>
    <w:rsid w:val="0069284E"/>
    <w:rsid w:val="00692E39"/>
    <w:rsid w:val="006946B6"/>
    <w:rsid w:val="00695788"/>
    <w:rsid w:val="00695A2B"/>
    <w:rsid w:val="00695C88"/>
    <w:rsid w:val="00696E18"/>
    <w:rsid w:val="00697C58"/>
    <w:rsid w:val="00697DC6"/>
    <w:rsid w:val="006A1542"/>
    <w:rsid w:val="006A3683"/>
    <w:rsid w:val="006A5D51"/>
    <w:rsid w:val="006A666C"/>
    <w:rsid w:val="006A7376"/>
    <w:rsid w:val="006B32C3"/>
    <w:rsid w:val="006B5BD5"/>
    <w:rsid w:val="006B652E"/>
    <w:rsid w:val="006C0675"/>
    <w:rsid w:val="006C174C"/>
    <w:rsid w:val="006C2ABE"/>
    <w:rsid w:val="006C3245"/>
    <w:rsid w:val="006C421B"/>
    <w:rsid w:val="006C4B78"/>
    <w:rsid w:val="006C513D"/>
    <w:rsid w:val="006C646A"/>
    <w:rsid w:val="006C69FE"/>
    <w:rsid w:val="006C6CF3"/>
    <w:rsid w:val="006D2833"/>
    <w:rsid w:val="006D3931"/>
    <w:rsid w:val="006D5059"/>
    <w:rsid w:val="006E1204"/>
    <w:rsid w:val="006E13AD"/>
    <w:rsid w:val="006E5C13"/>
    <w:rsid w:val="006E7431"/>
    <w:rsid w:val="006E7449"/>
    <w:rsid w:val="006E7AFB"/>
    <w:rsid w:val="006E7B9D"/>
    <w:rsid w:val="006F131F"/>
    <w:rsid w:val="006F140F"/>
    <w:rsid w:val="006F1A3F"/>
    <w:rsid w:val="006F1F8B"/>
    <w:rsid w:val="006F20C7"/>
    <w:rsid w:val="006F291B"/>
    <w:rsid w:val="006F3688"/>
    <w:rsid w:val="006F3A42"/>
    <w:rsid w:val="006F3C1C"/>
    <w:rsid w:val="006F3D27"/>
    <w:rsid w:val="006F4A83"/>
    <w:rsid w:val="006F54C9"/>
    <w:rsid w:val="006F5DF0"/>
    <w:rsid w:val="006F7CF3"/>
    <w:rsid w:val="00700E8D"/>
    <w:rsid w:val="00701E1C"/>
    <w:rsid w:val="00702F28"/>
    <w:rsid w:val="0070342B"/>
    <w:rsid w:val="00703E47"/>
    <w:rsid w:val="00703E87"/>
    <w:rsid w:val="00705047"/>
    <w:rsid w:val="00705710"/>
    <w:rsid w:val="007068B1"/>
    <w:rsid w:val="00714988"/>
    <w:rsid w:val="00717BFC"/>
    <w:rsid w:val="00720B22"/>
    <w:rsid w:val="00720F01"/>
    <w:rsid w:val="007214BD"/>
    <w:rsid w:val="007219F1"/>
    <w:rsid w:val="00725AE4"/>
    <w:rsid w:val="00725D6C"/>
    <w:rsid w:val="00727656"/>
    <w:rsid w:val="00730C45"/>
    <w:rsid w:val="007313A9"/>
    <w:rsid w:val="00731A90"/>
    <w:rsid w:val="00733B9E"/>
    <w:rsid w:val="007341B5"/>
    <w:rsid w:val="0073471C"/>
    <w:rsid w:val="00735AA3"/>
    <w:rsid w:val="00736299"/>
    <w:rsid w:val="00740310"/>
    <w:rsid w:val="00740E9E"/>
    <w:rsid w:val="00741B91"/>
    <w:rsid w:val="00741CFB"/>
    <w:rsid w:val="00741EE9"/>
    <w:rsid w:val="0074217E"/>
    <w:rsid w:val="007445DC"/>
    <w:rsid w:val="00744A1C"/>
    <w:rsid w:val="00744E99"/>
    <w:rsid w:val="00745069"/>
    <w:rsid w:val="007452AF"/>
    <w:rsid w:val="0074612E"/>
    <w:rsid w:val="007530A2"/>
    <w:rsid w:val="00753932"/>
    <w:rsid w:val="0075502B"/>
    <w:rsid w:val="00756BAF"/>
    <w:rsid w:val="00757D5D"/>
    <w:rsid w:val="00757FDF"/>
    <w:rsid w:val="00761294"/>
    <w:rsid w:val="00764FD4"/>
    <w:rsid w:val="00765D51"/>
    <w:rsid w:val="00766445"/>
    <w:rsid w:val="0077061C"/>
    <w:rsid w:val="00771D15"/>
    <w:rsid w:val="0077313C"/>
    <w:rsid w:val="00773FB6"/>
    <w:rsid w:val="00774FBC"/>
    <w:rsid w:val="00775482"/>
    <w:rsid w:val="007755B2"/>
    <w:rsid w:val="0077623D"/>
    <w:rsid w:val="007774A4"/>
    <w:rsid w:val="00782DF7"/>
    <w:rsid w:val="00782FDE"/>
    <w:rsid w:val="00783733"/>
    <w:rsid w:val="00784E09"/>
    <w:rsid w:val="00785A15"/>
    <w:rsid w:val="00785FA3"/>
    <w:rsid w:val="00790E1D"/>
    <w:rsid w:val="007917FF"/>
    <w:rsid w:val="007919A5"/>
    <w:rsid w:val="00794960"/>
    <w:rsid w:val="007955DF"/>
    <w:rsid w:val="007959B1"/>
    <w:rsid w:val="007A0455"/>
    <w:rsid w:val="007A3A08"/>
    <w:rsid w:val="007A5FBD"/>
    <w:rsid w:val="007A627B"/>
    <w:rsid w:val="007B171F"/>
    <w:rsid w:val="007B3C02"/>
    <w:rsid w:val="007B7A93"/>
    <w:rsid w:val="007C00DD"/>
    <w:rsid w:val="007C0A0A"/>
    <w:rsid w:val="007C0BF0"/>
    <w:rsid w:val="007C3240"/>
    <w:rsid w:val="007C32A1"/>
    <w:rsid w:val="007C3B6F"/>
    <w:rsid w:val="007C3F96"/>
    <w:rsid w:val="007C4088"/>
    <w:rsid w:val="007C5BBC"/>
    <w:rsid w:val="007C63FF"/>
    <w:rsid w:val="007C6724"/>
    <w:rsid w:val="007C6A53"/>
    <w:rsid w:val="007D090A"/>
    <w:rsid w:val="007D0D7F"/>
    <w:rsid w:val="007D0EC7"/>
    <w:rsid w:val="007D10B1"/>
    <w:rsid w:val="007D267D"/>
    <w:rsid w:val="007D2B72"/>
    <w:rsid w:val="007D2CBC"/>
    <w:rsid w:val="007D41E7"/>
    <w:rsid w:val="007D5866"/>
    <w:rsid w:val="007D7015"/>
    <w:rsid w:val="007D70A2"/>
    <w:rsid w:val="007D7AC3"/>
    <w:rsid w:val="007E0D09"/>
    <w:rsid w:val="007E1114"/>
    <w:rsid w:val="007E1467"/>
    <w:rsid w:val="007E2322"/>
    <w:rsid w:val="007E2B64"/>
    <w:rsid w:val="007E3D7B"/>
    <w:rsid w:val="007E5434"/>
    <w:rsid w:val="007E64BD"/>
    <w:rsid w:val="007E7B13"/>
    <w:rsid w:val="007E7D9C"/>
    <w:rsid w:val="007F050C"/>
    <w:rsid w:val="007F14B6"/>
    <w:rsid w:val="007F466A"/>
    <w:rsid w:val="007F526E"/>
    <w:rsid w:val="007F622B"/>
    <w:rsid w:val="007F6CD1"/>
    <w:rsid w:val="007F7620"/>
    <w:rsid w:val="007F7780"/>
    <w:rsid w:val="007F79DF"/>
    <w:rsid w:val="00800A6D"/>
    <w:rsid w:val="00802E7C"/>
    <w:rsid w:val="008030FA"/>
    <w:rsid w:val="00804104"/>
    <w:rsid w:val="00805AA4"/>
    <w:rsid w:val="00806FA1"/>
    <w:rsid w:val="00807A0D"/>
    <w:rsid w:val="00812AC9"/>
    <w:rsid w:val="0081503B"/>
    <w:rsid w:val="0081637C"/>
    <w:rsid w:val="008163F8"/>
    <w:rsid w:val="00817877"/>
    <w:rsid w:val="00817CEA"/>
    <w:rsid w:val="00820B1B"/>
    <w:rsid w:val="008210DC"/>
    <w:rsid w:val="00821EB7"/>
    <w:rsid w:val="0082339A"/>
    <w:rsid w:val="008242B0"/>
    <w:rsid w:val="0083119D"/>
    <w:rsid w:val="0083141F"/>
    <w:rsid w:val="008324C8"/>
    <w:rsid w:val="00832860"/>
    <w:rsid w:val="00832D94"/>
    <w:rsid w:val="008362C7"/>
    <w:rsid w:val="008366C8"/>
    <w:rsid w:val="00836D0C"/>
    <w:rsid w:val="00840BAA"/>
    <w:rsid w:val="00841A7A"/>
    <w:rsid w:val="00841C5F"/>
    <w:rsid w:val="00842403"/>
    <w:rsid w:val="00842B61"/>
    <w:rsid w:val="00843149"/>
    <w:rsid w:val="00844894"/>
    <w:rsid w:val="00844960"/>
    <w:rsid w:val="00845A56"/>
    <w:rsid w:val="00847B76"/>
    <w:rsid w:val="00850464"/>
    <w:rsid w:val="008515E2"/>
    <w:rsid w:val="0085232D"/>
    <w:rsid w:val="00853BD2"/>
    <w:rsid w:val="008573B7"/>
    <w:rsid w:val="00857987"/>
    <w:rsid w:val="00857B5C"/>
    <w:rsid w:val="00863E2E"/>
    <w:rsid w:val="00865268"/>
    <w:rsid w:val="0086662F"/>
    <w:rsid w:val="008745C0"/>
    <w:rsid w:val="00875148"/>
    <w:rsid w:val="008810F6"/>
    <w:rsid w:val="00881D8D"/>
    <w:rsid w:val="00884253"/>
    <w:rsid w:val="00884636"/>
    <w:rsid w:val="008855E0"/>
    <w:rsid w:val="00887163"/>
    <w:rsid w:val="00887231"/>
    <w:rsid w:val="0089013E"/>
    <w:rsid w:val="008902C4"/>
    <w:rsid w:val="008910CD"/>
    <w:rsid w:val="00891478"/>
    <w:rsid w:val="00891760"/>
    <w:rsid w:val="0089511D"/>
    <w:rsid w:val="008955CF"/>
    <w:rsid w:val="00897934"/>
    <w:rsid w:val="008A04E3"/>
    <w:rsid w:val="008A0570"/>
    <w:rsid w:val="008A2B9E"/>
    <w:rsid w:val="008A33E8"/>
    <w:rsid w:val="008A357E"/>
    <w:rsid w:val="008A3DEA"/>
    <w:rsid w:val="008A507B"/>
    <w:rsid w:val="008A55F3"/>
    <w:rsid w:val="008A565D"/>
    <w:rsid w:val="008A5C6F"/>
    <w:rsid w:val="008A5E4B"/>
    <w:rsid w:val="008A66D8"/>
    <w:rsid w:val="008A686F"/>
    <w:rsid w:val="008A7EE0"/>
    <w:rsid w:val="008B18F8"/>
    <w:rsid w:val="008B600B"/>
    <w:rsid w:val="008B76A6"/>
    <w:rsid w:val="008C381C"/>
    <w:rsid w:val="008C47CE"/>
    <w:rsid w:val="008C5198"/>
    <w:rsid w:val="008C5E27"/>
    <w:rsid w:val="008C6E0D"/>
    <w:rsid w:val="008C7384"/>
    <w:rsid w:val="008C7393"/>
    <w:rsid w:val="008D00F0"/>
    <w:rsid w:val="008D2025"/>
    <w:rsid w:val="008D2A47"/>
    <w:rsid w:val="008D408D"/>
    <w:rsid w:val="008D700F"/>
    <w:rsid w:val="008D787E"/>
    <w:rsid w:val="008D79FB"/>
    <w:rsid w:val="008E144A"/>
    <w:rsid w:val="008E15AD"/>
    <w:rsid w:val="008E251A"/>
    <w:rsid w:val="008E4276"/>
    <w:rsid w:val="008E62E0"/>
    <w:rsid w:val="008E7031"/>
    <w:rsid w:val="008E7255"/>
    <w:rsid w:val="008E7964"/>
    <w:rsid w:val="008F0825"/>
    <w:rsid w:val="008F2EE1"/>
    <w:rsid w:val="008F3C97"/>
    <w:rsid w:val="008F5AED"/>
    <w:rsid w:val="008F68C6"/>
    <w:rsid w:val="008F7DF1"/>
    <w:rsid w:val="0090057C"/>
    <w:rsid w:val="009015A3"/>
    <w:rsid w:val="009051D2"/>
    <w:rsid w:val="00907B5F"/>
    <w:rsid w:val="00910A63"/>
    <w:rsid w:val="00913052"/>
    <w:rsid w:val="0091477E"/>
    <w:rsid w:val="00916F05"/>
    <w:rsid w:val="00921FD9"/>
    <w:rsid w:val="00922F1E"/>
    <w:rsid w:val="009238E2"/>
    <w:rsid w:val="00925048"/>
    <w:rsid w:val="00925B02"/>
    <w:rsid w:val="00926370"/>
    <w:rsid w:val="00931139"/>
    <w:rsid w:val="00931291"/>
    <w:rsid w:val="00931EB4"/>
    <w:rsid w:val="00932D4C"/>
    <w:rsid w:val="00932E6D"/>
    <w:rsid w:val="00933947"/>
    <w:rsid w:val="009351F4"/>
    <w:rsid w:val="00936420"/>
    <w:rsid w:val="009365E5"/>
    <w:rsid w:val="009368D6"/>
    <w:rsid w:val="00936C20"/>
    <w:rsid w:val="00936D47"/>
    <w:rsid w:val="00936D7A"/>
    <w:rsid w:val="009372B8"/>
    <w:rsid w:val="00940284"/>
    <w:rsid w:val="009404F4"/>
    <w:rsid w:val="00944189"/>
    <w:rsid w:val="00945F7F"/>
    <w:rsid w:val="009523A8"/>
    <w:rsid w:val="0095240B"/>
    <w:rsid w:val="00952AFD"/>
    <w:rsid w:val="00954DA6"/>
    <w:rsid w:val="009563C0"/>
    <w:rsid w:val="009571EE"/>
    <w:rsid w:val="009619A0"/>
    <w:rsid w:val="0096228B"/>
    <w:rsid w:val="009629C5"/>
    <w:rsid w:val="00964255"/>
    <w:rsid w:val="00965F05"/>
    <w:rsid w:val="00966B82"/>
    <w:rsid w:val="0096718F"/>
    <w:rsid w:val="00967210"/>
    <w:rsid w:val="009726A7"/>
    <w:rsid w:val="00973510"/>
    <w:rsid w:val="00974645"/>
    <w:rsid w:val="00975EBB"/>
    <w:rsid w:val="00976F5F"/>
    <w:rsid w:val="009772F9"/>
    <w:rsid w:val="009807D8"/>
    <w:rsid w:val="00981A4E"/>
    <w:rsid w:val="00981C97"/>
    <w:rsid w:val="0098211F"/>
    <w:rsid w:val="009827BC"/>
    <w:rsid w:val="00982F36"/>
    <w:rsid w:val="00983149"/>
    <w:rsid w:val="00983EBA"/>
    <w:rsid w:val="00983F6D"/>
    <w:rsid w:val="0098527B"/>
    <w:rsid w:val="00985D20"/>
    <w:rsid w:val="00985DDD"/>
    <w:rsid w:val="009870A9"/>
    <w:rsid w:val="00987119"/>
    <w:rsid w:val="00987A26"/>
    <w:rsid w:val="0099100C"/>
    <w:rsid w:val="00992A09"/>
    <w:rsid w:val="00994811"/>
    <w:rsid w:val="00995E1A"/>
    <w:rsid w:val="00996171"/>
    <w:rsid w:val="00996AAE"/>
    <w:rsid w:val="009973E6"/>
    <w:rsid w:val="00997405"/>
    <w:rsid w:val="009A34BB"/>
    <w:rsid w:val="009A3E90"/>
    <w:rsid w:val="009A4FBA"/>
    <w:rsid w:val="009A5FB3"/>
    <w:rsid w:val="009B13BB"/>
    <w:rsid w:val="009B30ED"/>
    <w:rsid w:val="009B46DF"/>
    <w:rsid w:val="009B6887"/>
    <w:rsid w:val="009B79E6"/>
    <w:rsid w:val="009C03D7"/>
    <w:rsid w:val="009C38FE"/>
    <w:rsid w:val="009C3FC7"/>
    <w:rsid w:val="009C4160"/>
    <w:rsid w:val="009C41D2"/>
    <w:rsid w:val="009C452E"/>
    <w:rsid w:val="009C5A4F"/>
    <w:rsid w:val="009C6C58"/>
    <w:rsid w:val="009C77DE"/>
    <w:rsid w:val="009D0FD5"/>
    <w:rsid w:val="009D1D25"/>
    <w:rsid w:val="009D1DCC"/>
    <w:rsid w:val="009D3805"/>
    <w:rsid w:val="009D5422"/>
    <w:rsid w:val="009E0011"/>
    <w:rsid w:val="009E06AE"/>
    <w:rsid w:val="009E31F9"/>
    <w:rsid w:val="009E3E2D"/>
    <w:rsid w:val="009F07DF"/>
    <w:rsid w:val="009F10B4"/>
    <w:rsid w:val="009F10D2"/>
    <w:rsid w:val="009F1841"/>
    <w:rsid w:val="009F3CB8"/>
    <w:rsid w:val="009F4193"/>
    <w:rsid w:val="009F4298"/>
    <w:rsid w:val="009F518B"/>
    <w:rsid w:val="009F5603"/>
    <w:rsid w:val="009F59AF"/>
    <w:rsid w:val="009F7094"/>
    <w:rsid w:val="00A0115A"/>
    <w:rsid w:val="00A02B5B"/>
    <w:rsid w:val="00A04A45"/>
    <w:rsid w:val="00A04D71"/>
    <w:rsid w:val="00A07297"/>
    <w:rsid w:val="00A107D5"/>
    <w:rsid w:val="00A10F1C"/>
    <w:rsid w:val="00A12513"/>
    <w:rsid w:val="00A1253D"/>
    <w:rsid w:val="00A12746"/>
    <w:rsid w:val="00A15C66"/>
    <w:rsid w:val="00A15D7B"/>
    <w:rsid w:val="00A15FE8"/>
    <w:rsid w:val="00A16268"/>
    <w:rsid w:val="00A175B1"/>
    <w:rsid w:val="00A20374"/>
    <w:rsid w:val="00A21B4F"/>
    <w:rsid w:val="00A22102"/>
    <w:rsid w:val="00A242A3"/>
    <w:rsid w:val="00A25814"/>
    <w:rsid w:val="00A2671D"/>
    <w:rsid w:val="00A30CA8"/>
    <w:rsid w:val="00A320D2"/>
    <w:rsid w:val="00A34DCD"/>
    <w:rsid w:val="00A357F7"/>
    <w:rsid w:val="00A35B26"/>
    <w:rsid w:val="00A35F67"/>
    <w:rsid w:val="00A362F4"/>
    <w:rsid w:val="00A37AE6"/>
    <w:rsid w:val="00A37D2F"/>
    <w:rsid w:val="00A37DD2"/>
    <w:rsid w:val="00A42BF9"/>
    <w:rsid w:val="00A43AE0"/>
    <w:rsid w:val="00A43EEF"/>
    <w:rsid w:val="00A44A73"/>
    <w:rsid w:val="00A468B6"/>
    <w:rsid w:val="00A46AEF"/>
    <w:rsid w:val="00A503FF"/>
    <w:rsid w:val="00A511D9"/>
    <w:rsid w:val="00A55DF5"/>
    <w:rsid w:val="00A562CC"/>
    <w:rsid w:val="00A567E5"/>
    <w:rsid w:val="00A61B3D"/>
    <w:rsid w:val="00A6369B"/>
    <w:rsid w:val="00A63EB5"/>
    <w:rsid w:val="00A63FFC"/>
    <w:rsid w:val="00A6533A"/>
    <w:rsid w:val="00A67D04"/>
    <w:rsid w:val="00A705BD"/>
    <w:rsid w:val="00A7205B"/>
    <w:rsid w:val="00A729A3"/>
    <w:rsid w:val="00A76C45"/>
    <w:rsid w:val="00A77E23"/>
    <w:rsid w:val="00A802BA"/>
    <w:rsid w:val="00A80308"/>
    <w:rsid w:val="00A854A3"/>
    <w:rsid w:val="00A85E61"/>
    <w:rsid w:val="00A86884"/>
    <w:rsid w:val="00A94A14"/>
    <w:rsid w:val="00A94BAE"/>
    <w:rsid w:val="00A95185"/>
    <w:rsid w:val="00A95B0F"/>
    <w:rsid w:val="00AA136F"/>
    <w:rsid w:val="00AA13C1"/>
    <w:rsid w:val="00AA2571"/>
    <w:rsid w:val="00AA29EA"/>
    <w:rsid w:val="00AA2E39"/>
    <w:rsid w:val="00AA360E"/>
    <w:rsid w:val="00AA3CA9"/>
    <w:rsid w:val="00AA68BE"/>
    <w:rsid w:val="00AB020D"/>
    <w:rsid w:val="00AB0EE5"/>
    <w:rsid w:val="00AB187B"/>
    <w:rsid w:val="00AB1D4E"/>
    <w:rsid w:val="00AB4A89"/>
    <w:rsid w:val="00AB4F14"/>
    <w:rsid w:val="00AB6031"/>
    <w:rsid w:val="00AB6DD2"/>
    <w:rsid w:val="00AB6FAD"/>
    <w:rsid w:val="00AB707C"/>
    <w:rsid w:val="00AB725E"/>
    <w:rsid w:val="00AB7B18"/>
    <w:rsid w:val="00AC0A34"/>
    <w:rsid w:val="00AC0C7A"/>
    <w:rsid w:val="00AC1142"/>
    <w:rsid w:val="00AC1C27"/>
    <w:rsid w:val="00AC40C4"/>
    <w:rsid w:val="00AC4239"/>
    <w:rsid w:val="00AC46B8"/>
    <w:rsid w:val="00AC6775"/>
    <w:rsid w:val="00AC6C1B"/>
    <w:rsid w:val="00AC79A3"/>
    <w:rsid w:val="00AD0881"/>
    <w:rsid w:val="00AD0A5D"/>
    <w:rsid w:val="00AD105D"/>
    <w:rsid w:val="00AD12B2"/>
    <w:rsid w:val="00AD1416"/>
    <w:rsid w:val="00AD1972"/>
    <w:rsid w:val="00AD1AC6"/>
    <w:rsid w:val="00AD1DFB"/>
    <w:rsid w:val="00AD1EFA"/>
    <w:rsid w:val="00AD33C5"/>
    <w:rsid w:val="00AD48EB"/>
    <w:rsid w:val="00AD555D"/>
    <w:rsid w:val="00AD55D5"/>
    <w:rsid w:val="00AD75F7"/>
    <w:rsid w:val="00AE10C6"/>
    <w:rsid w:val="00AE184B"/>
    <w:rsid w:val="00AE201C"/>
    <w:rsid w:val="00AE258C"/>
    <w:rsid w:val="00AE3457"/>
    <w:rsid w:val="00AE4AC7"/>
    <w:rsid w:val="00AE527D"/>
    <w:rsid w:val="00AE54EA"/>
    <w:rsid w:val="00AE6293"/>
    <w:rsid w:val="00AF12C4"/>
    <w:rsid w:val="00AF1CD0"/>
    <w:rsid w:val="00AF2761"/>
    <w:rsid w:val="00AF3EA8"/>
    <w:rsid w:val="00AF7BAF"/>
    <w:rsid w:val="00B00784"/>
    <w:rsid w:val="00B045E2"/>
    <w:rsid w:val="00B04DE3"/>
    <w:rsid w:val="00B0666D"/>
    <w:rsid w:val="00B06FB5"/>
    <w:rsid w:val="00B0745C"/>
    <w:rsid w:val="00B07C83"/>
    <w:rsid w:val="00B109AD"/>
    <w:rsid w:val="00B11554"/>
    <w:rsid w:val="00B12642"/>
    <w:rsid w:val="00B16237"/>
    <w:rsid w:val="00B167EA"/>
    <w:rsid w:val="00B17114"/>
    <w:rsid w:val="00B175C7"/>
    <w:rsid w:val="00B176C2"/>
    <w:rsid w:val="00B17B94"/>
    <w:rsid w:val="00B20F86"/>
    <w:rsid w:val="00B2222E"/>
    <w:rsid w:val="00B22F00"/>
    <w:rsid w:val="00B23101"/>
    <w:rsid w:val="00B24F2F"/>
    <w:rsid w:val="00B253AF"/>
    <w:rsid w:val="00B263BE"/>
    <w:rsid w:val="00B27ADD"/>
    <w:rsid w:val="00B30635"/>
    <w:rsid w:val="00B307FA"/>
    <w:rsid w:val="00B30FA8"/>
    <w:rsid w:val="00B31E29"/>
    <w:rsid w:val="00B33AEF"/>
    <w:rsid w:val="00B347F1"/>
    <w:rsid w:val="00B35119"/>
    <w:rsid w:val="00B3542F"/>
    <w:rsid w:val="00B35691"/>
    <w:rsid w:val="00B40F66"/>
    <w:rsid w:val="00B4348E"/>
    <w:rsid w:val="00B45D65"/>
    <w:rsid w:val="00B47239"/>
    <w:rsid w:val="00B500E1"/>
    <w:rsid w:val="00B51107"/>
    <w:rsid w:val="00B527E6"/>
    <w:rsid w:val="00B52E59"/>
    <w:rsid w:val="00B531B0"/>
    <w:rsid w:val="00B533D0"/>
    <w:rsid w:val="00B5457E"/>
    <w:rsid w:val="00B551BA"/>
    <w:rsid w:val="00B562FC"/>
    <w:rsid w:val="00B563F1"/>
    <w:rsid w:val="00B5671E"/>
    <w:rsid w:val="00B571A4"/>
    <w:rsid w:val="00B606BD"/>
    <w:rsid w:val="00B6470F"/>
    <w:rsid w:val="00B6606E"/>
    <w:rsid w:val="00B71C3C"/>
    <w:rsid w:val="00B85474"/>
    <w:rsid w:val="00B86968"/>
    <w:rsid w:val="00B86A77"/>
    <w:rsid w:val="00B86AAE"/>
    <w:rsid w:val="00B86B36"/>
    <w:rsid w:val="00B86DB2"/>
    <w:rsid w:val="00B87093"/>
    <w:rsid w:val="00B87AC7"/>
    <w:rsid w:val="00B9062C"/>
    <w:rsid w:val="00B92B2A"/>
    <w:rsid w:val="00B93E49"/>
    <w:rsid w:val="00B954EE"/>
    <w:rsid w:val="00B95777"/>
    <w:rsid w:val="00B9712B"/>
    <w:rsid w:val="00B9717B"/>
    <w:rsid w:val="00BA0D6D"/>
    <w:rsid w:val="00BA1460"/>
    <w:rsid w:val="00BA4133"/>
    <w:rsid w:val="00BA4397"/>
    <w:rsid w:val="00BA4EF7"/>
    <w:rsid w:val="00BA51B6"/>
    <w:rsid w:val="00BA5733"/>
    <w:rsid w:val="00BB2295"/>
    <w:rsid w:val="00BB2F73"/>
    <w:rsid w:val="00BB3A25"/>
    <w:rsid w:val="00BB3FCA"/>
    <w:rsid w:val="00BB4DC9"/>
    <w:rsid w:val="00BB4E77"/>
    <w:rsid w:val="00BB50F0"/>
    <w:rsid w:val="00BB6360"/>
    <w:rsid w:val="00BB6F9E"/>
    <w:rsid w:val="00BB72AF"/>
    <w:rsid w:val="00BC0073"/>
    <w:rsid w:val="00BC046F"/>
    <w:rsid w:val="00BC08A2"/>
    <w:rsid w:val="00BC1452"/>
    <w:rsid w:val="00BC231C"/>
    <w:rsid w:val="00BC335B"/>
    <w:rsid w:val="00BC4FAE"/>
    <w:rsid w:val="00BC6781"/>
    <w:rsid w:val="00BC7839"/>
    <w:rsid w:val="00BC7B63"/>
    <w:rsid w:val="00BC7BD0"/>
    <w:rsid w:val="00BD0DA9"/>
    <w:rsid w:val="00BD19D6"/>
    <w:rsid w:val="00BD2084"/>
    <w:rsid w:val="00BD3C06"/>
    <w:rsid w:val="00BD4281"/>
    <w:rsid w:val="00BD5013"/>
    <w:rsid w:val="00BD55FD"/>
    <w:rsid w:val="00BD5886"/>
    <w:rsid w:val="00BD6DF2"/>
    <w:rsid w:val="00BD757E"/>
    <w:rsid w:val="00BE0FD3"/>
    <w:rsid w:val="00BE0FDE"/>
    <w:rsid w:val="00BE536E"/>
    <w:rsid w:val="00BE64F9"/>
    <w:rsid w:val="00BE7924"/>
    <w:rsid w:val="00BF2872"/>
    <w:rsid w:val="00BF3C7D"/>
    <w:rsid w:val="00BF4A9D"/>
    <w:rsid w:val="00BF5BDC"/>
    <w:rsid w:val="00C01A10"/>
    <w:rsid w:val="00C01B7A"/>
    <w:rsid w:val="00C04D13"/>
    <w:rsid w:val="00C0592D"/>
    <w:rsid w:val="00C0595D"/>
    <w:rsid w:val="00C05D0A"/>
    <w:rsid w:val="00C07E9F"/>
    <w:rsid w:val="00C10E7B"/>
    <w:rsid w:val="00C124CE"/>
    <w:rsid w:val="00C13938"/>
    <w:rsid w:val="00C13BE9"/>
    <w:rsid w:val="00C14EA3"/>
    <w:rsid w:val="00C15F97"/>
    <w:rsid w:val="00C17082"/>
    <w:rsid w:val="00C205C5"/>
    <w:rsid w:val="00C20918"/>
    <w:rsid w:val="00C22728"/>
    <w:rsid w:val="00C23AC0"/>
    <w:rsid w:val="00C26F49"/>
    <w:rsid w:val="00C275A3"/>
    <w:rsid w:val="00C30095"/>
    <w:rsid w:val="00C30A17"/>
    <w:rsid w:val="00C30F81"/>
    <w:rsid w:val="00C31BBA"/>
    <w:rsid w:val="00C32B8C"/>
    <w:rsid w:val="00C33338"/>
    <w:rsid w:val="00C3338A"/>
    <w:rsid w:val="00C333AE"/>
    <w:rsid w:val="00C334FA"/>
    <w:rsid w:val="00C341F9"/>
    <w:rsid w:val="00C34759"/>
    <w:rsid w:val="00C34856"/>
    <w:rsid w:val="00C359E7"/>
    <w:rsid w:val="00C36410"/>
    <w:rsid w:val="00C402D1"/>
    <w:rsid w:val="00C41A9C"/>
    <w:rsid w:val="00C5193B"/>
    <w:rsid w:val="00C51D42"/>
    <w:rsid w:val="00C51E79"/>
    <w:rsid w:val="00C52F78"/>
    <w:rsid w:val="00C53BE7"/>
    <w:rsid w:val="00C54837"/>
    <w:rsid w:val="00C575E6"/>
    <w:rsid w:val="00C605E3"/>
    <w:rsid w:val="00C62B9E"/>
    <w:rsid w:val="00C638E3"/>
    <w:rsid w:val="00C63EC0"/>
    <w:rsid w:val="00C65F9D"/>
    <w:rsid w:val="00C660B6"/>
    <w:rsid w:val="00C66B26"/>
    <w:rsid w:val="00C6751C"/>
    <w:rsid w:val="00C70CD7"/>
    <w:rsid w:val="00C70D0D"/>
    <w:rsid w:val="00C71878"/>
    <w:rsid w:val="00C75EF1"/>
    <w:rsid w:val="00C767CB"/>
    <w:rsid w:val="00C81064"/>
    <w:rsid w:val="00C81E81"/>
    <w:rsid w:val="00C824E2"/>
    <w:rsid w:val="00C827FF"/>
    <w:rsid w:val="00C84142"/>
    <w:rsid w:val="00C84E1D"/>
    <w:rsid w:val="00C859B6"/>
    <w:rsid w:val="00C8627B"/>
    <w:rsid w:val="00C90A5F"/>
    <w:rsid w:val="00C92861"/>
    <w:rsid w:val="00C92D09"/>
    <w:rsid w:val="00C94310"/>
    <w:rsid w:val="00C95F07"/>
    <w:rsid w:val="00C9655E"/>
    <w:rsid w:val="00C97966"/>
    <w:rsid w:val="00C97AE6"/>
    <w:rsid w:val="00CA05CC"/>
    <w:rsid w:val="00CA1FEB"/>
    <w:rsid w:val="00CB083C"/>
    <w:rsid w:val="00CB16C3"/>
    <w:rsid w:val="00CB365B"/>
    <w:rsid w:val="00CB5D92"/>
    <w:rsid w:val="00CB64DE"/>
    <w:rsid w:val="00CB6803"/>
    <w:rsid w:val="00CB6A65"/>
    <w:rsid w:val="00CB6C1F"/>
    <w:rsid w:val="00CB7AEF"/>
    <w:rsid w:val="00CC0A74"/>
    <w:rsid w:val="00CC1772"/>
    <w:rsid w:val="00CC3658"/>
    <w:rsid w:val="00CC420B"/>
    <w:rsid w:val="00CC622E"/>
    <w:rsid w:val="00CD2CAA"/>
    <w:rsid w:val="00CD35D9"/>
    <w:rsid w:val="00CD3CD4"/>
    <w:rsid w:val="00CD535F"/>
    <w:rsid w:val="00CD5E1F"/>
    <w:rsid w:val="00CD5EC4"/>
    <w:rsid w:val="00CE0176"/>
    <w:rsid w:val="00CE4FE3"/>
    <w:rsid w:val="00CE5A5D"/>
    <w:rsid w:val="00CE6990"/>
    <w:rsid w:val="00CE706E"/>
    <w:rsid w:val="00CE70D5"/>
    <w:rsid w:val="00CE720F"/>
    <w:rsid w:val="00CF0B7F"/>
    <w:rsid w:val="00CF19E2"/>
    <w:rsid w:val="00CF4447"/>
    <w:rsid w:val="00CF55FE"/>
    <w:rsid w:val="00CF6CBF"/>
    <w:rsid w:val="00CF7507"/>
    <w:rsid w:val="00D001C2"/>
    <w:rsid w:val="00D0064D"/>
    <w:rsid w:val="00D00701"/>
    <w:rsid w:val="00D00742"/>
    <w:rsid w:val="00D00C5F"/>
    <w:rsid w:val="00D0147B"/>
    <w:rsid w:val="00D014FF"/>
    <w:rsid w:val="00D01C23"/>
    <w:rsid w:val="00D02494"/>
    <w:rsid w:val="00D02C3F"/>
    <w:rsid w:val="00D02DDF"/>
    <w:rsid w:val="00D0333E"/>
    <w:rsid w:val="00D040F5"/>
    <w:rsid w:val="00D044E5"/>
    <w:rsid w:val="00D05350"/>
    <w:rsid w:val="00D0583B"/>
    <w:rsid w:val="00D06C79"/>
    <w:rsid w:val="00D11345"/>
    <w:rsid w:val="00D13023"/>
    <w:rsid w:val="00D13157"/>
    <w:rsid w:val="00D1379E"/>
    <w:rsid w:val="00D13E98"/>
    <w:rsid w:val="00D14B2D"/>
    <w:rsid w:val="00D14E01"/>
    <w:rsid w:val="00D157F1"/>
    <w:rsid w:val="00D17165"/>
    <w:rsid w:val="00D219B9"/>
    <w:rsid w:val="00D21DDE"/>
    <w:rsid w:val="00D22EC5"/>
    <w:rsid w:val="00D318FC"/>
    <w:rsid w:val="00D328B5"/>
    <w:rsid w:val="00D32DE8"/>
    <w:rsid w:val="00D33A07"/>
    <w:rsid w:val="00D345FC"/>
    <w:rsid w:val="00D364DA"/>
    <w:rsid w:val="00D3650F"/>
    <w:rsid w:val="00D36F5B"/>
    <w:rsid w:val="00D376BA"/>
    <w:rsid w:val="00D37FC1"/>
    <w:rsid w:val="00D40F80"/>
    <w:rsid w:val="00D41DB0"/>
    <w:rsid w:val="00D42145"/>
    <w:rsid w:val="00D42744"/>
    <w:rsid w:val="00D43282"/>
    <w:rsid w:val="00D43867"/>
    <w:rsid w:val="00D43DEF"/>
    <w:rsid w:val="00D47249"/>
    <w:rsid w:val="00D47BBC"/>
    <w:rsid w:val="00D47E5E"/>
    <w:rsid w:val="00D50117"/>
    <w:rsid w:val="00D5245B"/>
    <w:rsid w:val="00D53719"/>
    <w:rsid w:val="00D53E2F"/>
    <w:rsid w:val="00D541D0"/>
    <w:rsid w:val="00D547D7"/>
    <w:rsid w:val="00D54DB4"/>
    <w:rsid w:val="00D552B9"/>
    <w:rsid w:val="00D55721"/>
    <w:rsid w:val="00D56095"/>
    <w:rsid w:val="00D56EC9"/>
    <w:rsid w:val="00D56F24"/>
    <w:rsid w:val="00D62F8D"/>
    <w:rsid w:val="00D63191"/>
    <w:rsid w:val="00D6658D"/>
    <w:rsid w:val="00D66CB7"/>
    <w:rsid w:val="00D67F48"/>
    <w:rsid w:val="00D72201"/>
    <w:rsid w:val="00D72246"/>
    <w:rsid w:val="00D72286"/>
    <w:rsid w:val="00D728CF"/>
    <w:rsid w:val="00D72B06"/>
    <w:rsid w:val="00D7366A"/>
    <w:rsid w:val="00D73C77"/>
    <w:rsid w:val="00D75EF0"/>
    <w:rsid w:val="00D766C1"/>
    <w:rsid w:val="00D803BE"/>
    <w:rsid w:val="00D803F6"/>
    <w:rsid w:val="00D80CE2"/>
    <w:rsid w:val="00D82BCB"/>
    <w:rsid w:val="00D833C7"/>
    <w:rsid w:val="00D83619"/>
    <w:rsid w:val="00D856D6"/>
    <w:rsid w:val="00D86251"/>
    <w:rsid w:val="00D90378"/>
    <w:rsid w:val="00D924AD"/>
    <w:rsid w:val="00D94275"/>
    <w:rsid w:val="00D94CD1"/>
    <w:rsid w:val="00DA0442"/>
    <w:rsid w:val="00DA0508"/>
    <w:rsid w:val="00DA090E"/>
    <w:rsid w:val="00DA1AD7"/>
    <w:rsid w:val="00DA22E5"/>
    <w:rsid w:val="00DA24E9"/>
    <w:rsid w:val="00DA2C75"/>
    <w:rsid w:val="00DA2ED7"/>
    <w:rsid w:val="00DA43DC"/>
    <w:rsid w:val="00DA4CA0"/>
    <w:rsid w:val="00DA63A9"/>
    <w:rsid w:val="00DA7889"/>
    <w:rsid w:val="00DB0415"/>
    <w:rsid w:val="00DB184C"/>
    <w:rsid w:val="00DB18FD"/>
    <w:rsid w:val="00DB1B6D"/>
    <w:rsid w:val="00DB21AC"/>
    <w:rsid w:val="00DB311E"/>
    <w:rsid w:val="00DB3EFF"/>
    <w:rsid w:val="00DB620C"/>
    <w:rsid w:val="00DB686E"/>
    <w:rsid w:val="00DB6B4D"/>
    <w:rsid w:val="00DB79F1"/>
    <w:rsid w:val="00DC06EE"/>
    <w:rsid w:val="00DC1585"/>
    <w:rsid w:val="00DC17C3"/>
    <w:rsid w:val="00DC2D5D"/>
    <w:rsid w:val="00DC432B"/>
    <w:rsid w:val="00DC53B6"/>
    <w:rsid w:val="00DC5BAF"/>
    <w:rsid w:val="00DD20D0"/>
    <w:rsid w:val="00DD2295"/>
    <w:rsid w:val="00DD402E"/>
    <w:rsid w:val="00DD5A29"/>
    <w:rsid w:val="00DD6A74"/>
    <w:rsid w:val="00DE03F0"/>
    <w:rsid w:val="00DE0AD7"/>
    <w:rsid w:val="00DE2015"/>
    <w:rsid w:val="00DE4095"/>
    <w:rsid w:val="00DE422E"/>
    <w:rsid w:val="00DE4CED"/>
    <w:rsid w:val="00DE5076"/>
    <w:rsid w:val="00DE5631"/>
    <w:rsid w:val="00DE56A2"/>
    <w:rsid w:val="00DE6059"/>
    <w:rsid w:val="00DE6BEB"/>
    <w:rsid w:val="00DE7740"/>
    <w:rsid w:val="00DE7B80"/>
    <w:rsid w:val="00DF018E"/>
    <w:rsid w:val="00DF0B1B"/>
    <w:rsid w:val="00DF1600"/>
    <w:rsid w:val="00DF2075"/>
    <w:rsid w:val="00DF4030"/>
    <w:rsid w:val="00DF5A3F"/>
    <w:rsid w:val="00DF5B29"/>
    <w:rsid w:val="00DF6CFC"/>
    <w:rsid w:val="00E00DEB"/>
    <w:rsid w:val="00E0318A"/>
    <w:rsid w:val="00E03C98"/>
    <w:rsid w:val="00E06345"/>
    <w:rsid w:val="00E073EC"/>
    <w:rsid w:val="00E115A3"/>
    <w:rsid w:val="00E13112"/>
    <w:rsid w:val="00E13668"/>
    <w:rsid w:val="00E13D7C"/>
    <w:rsid w:val="00E1541F"/>
    <w:rsid w:val="00E15513"/>
    <w:rsid w:val="00E16D85"/>
    <w:rsid w:val="00E17258"/>
    <w:rsid w:val="00E178D1"/>
    <w:rsid w:val="00E17EC1"/>
    <w:rsid w:val="00E2248D"/>
    <w:rsid w:val="00E229D7"/>
    <w:rsid w:val="00E23DAD"/>
    <w:rsid w:val="00E25D85"/>
    <w:rsid w:val="00E262CF"/>
    <w:rsid w:val="00E26C74"/>
    <w:rsid w:val="00E26F7E"/>
    <w:rsid w:val="00E317B0"/>
    <w:rsid w:val="00E31EF0"/>
    <w:rsid w:val="00E327C0"/>
    <w:rsid w:val="00E33252"/>
    <w:rsid w:val="00E34029"/>
    <w:rsid w:val="00E3633B"/>
    <w:rsid w:val="00E3665B"/>
    <w:rsid w:val="00E36E20"/>
    <w:rsid w:val="00E37B3B"/>
    <w:rsid w:val="00E40E4B"/>
    <w:rsid w:val="00E42AC5"/>
    <w:rsid w:val="00E42EDD"/>
    <w:rsid w:val="00E43BA6"/>
    <w:rsid w:val="00E46319"/>
    <w:rsid w:val="00E4647D"/>
    <w:rsid w:val="00E47269"/>
    <w:rsid w:val="00E5082E"/>
    <w:rsid w:val="00E5195F"/>
    <w:rsid w:val="00E52ADC"/>
    <w:rsid w:val="00E5541B"/>
    <w:rsid w:val="00E55EA0"/>
    <w:rsid w:val="00E56CBB"/>
    <w:rsid w:val="00E61B8A"/>
    <w:rsid w:val="00E624E4"/>
    <w:rsid w:val="00E63AE7"/>
    <w:rsid w:val="00E64CD5"/>
    <w:rsid w:val="00E70D9D"/>
    <w:rsid w:val="00E72AC5"/>
    <w:rsid w:val="00E7390C"/>
    <w:rsid w:val="00E73F92"/>
    <w:rsid w:val="00E74E23"/>
    <w:rsid w:val="00E76AE6"/>
    <w:rsid w:val="00E77AB8"/>
    <w:rsid w:val="00E77E73"/>
    <w:rsid w:val="00E81FC6"/>
    <w:rsid w:val="00E8336F"/>
    <w:rsid w:val="00E83622"/>
    <w:rsid w:val="00E84B50"/>
    <w:rsid w:val="00E857A6"/>
    <w:rsid w:val="00E85BD4"/>
    <w:rsid w:val="00E86A16"/>
    <w:rsid w:val="00E86ABE"/>
    <w:rsid w:val="00E87B01"/>
    <w:rsid w:val="00E9173B"/>
    <w:rsid w:val="00E93214"/>
    <w:rsid w:val="00E9338E"/>
    <w:rsid w:val="00E943FA"/>
    <w:rsid w:val="00E94A76"/>
    <w:rsid w:val="00E94CBF"/>
    <w:rsid w:val="00E95A86"/>
    <w:rsid w:val="00E95C70"/>
    <w:rsid w:val="00E97747"/>
    <w:rsid w:val="00EA093A"/>
    <w:rsid w:val="00EA5770"/>
    <w:rsid w:val="00EA773E"/>
    <w:rsid w:val="00EA78BF"/>
    <w:rsid w:val="00EA7A5E"/>
    <w:rsid w:val="00EB0A82"/>
    <w:rsid w:val="00EB1ED9"/>
    <w:rsid w:val="00EB4065"/>
    <w:rsid w:val="00EB4CE8"/>
    <w:rsid w:val="00EB5789"/>
    <w:rsid w:val="00EB59FC"/>
    <w:rsid w:val="00EB76B3"/>
    <w:rsid w:val="00EC0C93"/>
    <w:rsid w:val="00EC0E13"/>
    <w:rsid w:val="00EC1F83"/>
    <w:rsid w:val="00EC2C37"/>
    <w:rsid w:val="00EC2E2A"/>
    <w:rsid w:val="00EC476C"/>
    <w:rsid w:val="00EC497F"/>
    <w:rsid w:val="00EC4CA0"/>
    <w:rsid w:val="00EC55C6"/>
    <w:rsid w:val="00EC5D0E"/>
    <w:rsid w:val="00EC5DD7"/>
    <w:rsid w:val="00EC5FDD"/>
    <w:rsid w:val="00EC7A18"/>
    <w:rsid w:val="00ED0CB3"/>
    <w:rsid w:val="00EE09DC"/>
    <w:rsid w:val="00EE3F57"/>
    <w:rsid w:val="00EE4596"/>
    <w:rsid w:val="00EE51CC"/>
    <w:rsid w:val="00EE6D0E"/>
    <w:rsid w:val="00EE7149"/>
    <w:rsid w:val="00EF0152"/>
    <w:rsid w:val="00EF49B4"/>
    <w:rsid w:val="00EF79A1"/>
    <w:rsid w:val="00EF7F46"/>
    <w:rsid w:val="00F00888"/>
    <w:rsid w:val="00F01725"/>
    <w:rsid w:val="00F021D2"/>
    <w:rsid w:val="00F03A6C"/>
    <w:rsid w:val="00F0540D"/>
    <w:rsid w:val="00F064DF"/>
    <w:rsid w:val="00F1004B"/>
    <w:rsid w:val="00F10699"/>
    <w:rsid w:val="00F10B75"/>
    <w:rsid w:val="00F11767"/>
    <w:rsid w:val="00F12CDB"/>
    <w:rsid w:val="00F15122"/>
    <w:rsid w:val="00F15417"/>
    <w:rsid w:val="00F16985"/>
    <w:rsid w:val="00F16E35"/>
    <w:rsid w:val="00F17A9B"/>
    <w:rsid w:val="00F21BE3"/>
    <w:rsid w:val="00F2423A"/>
    <w:rsid w:val="00F270BB"/>
    <w:rsid w:val="00F31530"/>
    <w:rsid w:val="00F31FE9"/>
    <w:rsid w:val="00F336FD"/>
    <w:rsid w:val="00F40090"/>
    <w:rsid w:val="00F4056F"/>
    <w:rsid w:val="00F41785"/>
    <w:rsid w:val="00F41DCF"/>
    <w:rsid w:val="00F447C7"/>
    <w:rsid w:val="00F45066"/>
    <w:rsid w:val="00F4570A"/>
    <w:rsid w:val="00F47023"/>
    <w:rsid w:val="00F471CD"/>
    <w:rsid w:val="00F50259"/>
    <w:rsid w:val="00F50D3B"/>
    <w:rsid w:val="00F51BFE"/>
    <w:rsid w:val="00F52452"/>
    <w:rsid w:val="00F5357E"/>
    <w:rsid w:val="00F53A34"/>
    <w:rsid w:val="00F55147"/>
    <w:rsid w:val="00F5515B"/>
    <w:rsid w:val="00F57462"/>
    <w:rsid w:val="00F61F99"/>
    <w:rsid w:val="00F65B31"/>
    <w:rsid w:val="00F66AC0"/>
    <w:rsid w:val="00F66C9B"/>
    <w:rsid w:val="00F676A5"/>
    <w:rsid w:val="00F67819"/>
    <w:rsid w:val="00F67DEB"/>
    <w:rsid w:val="00F710E7"/>
    <w:rsid w:val="00F71540"/>
    <w:rsid w:val="00F715AB"/>
    <w:rsid w:val="00F7183D"/>
    <w:rsid w:val="00F7245F"/>
    <w:rsid w:val="00F73B5A"/>
    <w:rsid w:val="00F74D6D"/>
    <w:rsid w:val="00F76A39"/>
    <w:rsid w:val="00F806F8"/>
    <w:rsid w:val="00F81EBB"/>
    <w:rsid w:val="00F85AE8"/>
    <w:rsid w:val="00F85F29"/>
    <w:rsid w:val="00F906B2"/>
    <w:rsid w:val="00F90F6A"/>
    <w:rsid w:val="00F914BF"/>
    <w:rsid w:val="00F92FD3"/>
    <w:rsid w:val="00F9303B"/>
    <w:rsid w:val="00F93DA6"/>
    <w:rsid w:val="00F95D2F"/>
    <w:rsid w:val="00F96B48"/>
    <w:rsid w:val="00F97AAC"/>
    <w:rsid w:val="00FA126B"/>
    <w:rsid w:val="00FA51BD"/>
    <w:rsid w:val="00FA5984"/>
    <w:rsid w:val="00FA7751"/>
    <w:rsid w:val="00FB045A"/>
    <w:rsid w:val="00FB2A0B"/>
    <w:rsid w:val="00FB2BDC"/>
    <w:rsid w:val="00FC075B"/>
    <w:rsid w:val="00FC099C"/>
    <w:rsid w:val="00FC1B9A"/>
    <w:rsid w:val="00FC2D88"/>
    <w:rsid w:val="00FC4210"/>
    <w:rsid w:val="00FC61EB"/>
    <w:rsid w:val="00FC77BF"/>
    <w:rsid w:val="00FD12AB"/>
    <w:rsid w:val="00FD1A26"/>
    <w:rsid w:val="00FD69D7"/>
    <w:rsid w:val="00FD765A"/>
    <w:rsid w:val="00FD7BF2"/>
    <w:rsid w:val="00FE082E"/>
    <w:rsid w:val="00FE1928"/>
    <w:rsid w:val="00FE1B95"/>
    <w:rsid w:val="00FE2AC4"/>
    <w:rsid w:val="00FE53DA"/>
    <w:rsid w:val="00FE6886"/>
    <w:rsid w:val="00FE6A5E"/>
    <w:rsid w:val="00FE6DCB"/>
    <w:rsid w:val="00FE7B6A"/>
    <w:rsid w:val="00FE7D2E"/>
    <w:rsid w:val="00FE7EF5"/>
    <w:rsid w:val="00FF060B"/>
    <w:rsid w:val="00FF0C1C"/>
    <w:rsid w:val="00FF1258"/>
    <w:rsid w:val="00FF27EE"/>
    <w:rsid w:val="00FF2C79"/>
    <w:rsid w:val="00FF49A2"/>
    <w:rsid w:val="00FF5370"/>
    <w:rsid w:val="00FF5B74"/>
    <w:rsid w:val="00FF7AB7"/>
    <w:rsid w:val="013A0ABA"/>
    <w:rsid w:val="014E5476"/>
    <w:rsid w:val="01C95FA1"/>
    <w:rsid w:val="022071AC"/>
    <w:rsid w:val="026769C0"/>
    <w:rsid w:val="02CB15FC"/>
    <w:rsid w:val="03493885"/>
    <w:rsid w:val="035F6585"/>
    <w:rsid w:val="03B65C7A"/>
    <w:rsid w:val="03C729C0"/>
    <w:rsid w:val="03F41ED4"/>
    <w:rsid w:val="0400599E"/>
    <w:rsid w:val="04403A48"/>
    <w:rsid w:val="04575A7D"/>
    <w:rsid w:val="04E26BC2"/>
    <w:rsid w:val="04EA4C6E"/>
    <w:rsid w:val="04F021B9"/>
    <w:rsid w:val="051E7D89"/>
    <w:rsid w:val="05473E04"/>
    <w:rsid w:val="05484E67"/>
    <w:rsid w:val="05613347"/>
    <w:rsid w:val="05926391"/>
    <w:rsid w:val="05A6123B"/>
    <w:rsid w:val="05B27A8D"/>
    <w:rsid w:val="05E47094"/>
    <w:rsid w:val="05F37A5B"/>
    <w:rsid w:val="05F437ED"/>
    <w:rsid w:val="060413D9"/>
    <w:rsid w:val="066A186C"/>
    <w:rsid w:val="06727F2A"/>
    <w:rsid w:val="067B6C4E"/>
    <w:rsid w:val="06A10D9A"/>
    <w:rsid w:val="06D31BA3"/>
    <w:rsid w:val="06EA2C66"/>
    <w:rsid w:val="073A7456"/>
    <w:rsid w:val="0743105B"/>
    <w:rsid w:val="076A4435"/>
    <w:rsid w:val="07701776"/>
    <w:rsid w:val="07A26A9D"/>
    <w:rsid w:val="07A363B0"/>
    <w:rsid w:val="07BA3DAB"/>
    <w:rsid w:val="080B1173"/>
    <w:rsid w:val="081254FB"/>
    <w:rsid w:val="08267A14"/>
    <w:rsid w:val="084561DC"/>
    <w:rsid w:val="0873703B"/>
    <w:rsid w:val="08925FBE"/>
    <w:rsid w:val="08B40367"/>
    <w:rsid w:val="08E148A2"/>
    <w:rsid w:val="08E62AC4"/>
    <w:rsid w:val="08ED4F21"/>
    <w:rsid w:val="08F91F0F"/>
    <w:rsid w:val="0908155F"/>
    <w:rsid w:val="0992023E"/>
    <w:rsid w:val="09A6011F"/>
    <w:rsid w:val="09B40AFB"/>
    <w:rsid w:val="09B55D03"/>
    <w:rsid w:val="09C41329"/>
    <w:rsid w:val="09DC4559"/>
    <w:rsid w:val="09E55212"/>
    <w:rsid w:val="0A026A55"/>
    <w:rsid w:val="0A0F4868"/>
    <w:rsid w:val="0A6F1286"/>
    <w:rsid w:val="0A734CBA"/>
    <w:rsid w:val="0ADF3962"/>
    <w:rsid w:val="0B0F16A4"/>
    <w:rsid w:val="0B0F240D"/>
    <w:rsid w:val="0B474EDC"/>
    <w:rsid w:val="0B5C5AB9"/>
    <w:rsid w:val="0B6E4B6A"/>
    <w:rsid w:val="0B8A5CC8"/>
    <w:rsid w:val="0B923113"/>
    <w:rsid w:val="0BA92DEB"/>
    <w:rsid w:val="0BC43DB1"/>
    <w:rsid w:val="0BE1193B"/>
    <w:rsid w:val="0C7259D5"/>
    <w:rsid w:val="0C78587D"/>
    <w:rsid w:val="0CB32C66"/>
    <w:rsid w:val="0CC65BC1"/>
    <w:rsid w:val="0CC67B54"/>
    <w:rsid w:val="0CDD5804"/>
    <w:rsid w:val="0CE54D27"/>
    <w:rsid w:val="0CE82FFA"/>
    <w:rsid w:val="0D1B3BC8"/>
    <w:rsid w:val="0D5E59BF"/>
    <w:rsid w:val="0DCA5E56"/>
    <w:rsid w:val="0DEE3120"/>
    <w:rsid w:val="0E2E3FB0"/>
    <w:rsid w:val="0E333838"/>
    <w:rsid w:val="0E4E0A1F"/>
    <w:rsid w:val="0E6E3E58"/>
    <w:rsid w:val="0E713637"/>
    <w:rsid w:val="0E76610A"/>
    <w:rsid w:val="0EC8206A"/>
    <w:rsid w:val="0EDA64F8"/>
    <w:rsid w:val="0EF02599"/>
    <w:rsid w:val="0F11262A"/>
    <w:rsid w:val="0F3E7D86"/>
    <w:rsid w:val="0F5E0B87"/>
    <w:rsid w:val="0FBE6954"/>
    <w:rsid w:val="0FE73169"/>
    <w:rsid w:val="0FF66113"/>
    <w:rsid w:val="10093C2D"/>
    <w:rsid w:val="10133E51"/>
    <w:rsid w:val="103B5D63"/>
    <w:rsid w:val="103F69A3"/>
    <w:rsid w:val="104F4BBE"/>
    <w:rsid w:val="105D5DDE"/>
    <w:rsid w:val="107314BD"/>
    <w:rsid w:val="10DE0227"/>
    <w:rsid w:val="10E25FC6"/>
    <w:rsid w:val="10EE20D1"/>
    <w:rsid w:val="111623F2"/>
    <w:rsid w:val="111D18ED"/>
    <w:rsid w:val="11256B7A"/>
    <w:rsid w:val="112E2797"/>
    <w:rsid w:val="113601B9"/>
    <w:rsid w:val="115637EF"/>
    <w:rsid w:val="117138F2"/>
    <w:rsid w:val="117C1C8D"/>
    <w:rsid w:val="119726F2"/>
    <w:rsid w:val="11B87EE0"/>
    <w:rsid w:val="121359B9"/>
    <w:rsid w:val="122F0249"/>
    <w:rsid w:val="123B3698"/>
    <w:rsid w:val="1249176B"/>
    <w:rsid w:val="12744C42"/>
    <w:rsid w:val="128750E9"/>
    <w:rsid w:val="12947E6F"/>
    <w:rsid w:val="12DA21CB"/>
    <w:rsid w:val="12E7198C"/>
    <w:rsid w:val="12E91AE7"/>
    <w:rsid w:val="132B30D7"/>
    <w:rsid w:val="13332D46"/>
    <w:rsid w:val="134B7033"/>
    <w:rsid w:val="13B30B79"/>
    <w:rsid w:val="13EE76B2"/>
    <w:rsid w:val="1431643D"/>
    <w:rsid w:val="14762C4B"/>
    <w:rsid w:val="148C3A86"/>
    <w:rsid w:val="14D110C7"/>
    <w:rsid w:val="15080025"/>
    <w:rsid w:val="1528647B"/>
    <w:rsid w:val="1529002D"/>
    <w:rsid w:val="15635AB3"/>
    <w:rsid w:val="156E3A1D"/>
    <w:rsid w:val="1583205E"/>
    <w:rsid w:val="15AE19EC"/>
    <w:rsid w:val="15D42192"/>
    <w:rsid w:val="15F62E1B"/>
    <w:rsid w:val="166309C7"/>
    <w:rsid w:val="16E07347"/>
    <w:rsid w:val="16FD5EEA"/>
    <w:rsid w:val="17257DBF"/>
    <w:rsid w:val="17466B09"/>
    <w:rsid w:val="176D6D51"/>
    <w:rsid w:val="17800DA3"/>
    <w:rsid w:val="17D141D0"/>
    <w:rsid w:val="18142AAA"/>
    <w:rsid w:val="185A782C"/>
    <w:rsid w:val="18607C9C"/>
    <w:rsid w:val="18E623D1"/>
    <w:rsid w:val="18F64C81"/>
    <w:rsid w:val="19161216"/>
    <w:rsid w:val="19353F86"/>
    <w:rsid w:val="196058AF"/>
    <w:rsid w:val="1961054D"/>
    <w:rsid w:val="19656A9E"/>
    <w:rsid w:val="19870F6D"/>
    <w:rsid w:val="19B17845"/>
    <w:rsid w:val="19C854C2"/>
    <w:rsid w:val="19D013A8"/>
    <w:rsid w:val="19F10B8A"/>
    <w:rsid w:val="1A2865D9"/>
    <w:rsid w:val="1A330F92"/>
    <w:rsid w:val="1A4664AE"/>
    <w:rsid w:val="1A5B6863"/>
    <w:rsid w:val="1AC95423"/>
    <w:rsid w:val="1AD271C4"/>
    <w:rsid w:val="1AEA761F"/>
    <w:rsid w:val="1B0D4F6C"/>
    <w:rsid w:val="1B976402"/>
    <w:rsid w:val="1BB32FE1"/>
    <w:rsid w:val="1CAC524A"/>
    <w:rsid w:val="1CB16136"/>
    <w:rsid w:val="1CC1260E"/>
    <w:rsid w:val="1CD730C0"/>
    <w:rsid w:val="1D0D591B"/>
    <w:rsid w:val="1D126BF0"/>
    <w:rsid w:val="1D210778"/>
    <w:rsid w:val="1D2822BB"/>
    <w:rsid w:val="1D7313AC"/>
    <w:rsid w:val="1DB3091C"/>
    <w:rsid w:val="1DCA5625"/>
    <w:rsid w:val="1DE760E6"/>
    <w:rsid w:val="1E25149A"/>
    <w:rsid w:val="1E583AAC"/>
    <w:rsid w:val="1EC11982"/>
    <w:rsid w:val="1ED02EF4"/>
    <w:rsid w:val="1F2115DF"/>
    <w:rsid w:val="1F337C20"/>
    <w:rsid w:val="1F433666"/>
    <w:rsid w:val="1F6A1CC6"/>
    <w:rsid w:val="1FC61926"/>
    <w:rsid w:val="1FD9699A"/>
    <w:rsid w:val="202668A8"/>
    <w:rsid w:val="202B7276"/>
    <w:rsid w:val="203576D5"/>
    <w:rsid w:val="20842D5D"/>
    <w:rsid w:val="20FE7A56"/>
    <w:rsid w:val="210F35C4"/>
    <w:rsid w:val="21446FB4"/>
    <w:rsid w:val="217B5808"/>
    <w:rsid w:val="21835CEF"/>
    <w:rsid w:val="21A84F6F"/>
    <w:rsid w:val="220E25B2"/>
    <w:rsid w:val="22447233"/>
    <w:rsid w:val="22715BD6"/>
    <w:rsid w:val="22861306"/>
    <w:rsid w:val="22D761AE"/>
    <w:rsid w:val="22DC2D49"/>
    <w:rsid w:val="22E82894"/>
    <w:rsid w:val="22E973A9"/>
    <w:rsid w:val="23292A6C"/>
    <w:rsid w:val="2345533C"/>
    <w:rsid w:val="241E2DC6"/>
    <w:rsid w:val="245A0267"/>
    <w:rsid w:val="24E41B22"/>
    <w:rsid w:val="24FD5C81"/>
    <w:rsid w:val="252C254A"/>
    <w:rsid w:val="254E2E15"/>
    <w:rsid w:val="255227C8"/>
    <w:rsid w:val="25C75401"/>
    <w:rsid w:val="25DD4063"/>
    <w:rsid w:val="267937BF"/>
    <w:rsid w:val="269F4047"/>
    <w:rsid w:val="26BF31E2"/>
    <w:rsid w:val="26C65075"/>
    <w:rsid w:val="26F21E50"/>
    <w:rsid w:val="26F71AC9"/>
    <w:rsid w:val="27035360"/>
    <w:rsid w:val="271F2AB4"/>
    <w:rsid w:val="27B818C5"/>
    <w:rsid w:val="27E55E42"/>
    <w:rsid w:val="27F341C8"/>
    <w:rsid w:val="28026E51"/>
    <w:rsid w:val="281105C7"/>
    <w:rsid w:val="282316C6"/>
    <w:rsid w:val="28243B9A"/>
    <w:rsid w:val="2826548A"/>
    <w:rsid w:val="285F57F0"/>
    <w:rsid w:val="286E5757"/>
    <w:rsid w:val="28827EC0"/>
    <w:rsid w:val="28C80E8C"/>
    <w:rsid w:val="28FE3CCA"/>
    <w:rsid w:val="29377862"/>
    <w:rsid w:val="293A3857"/>
    <w:rsid w:val="29AA147B"/>
    <w:rsid w:val="29BE72E0"/>
    <w:rsid w:val="29C7735A"/>
    <w:rsid w:val="29FA1F95"/>
    <w:rsid w:val="2A18440C"/>
    <w:rsid w:val="2A2B1611"/>
    <w:rsid w:val="2A3B5FB8"/>
    <w:rsid w:val="2A800A97"/>
    <w:rsid w:val="2A942304"/>
    <w:rsid w:val="2AB33488"/>
    <w:rsid w:val="2ABC39C7"/>
    <w:rsid w:val="2AC556EF"/>
    <w:rsid w:val="2ACC5DAF"/>
    <w:rsid w:val="2B2A5681"/>
    <w:rsid w:val="2B3410BC"/>
    <w:rsid w:val="2B427946"/>
    <w:rsid w:val="2B452FB3"/>
    <w:rsid w:val="2B4B47C7"/>
    <w:rsid w:val="2B531BC3"/>
    <w:rsid w:val="2B642032"/>
    <w:rsid w:val="2B693E35"/>
    <w:rsid w:val="2B6F021A"/>
    <w:rsid w:val="2B93017F"/>
    <w:rsid w:val="2B9B6C29"/>
    <w:rsid w:val="2BBC7E39"/>
    <w:rsid w:val="2C14360C"/>
    <w:rsid w:val="2C1C16D9"/>
    <w:rsid w:val="2C526BF3"/>
    <w:rsid w:val="2C6936C0"/>
    <w:rsid w:val="2C6A0FC9"/>
    <w:rsid w:val="2CA6489C"/>
    <w:rsid w:val="2CEC7B43"/>
    <w:rsid w:val="2D0373CA"/>
    <w:rsid w:val="2D90162E"/>
    <w:rsid w:val="2DA82ABF"/>
    <w:rsid w:val="2E30282E"/>
    <w:rsid w:val="2E4A3384"/>
    <w:rsid w:val="2E631522"/>
    <w:rsid w:val="2EC5301A"/>
    <w:rsid w:val="2F086B75"/>
    <w:rsid w:val="2F150675"/>
    <w:rsid w:val="2FA84598"/>
    <w:rsid w:val="30723A17"/>
    <w:rsid w:val="30C7465C"/>
    <w:rsid w:val="30FD323C"/>
    <w:rsid w:val="31092CB7"/>
    <w:rsid w:val="311F48FE"/>
    <w:rsid w:val="31843B79"/>
    <w:rsid w:val="31BB5884"/>
    <w:rsid w:val="32C81AEF"/>
    <w:rsid w:val="32F66F42"/>
    <w:rsid w:val="33374CB0"/>
    <w:rsid w:val="334A2E1B"/>
    <w:rsid w:val="337D33A4"/>
    <w:rsid w:val="33C2100A"/>
    <w:rsid w:val="33E364DD"/>
    <w:rsid w:val="34120CE5"/>
    <w:rsid w:val="3420357A"/>
    <w:rsid w:val="34592CE5"/>
    <w:rsid w:val="346B0D60"/>
    <w:rsid w:val="34D85188"/>
    <w:rsid w:val="355A295C"/>
    <w:rsid w:val="35634BDD"/>
    <w:rsid w:val="358D1882"/>
    <w:rsid w:val="359F0B85"/>
    <w:rsid w:val="35E210B9"/>
    <w:rsid w:val="35E413AC"/>
    <w:rsid w:val="362F46AE"/>
    <w:rsid w:val="366749CF"/>
    <w:rsid w:val="367E492A"/>
    <w:rsid w:val="36E52858"/>
    <w:rsid w:val="3754024A"/>
    <w:rsid w:val="375663B6"/>
    <w:rsid w:val="38151A28"/>
    <w:rsid w:val="38167F9C"/>
    <w:rsid w:val="381B6092"/>
    <w:rsid w:val="3881543D"/>
    <w:rsid w:val="38880102"/>
    <w:rsid w:val="38A219F3"/>
    <w:rsid w:val="38BD52E1"/>
    <w:rsid w:val="38C7454A"/>
    <w:rsid w:val="38DF74C9"/>
    <w:rsid w:val="398623A5"/>
    <w:rsid w:val="39953432"/>
    <w:rsid w:val="399F46FB"/>
    <w:rsid w:val="39C41C40"/>
    <w:rsid w:val="39C44001"/>
    <w:rsid w:val="3A74322C"/>
    <w:rsid w:val="3AB02EF6"/>
    <w:rsid w:val="3ACD0F37"/>
    <w:rsid w:val="3ADF2479"/>
    <w:rsid w:val="3AFF0518"/>
    <w:rsid w:val="3B0A7EEC"/>
    <w:rsid w:val="3B1F0C61"/>
    <w:rsid w:val="3C937615"/>
    <w:rsid w:val="3C9F34E2"/>
    <w:rsid w:val="3D1216DC"/>
    <w:rsid w:val="3D2060B9"/>
    <w:rsid w:val="3D4811B5"/>
    <w:rsid w:val="3D75586D"/>
    <w:rsid w:val="3E242AFF"/>
    <w:rsid w:val="3E4B5097"/>
    <w:rsid w:val="3EA2111C"/>
    <w:rsid w:val="3EA94EEC"/>
    <w:rsid w:val="3EB74C68"/>
    <w:rsid w:val="3ECD2638"/>
    <w:rsid w:val="3EDC1E0D"/>
    <w:rsid w:val="3EE10246"/>
    <w:rsid w:val="3F190E0E"/>
    <w:rsid w:val="3F29701B"/>
    <w:rsid w:val="3F2B224E"/>
    <w:rsid w:val="3F553017"/>
    <w:rsid w:val="3F64082C"/>
    <w:rsid w:val="3FC430DB"/>
    <w:rsid w:val="3FD65DF6"/>
    <w:rsid w:val="3FE64F37"/>
    <w:rsid w:val="40155028"/>
    <w:rsid w:val="405425CA"/>
    <w:rsid w:val="407246BC"/>
    <w:rsid w:val="40AC06F4"/>
    <w:rsid w:val="40BE7376"/>
    <w:rsid w:val="40D83E02"/>
    <w:rsid w:val="411B61F4"/>
    <w:rsid w:val="411B62C7"/>
    <w:rsid w:val="4155592B"/>
    <w:rsid w:val="41CC7931"/>
    <w:rsid w:val="41E74ABD"/>
    <w:rsid w:val="425C267C"/>
    <w:rsid w:val="426228A2"/>
    <w:rsid w:val="427177EF"/>
    <w:rsid w:val="42953174"/>
    <w:rsid w:val="42C55864"/>
    <w:rsid w:val="42F50373"/>
    <w:rsid w:val="430A7C8A"/>
    <w:rsid w:val="43332C70"/>
    <w:rsid w:val="435C75CA"/>
    <w:rsid w:val="436D3FB8"/>
    <w:rsid w:val="43830074"/>
    <w:rsid w:val="43A744D1"/>
    <w:rsid w:val="43B04B73"/>
    <w:rsid w:val="43C47404"/>
    <w:rsid w:val="43D12669"/>
    <w:rsid w:val="44334669"/>
    <w:rsid w:val="44697FCA"/>
    <w:rsid w:val="447A4A27"/>
    <w:rsid w:val="44B6698A"/>
    <w:rsid w:val="44C12E80"/>
    <w:rsid w:val="44C737C5"/>
    <w:rsid w:val="44E10CFE"/>
    <w:rsid w:val="44EC09AE"/>
    <w:rsid w:val="45197ECA"/>
    <w:rsid w:val="4526557C"/>
    <w:rsid w:val="455E51AA"/>
    <w:rsid w:val="457132EC"/>
    <w:rsid w:val="45747BCC"/>
    <w:rsid w:val="45B253D7"/>
    <w:rsid w:val="45ED2364"/>
    <w:rsid w:val="462E3A40"/>
    <w:rsid w:val="46532240"/>
    <w:rsid w:val="465910A2"/>
    <w:rsid w:val="466A3447"/>
    <w:rsid w:val="46AA09FF"/>
    <w:rsid w:val="46AC2907"/>
    <w:rsid w:val="46CB1C7E"/>
    <w:rsid w:val="46FF4CBF"/>
    <w:rsid w:val="47045039"/>
    <w:rsid w:val="470A22D6"/>
    <w:rsid w:val="470C00C1"/>
    <w:rsid w:val="471B283F"/>
    <w:rsid w:val="47233DEA"/>
    <w:rsid w:val="473A596A"/>
    <w:rsid w:val="473B7002"/>
    <w:rsid w:val="47423E3B"/>
    <w:rsid w:val="4758205A"/>
    <w:rsid w:val="47BA5248"/>
    <w:rsid w:val="47DF6C38"/>
    <w:rsid w:val="48010995"/>
    <w:rsid w:val="4860304A"/>
    <w:rsid w:val="48785D3E"/>
    <w:rsid w:val="488E5D58"/>
    <w:rsid w:val="48AA5D43"/>
    <w:rsid w:val="48DD0422"/>
    <w:rsid w:val="48DE3D67"/>
    <w:rsid w:val="491A0BA6"/>
    <w:rsid w:val="493A6081"/>
    <w:rsid w:val="497727F3"/>
    <w:rsid w:val="497F7B85"/>
    <w:rsid w:val="4A0C5DFC"/>
    <w:rsid w:val="4A5669EA"/>
    <w:rsid w:val="4A637414"/>
    <w:rsid w:val="4A6D4422"/>
    <w:rsid w:val="4AA97058"/>
    <w:rsid w:val="4AAC6791"/>
    <w:rsid w:val="4AB01A0A"/>
    <w:rsid w:val="4ABF6ACF"/>
    <w:rsid w:val="4AF35654"/>
    <w:rsid w:val="4B2224B1"/>
    <w:rsid w:val="4B3E0E19"/>
    <w:rsid w:val="4B4923A8"/>
    <w:rsid w:val="4B8F7611"/>
    <w:rsid w:val="4BA0291D"/>
    <w:rsid w:val="4BB853B0"/>
    <w:rsid w:val="4BF16AF5"/>
    <w:rsid w:val="4C7C6CA0"/>
    <w:rsid w:val="4CB76354"/>
    <w:rsid w:val="4CCA434B"/>
    <w:rsid w:val="4CD72FE1"/>
    <w:rsid w:val="4CE31DA0"/>
    <w:rsid w:val="4CF33869"/>
    <w:rsid w:val="4DB9003F"/>
    <w:rsid w:val="4EB905FE"/>
    <w:rsid w:val="4EC03401"/>
    <w:rsid w:val="4F0754A5"/>
    <w:rsid w:val="4F89599B"/>
    <w:rsid w:val="4FE146E1"/>
    <w:rsid w:val="500A79CA"/>
    <w:rsid w:val="503439D4"/>
    <w:rsid w:val="503C61B3"/>
    <w:rsid w:val="505A4678"/>
    <w:rsid w:val="50827528"/>
    <w:rsid w:val="50864BCC"/>
    <w:rsid w:val="508F2B21"/>
    <w:rsid w:val="509C5C8E"/>
    <w:rsid w:val="50A6636E"/>
    <w:rsid w:val="50C95A34"/>
    <w:rsid w:val="50E56DD8"/>
    <w:rsid w:val="50F65055"/>
    <w:rsid w:val="50F85B4D"/>
    <w:rsid w:val="510D2BC3"/>
    <w:rsid w:val="511019F9"/>
    <w:rsid w:val="514B66EA"/>
    <w:rsid w:val="516F3592"/>
    <w:rsid w:val="51A97B8D"/>
    <w:rsid w:val="51CD3A62"/>
    <w:rsid w:val="51F16BDD"/>
    <w:rsid w:val="522D652A"/>
    <w:rsid w:val="52E20F55"/>
    <w:rsid w:val="530161C4"/>
    <w:rsid w:val="53452D8D"/>
    <w:rsid w:val="53F33AC5"/>
    <w:rsid w:val="53F97853"/>
    <w:rsid w:val="543B5533"/>
    <w:rsid w:val="548F5718"/>
    <w:rsid w:val="54A31210"/>
    <w:rsid w:val="54A639BA"/>
    <w:rsid w:val="54D00DDF"/>
    <w:rsid w:val="54D13099"/>
    <w:rsid w:val="54D756D6"/>
    <w:rsid w:val="54DB68FA"/>
    <w:rsid w:val="54FD7B2B"/>
    <w:rsid w:val="55270223"/>
    <w:rsid w:val="55A02E34"/>
    <w:rsid w:val="55AF06DD"/>
    <w:rsid w:val="55D5164D"/>
    <w:rsid w:val="55FE1988"/>
    <w:rsid w:val="55FF50B5"/>
    <w:rsid w:val="5601038E"/>
    <w:rsid w:val="56030E2F"/>
    <w:rsid w:val="565D56BF"/>
    <w:rsid w:val="56F60E75"/>
    <w:rsid w:val="57480A64"/>
    <w:rsid w:val="57495BB1"/>
    <w:rsid w:val="57524C8A"/>
    <w:rsid w:val="57704B06"/>
    <w:rsid w:val="57F47B40"/>
    <w:rsid w:val="580D0B44"/>
    <w:rsid w:val="58325B88"/>
    <w:rsid w:val="583B3392"/>
    <w:rsid w:val="58502079"/>
    <w:rsid w:val="585478DB"/>
    <w:rsid w:val="589D06CC"/>
    <w:rsid w:val="58E73DB9"/>
    <w:rsid w:val="58EB25B7"/>
    <w:rsid w:val="58F9022F"/>
    <w:rsid w:val="590F7D47"/>
    <w:rsid w:val="591E547F"/>
    <w:rsid w:val="59207BB0"/>
    <w:rsid w:val="5936215B"/>
    <w:rsid w:val="59636D91"/>
    <w:rsid w:val="59815A49"/>
    <w:rsid w:val="59BB7540"/>
    <w:rsid w:val="59F301CB"/>
    <w:rsid w:val="5A9352FF"/>
    <w:rsid w:val="5A9E16D6"/>
    <w:rsid w:val="5AC12A13"/>
    <w:rsid w:val="5AFA407A"/>
    <w:rsid w:val="5B150E84"/>
    <w:rsid w:val="5B457F19"/>
    <w:rsid w:val="5B646481"/>
    <w:rsid w:val="5B87026B"/>
    <w:rsid w:val="5B97619F"/>
    <w:rsid w:val="5BE61B6A"/>
    <w:rsid w:val="5BFF061D"/>
    <w:rsid w:val="5C267439"/>
    <w:rsid w:val="5C354679"/>
    <w:rsid w:val="5C5C4069"/>
    <w:rsid w:val="5C6611FB"/>
    <w:rsid w:val="5CCB1652"/>
    <w:rsid w:val="5CCD2728"/>
    <w:rsid w:val="5D734DA8"/>
    <w:rsid w:val="5DB31A31"/>
    <w:rsid w:val="5DD072C4"/>
    <w:rsid w:val="5DDB3E17"/>
    <w:rsid w:val="5DE8790E"/>
    <w:rsid w:val="5E0307EE"/>
    <w:rsid w:val="5E1541E6"/>
    <w:rsid w:val="5E163831"/>
    <w:rsid w:val="5E1F5D88"/>
    <w:rsid w:val="5E510C11"/>
    <w:rsid w:val="5E725663"/>
    <w:rsid w:val="5E9D5F60"/>
    <w:rsid w:val="5EAA5EC0"/>
    <w:rsid w:val="5EBC30A2"/>
    <w:rsid w:val="5EC470E7"/>
    <w:rsid w:val="5EFC558C"/>
    <w:rsid w:val="5EFF412C"/>
    <w:rsid w:val="5F000199"/>
    <w:rsid w:val="5F173627"/>
    <w:rsid w:val="5F192EE0"/>
    <w:rsid w:val="5F3D6793"/>
    <w:rsid w:val="5F5D1AF6"/>
    <w:rsid w:val="5F5E0310"/>
    <w:rsid w:val="5F645F2B"/>
    <w:rsid w:val="5F9D103C"/>
    <w:rsid w:val="5FBD061D"/>
    <w:rsid w:val="5FD73330"/>
    <w:rsid w:val="5FDA4CDD"/>
    <w:rsid w:val="5FDD0031"/>
    <w:rsid w:val="5FE64946"/>
    <w:rsid w:val="5FFE7617"/>
    <w:rsid w:val="600877C2"/>
    <w:rsid w:val="60132576"/>
    <w:rsid w:val="601833F0"/>
    <w:rsid w:val="60944BDA"/>
    <w:rsid w:val="609E604C"/>
    <w:rsid w:val="61073FD0"/>
    <w:rsid w:val="611F52CE"/>
    <w:rsid w:val="615762AB"/>
    <w:rsid w:val="618506B5"/>
    <w:rsid w:val="620D7380"/>
    <w:rsid w:val="62306D51"/>
    <w:rsid w:val="623E007E"/>
    <w:rsid w:val="62770A95"/>
    <w:rsid w:val="628B3453"/>
    <w:rsid w:val="62A32241"/>
    <w:rsid w:val="62BE11F2"/>
    <w:rsid w:val="62D7440B"/>
    <w:rsid w:val="62FD1DD0"/>
    <w:rsid w:val="63617FE1"/>
    <w:rsid w:val="636B2036"/>
    <w:rsid w:val="63AA6642"/>
    <w:rsid w:val="63F7372B"/>
    <w:rsid w:val="643E4D1E"/>
    <w:rsid w:val="645828FC"/>
    <w:rsid w:val="645D58F0"/>
    <w:rsid w:val="651A6B45"/>
    <w:rsid w:val="653B7C32"/>
    <w:rsid w:val="6574705C"/>
    <w:rsid w:val="65A40859"/>
    <w:rsid w:val="65BD2BBB"/>
    <w:rsid w:val="66100339"/>
    <w:rsid w:val="664A53A1"/>
    <w:rsid w:val="667B71A8"/>
    <w:rsid w:val="667E0DC8"/>
    <w:rsid w:val="668F7F7C"/>
    <w:rsid w:val="66E10DD6"/>
    <w:rsid w:val="67037F10"/>
    <w:rsid w:val="674C7818"/>
    <w:rsid w:val="67577544"/>
    <w:rsid w:val="675C6D0E"/>
    <w:rsid w:val="676770FB"/>
    <w:rsid w:val="687A0282"/>
    <w:rsid w:val="68863C29"/>
    <w:rsid w:val="6910497C"/>
    <w:rsid w:val="693825F7"/>
    <w:rsid w:val="69DE55B2"/>
    <w:rsid w:val="69E86EB8"/>
    <w:rsid w:val="6A0F4B98"/>
    <w:rsid w:val="6A685E81"/>
    <w:rsid w:val="6AB35A9D"/>
    <w:rsid w:val="6ADD163F"/>
    <w:rsid w:val="6AF2743D"/>
    <w:rsid w:val="6B0029F1"/>
    <w:rsid w:val="6B3168ED"/>
    <w:rsid w:val="6B337208"/>
    <w:rsid w:val="6B4A429B"/>
    <w:rsid w:val="6B8B410C"/>
    <w:rsid w:val="6B973B85"/>
    <w:rsid w:val="6BB148CA"/>
    <w:rsid w:val="6BB41702"/>
    <w:rsid w:val="6BC548C0"/>
    <w:rsid w:val="6BE65F4C"/>
    <w:rsid w:val="6BF16BDD"/>
    <w:rsid w:val="6BF17F15"/>
    <w:rsid w:val="6C64752C"/>
    <w:rsid w:val="6C7D1D16"/>
    <w:rsid w:val="6CB61186"/>
    <w:rsid w:val="6D137D99"/>
    <w:rsid w:val="6D366717"/>
    <w:rsid w:val="6D6F74EB"/>
    <w:rsid w:val="6DAC528B"/>
    <w:rsid w:val="6DBB760E"/>
    <w:rsid w:val="6DC34A33"/>
    <w:rsid w:val="6DF90C1B"/>
    <w:rsid w:val="6E090586"/>
    <w:rsid w:val="6E522EC1"/>
    <w:rsid w:val="6E8F2006"/>
    <w:rsid w:val="6E9B6C05"/>
    <w:rsid w:val="6EA06AEA"/>
    <w:rsid w:val="6ED53C47"/>
    <w:rsid w:val="6EF75F2C"/>
    <w:rsid w:val="6F6A3EC5"/>
    <w:rsid w:val="6F6F5728"/>
    <w:rsid w:val="6F74118E"/>
    <w:rsid w:val="6FB44F7E"/>
    <w:rsid w:val="6FC95206"/>
    <w:rsid w:val="70373955"/>
    <w:rsid w:val="70783A50"/>
    <w:rsid w:val="709D43F7"/>
    <w:rsid w:val="70A6237E"/>
    <w:rsid w:val="70BF3653"/>
    <w:rsid w:val="70D34A70"/>
    <w:rsid w:val="71111860"/>
    <w:rsid w:val="7173233E"/>
    <w:rsid w:val="717C5147"/>
    <w:rsid w:val="71A80D7B"/>
    <w:rsid w:val="71EA5358"/>
    <w:rsid w:val="724273E6"/>
    <w:rsid w:val="7249440B"/>
    <w:rsid w:val="725F1BAC"/>
    <w:rsid w:val="726C72A1"/>
    <w:rsid w:val="72CC3808"/>
    <w:rsid w:val="731116E1"/>
    <w:rsid w:val="73193CB6"/>
    <w:rsid w:val="73644AEE"/>
    <w:rsid w:val="73865BE5"/>
    <w:rsid w:val="73A153F7"/>
    <w:rsid w:val="73AC36D0"/>
    <w:rsid w:val="73B75F8E"/>
    <w:rsid w:val="73DB5807"/>
    <w:rsid w:val="740B1EBA"/>
    <w:rsid w:val="741915B4"/>
    <w:rsid w:val="748A12E1"/>
    <w:rsid w:val="74B35EF7"/>
    <w:rsid w:val="74D63304"/>
    <w:rsid w:val="753C228B"/>
    <w:rsid w:val="757C738E"/>
    <w:rsid w:val="75B05122"/>
    <w:rsid w:val="75C027CB"/>
    <w:rsid w:val="75D97F49"/>
    <w:rsid w:val="75FD54DF"/>
    <w:rsid w:val="761D462F"/>
    <w:rsid w:val="767C0405"/>
    <w:rsid w:val="767C3B55"/>
    <w:rsid w:val="767D6454"/>
    <w:rsid w:val="7683679B"/>
    <w:rsid w:val="76B4528B"/>
    <w:rsid w:val="76D0494E"/>
    <w:rsid w:val="77580C6E"/>
    <w:rsid w:val="77605CC9"/>
    <w:rsid w:val="77E13BF5"/>
    <w:rsid w:val="78502309"/>
    <w:rsid w:val="788105BD"/>
    <w:rsid w:val="78954E65"/>
    <w:rsid w:val="78B52932"/>
    <w:rsid w:val="78CA181A"/>
    <w:rsid w:val="78E234E2"/>
    <w:rsid w:val="78F06EE8"/>
    <w:rsid w:val="791E4686"/>
    <w:rsid w:val="792956B9"/>
    <w:rsid w:val="797D1DFD"/>
    <w:rsid w:val="79824E25"/>
    <w:rsid w:val="799D00E5"/>
    <w:rsid w:val="79D71069"/>
    <w:rsid w:val="79F82BA4"/>
    <w:rsid w:val="7A124D7B"/>
    <w:rsid w:val="7A4D49C3"/>
    <w:rsid w:val="7A663C08"/>
    <w:rsid w:val="7A811E5D"/>
    <w:rsid w:val="7A9B5860"/>
    <w:rsid w:val="7A9C7821"/>
    <w:rsid w:val="7AF4454A"/>
    <w:rsid w:val="7B2B43D5"/>
    <w:rsid w:val="7B3239F9"/>
    <w:rsid w:val="7B9442A5"/>
    <w:rsid w:val="7BAE0269"/>
    <w:rsid w:val="7BC02E46"/>
    <w:rsid w:val="7BFB6659"/>
    <w:rsid w:val="7C0F5E3D"/>
    <w:rsid w:val="7C662ED2"/>
    <w:rsid w:val="7D107030"/>
    <w:rsid w:val="7D1E3F31"/>
    <w:rsid w:val="7D295841"/>
    <w:rsid w:val="7D3C3291"/>
    <w:rsid w:val="7D423515"/>
    <w:rsid w:val="7D683C32"/>
    <w:rsid w:val="7D731D46"/>
    <w:rsid w:val="7D81441E"/>
    <w:rsid w:val="7D823EB9"/>
    <w:rsid w:val="7D831DDE"/>
    <w:rsid w:val="7D872CC7"/>
    <w:rsid w:val="7D8F7999"/>
    <w:rsid w:val="7D974C29"/>
    <w:rsid w:val="7DCE08E7"/>
    <w:rsid w:val="7DDB0E57"/>
    <w:rsid w:val="7DDF5620"/>
    <w:rsid w:val="7E150897"/>
    <w:rsid w:val="7E2C0C6F"/>
    <w:rsid w:val="7E2F7A43"/>
    <w:rsid w:val="7E715DCC"/>
    <w:rsid w:val="7ED264D3"/>
    <w:rsid w:val="7EDD5FDA"/>
    <w:rsid w:val="7EE33C2F"/>
    <w:rsid w:val="7F263E73"/>
    <w:rsid w:val="7F342212"/>
    <w:rsid w:val="7F3C5980"/>
    <w:rsid w:val="7F9A68A4"/>
    <w:rsid w:val="7FE57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ocked="1"/>
    <w:lsdException w:unhideWhenUsed="0" w:uiPriority="0" w:semiHidden="0" w:name="List 2"/>
    <w:lsdException w:qFormat="1" w:unhideWhenUsed="0" w:uiPriority="0" w:semiHidden="0" w:name="List 3"/>
    <w:lsdException w:unhideWhenUsed="0" w:uiPriority="0" w:semiHidden="0" w:name="List 4" w:locked="1"/>
    <w:lsdException w:unhideWhenUsed="0" w:uiPriority="0" w:semiHidden="0" w:name="List 5" w:locked="1"/>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16">
    <w:name w:val="heading 1"/>
    <w:basedOn w:val="1"/>
    <w:next w:val="1"/>
    <w:qFormat/>
    <w:uiPriority w:val="0"/>
    <w:pPr>
      <w:keepNext/>
      <w:keepLines/>
      <w:spacing w:before="340" w:after="330" w:line="578" w:lineRule="auto"/>
      <w:outlineLvl w:val="0"/>
    </w:pPr>
    <w:rPr>
      <w:b/>
      <w:bCs/>
      <w:kern w:val="44"/>
      <w:sz w:val="44"/>
      <w:szCs w:val="44"/>
    </w:rPr>
  </w:style>
  <w:style w:type="paragraph" w:styleId="17">
    <w:name w:val="heading 2"/>
    <w:basedOn w:val="1"/>
    <w:next w:val="1"/>
    <w:qFormat/>
    <w:locked/>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customStyle="1" w:styleId="4">
    <w:name w:val="样式35"/>
    <w:basedOn w:val="5"/>
    <w:next w:val="6"/>
    <w:qFormat/>
    <w:uiPriority w:val="0"/>
    <w:pPr>
      <w:spacing w:line="312" w:lineRule="auto"/>
      <w:ind w:firstLine="567"/>
    </w:pPr>
    <w:rPr>
      <w:rFonts w:ascii="宋体"/>
    </w:rPr>
  </w:style>
  <w:style w:type="paragraph" w:customStyle="1" w:styleId="5">
    <w:name w:val="表 内容"/>
    <w:basedOn w:val="1"/>
    <w:qFormat/>
    <w:uiPriority w:val="0"/>
    <w:pPr>
      <w:adjustRightInd w:val="0"/>
      <w:snapToGrid w:val="0"/>
      <w:spacing w:beforeLines="15" w:afterLines="15"/>
      <w:jc w:val="center"/>
    </w:pPr>
    <w:rPr>
      <w:rFonts w:ascii="Times New Roman" w:hAnsi="Times New Roman" w:eastAsia="宋体" w:cs="Times New Roman"/>
      <w:szCs w:val="21"/>
    </w:rPr>
  </w:style>
  <w:style w:type="paragraph" w:customStyle="1" w:styleId="6">
    <w:name w:val="font6"/>
    <w:basedOn w:val="1"/>
    <w:next w:val="7"/>
    <w:qFormat/>
    <w:uiPriority w:val="0"/>
    <w:pPr>
      <w:widowControl/>
      <w:spacing w:before="100" w:beforeAutospacing="1" w:after="100" w:afterAutospacing="1"/>
      <w:jc w:val="left"/>
    </w:pPr>
    <w:rPr>
      <w:rFonts w:ascii="宋体" w:hAnsi="宋体" w:cs="宋体"/>
      <w:kern w:val="0"/>
      <w:sz w:val="20"/>
      <w:szCs w:val="20"/>
    </w:rPr>
  </w:style>
  <w:style w:type="paragraph" w:styleId="7">
    <w:name w:val="toc 2"/>
    <w:basedOn w:val="1"/>
    <w:next w:val="8"/>
    <w:qFormat/>
    <w:uiPriority w:val="0"/>
    <w:pPr>
      <w:ind w:left="210"/>
      <w:jc w:val="left"/>
    </w:pPr>
    <w:rPr>
      <w:rFonts w:cs="Calibri"/>
      <w:smallCaps/>
      <w:sz w:val="20"/>
      <w:szCs w:val="20"/>
    </w:rPr>
  </w:style>
  <w:style w:type="paragraph" w:styleId="8">
    <w:name w:val="E-mail Signature"/>
    <w:basedOn w:val="1"/>
    <w:next w:val="9"/>
    <w:qFormat/>
    <w:uiPriority w:val="0"/>
    <w:pPr>
      <w:spacing w:line="460" w:lineRule="exact"/>
      <w:ind w:firstLine="200"/>
    </w:pPr>
    <w:rPr>
      <w:sz w:val="24"/>
    </w:rPr>
  </w:style>
  <w:style w:type="paragraph" w:customStyle="1" w:styleId="9">
    <w:name w:val="文章"/>
    <w:basedOn w:val="10"/>
    <w:next w:val="11"/>
    <w:qFormat/>
    <w:uiPriority w:val="0"/>
    <w:pPr>
      <w:widowControl/>
      <w:ind w:firstLine="480"/>
      <w:jc w:val="center"/>
    </w:pPr>
    <w:rPr>
      <w:sz w:val="26"/>
    </w:rPr>
  </w:style>
  <w:style w:type="paragraph" w:styleId="10">
    <w:name w:val="Body Text Indent"/>
    <w:basedOn w:val="1"/>
    <w:qFormat/>
    <w:uiPriority w:val="0"/>
    <w:pPr>
      <w:spacing w:line="480" w:lineRule="auto"/>
      <w:ind w:firstLine="284"/>
    </w:pPr>
    <w:rPr>
      <w:sz w:val="24"/>
    </w:rPr>
  </w:style>
  <w:style w:type="paragraph" w:styleId="11">
    <w:name w:val="List"/>
    <w:basedOn w:val="1"/>
    <w:next w:val="12"/>
    <w:qFormat/>
    <w:uiPriority w:val="0"/>
    <w:pPr>
      <w:ind w:left="200" w:hanging="200" w:hangingChars="200"/>
    </w:pPr>
    <w:rPr>
      <w:sz w:val="24"/>
      <w:szCs w:val="20"/>
    </w:rPr>
  </w:style>
  <w:style w:type="paragraph" w:styleId="12">
    <w:name w:val="List Bullet 2"/>
    <w:basedOn w:val="1"/>
    <w:next w:val="13"/>
    <w:qFormat/>
    <w:uiPriority w:val="0"/>
    <w:pPr>
      <w:numPr>
        <w:ilvl w:val="0"/>
        <w:numId w:val="1"/>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4">
    <w:name w:val="正文缩进1"/>
    <w:basedOn w:val="1"/>
    <w:next w:val="15"/>
    <w:qFormat/>
    <w:uiPriority w:val="0"/>
    <w:pPr>
      <w:spacing w:line="240" w:lineRule="auto"/>
      <w:ind w:firstLine="420" w:firstLineChars="0"/>
    </w:pPr>
    <w:rPr>
      <w:sz w:val="21"/>
      <w:szCs w:val="20"/>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8">
    <w:name w:val="List 3"/>
    <w:basedOn w:val="1"/>
    <w:qFormat/>
    <w:uiPriority w:val="0"/>
    <w:pPr>
      <w:ind w:left="100" w:leftChars="400" w:hanging="200" w:hangingChars="200"/>
    </w:pPr>
  </w:style>
  <w:style w:type="paragraph" w:styleId="19">
    <w:name w:val="Normal Indent"/>
    <w:basedOn w:val="1"/>
    <w:link w:val="83"/>
    <w:qFormat/>
    <w:uiPriority w:val="0"/>
    <w:rPr>
      <w:sz w:val="28"/>
    </w:rPr>
  </w:style>
  <w:style w:type="paragraph" w:styleId="20">
    <w:name w:val="caption"/>
    <w:basedOn w:val="1"/>
    <w:next w:val="1"/>
    <w:qFormat/>
    <w:uiPriority w:val="0"/>
    <w:pPr>
      <w:keepNext/>
      <w:spacing w:line="360" w:lineRule="auto"/>
      <w:jc w:val="center"/>
    </w:pPr>
    <w:rPr>
      <w:rFonts w:ascii="黑体" w:hAnsi="宋体" w:eastAsia="黑体"/>
      <w:sz w:val="24"/>
    </w:rPr>
  </w:style>
  <w:style w:type="paragraph" w:styleId="21">
    <w:name w:val="Document Map"/>
    <w:basedOn w:val="1"/>
    <w:semiHidden/>
    <w:qFormat/>
    <w:uiPriority w:val="0"/>
    <w:pPr>
      <w:shd w:val="clear" w:color="auto" w:fill="000080"/>
    </w:pPr>
  </w:style>
  <w:style w:type="paragraph" w:styleId="22">
    <w:name w:val="annotation text"/>
    <w:basedOn w:val="1"/>
    <w:link w:val="77"/>
    <w:qFormat/>
    <w:uiPriority w:val="0"/>
    <w:pPr>
      <w:jc w:val="left"/>
    </w:pPr>
  </w:style>
  <w:style w:type="paragraph" w:styleId="23">
    <w:name w:val="Body Text"/>
    <w:basedOn w:val="1"/>
    <w:link w:val="80"/>
    <w:qFormat/>
    <w:uiPriority w:val="0"/>
    <w:pPr>
      <w:spacing w:after="120"/>
    </w:pPr>
  </w:style>
  <w:style w:type="paragraph" w:styleId="24">
    <w:name w:val="Plain Text"/>
    <w:basedOn w:val="1"/>
    <w:link w:val="81"/>
    <w:qFormat/>
    <w:uiPriority w:val="0"/>
    <w:rPr>
      <w:rFonts w:ascii="宋体" w:hAnsi="Courier New"/>
      <w:sz w:val="28"/>
      <w:szCs w:val="21"/>
    </w:rPr>
  </w:style>
  <w:style w:type="paragraph" w:styleId="25">
    <w:name w:val="Body Text Indent 2"/>
    <w:basedOn w:val="1"/>
    <w:qFormat/>
    <w:uiPriority w:val="0"/>
    <w:pPr>
      <w:widowControl/>
      <w:ind w:firstLine="430"/>
      <w:jc w:val="left"/>
    </w:pPr>
    <w:rPr>
      <w:kern w:val="0"/>
      <w:sz w:val="24"/>
      <w:szCs w:val="20"/>
    </w:rPr>
  </w:style>
  <w:style w:type="paragraph" w:styleId="26">
    <w:name w:val="Balloon Text"/>
    <w:basedOn w:val="1"/>
    <w:link w:val="75"/>
    <w:qFormat/>
    <w:uiPriority w:val="0"/>
    <w:rPr>
      <w:sz w:val="18"/>
      <w:szCs w:val="18"/>
    </w:rPr>
  </w:style>
  <w:style w:type="paragraph" w:styleId="27">
    <w:name w:val="footer"/>
    <w:basedOn w:val="1"/>
    <w:link w:val="74"/>
    <w:qFormat/>
    <w:uiPriority w:val="0"/>
    <w:pPr>
      <w:tabs>
        <w:tab w:val="center" w:pos="4153"/>
        <w:tab w:val="right" w:pos="8306"/>
      </w:tabs>
      <w:snapToGrid w:val="0"/>
      <w:jc w:val="center"/>
    </w:pPr>
    <w:rPr>
      <w:sz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style>
  <w:style w:type="paragraph" w:styleId="30">
    <w:name w:val="Body Text Indent 3"/>
    <w:basedOn w:val="1"/>
    <w:link w:val="76"/>
    <w:qFormat/>
    <w:uiPriority w:val="0"/>
    <w:pPr>
      <w:spacing w:after="120"/>
      <w:ind w:left="420" w:leftChars="200"/>
    </w:pPr>
    <w:rPr>
      <w:rFonts w:ascii="Calibri" w:hAnsi="Calibri"/>
      <w:sz w:val="16"/>
      <w:szCs w:val="16"/>
    </w:rPr>
  </w:style>
  <w:style w:type="paragraph" w:styleId="31">
    <w:name w:val="Normal (Web)"/>
    <w:basedOn w:val="1"/>
    <w:qFormat/>
    <w:uiPriority w:val="0"/>
    <w:pPr>
      <w:widowControl/>
      <w:spacing w:before="100" w:beforeAutospacing="1" w:after="100" w:afterAutospacing="1"/>
      <w:jc w:val="left"/>
    </w:pPr>
    <w:rPr>
      <w:rFonts w:ascii="宋体" w:hAnsi="宋体"/>
      <w:kern w:val="0"/>
      <w:sz w:val="24"/>
    </w:rPr>
  </w:style>
  <w:style w:type="paragraph" w:styleId="32">
    <w:name w:val="Title"/>
    <w:basedOn w:val="1"/>
    <w:next w:val="1"/>
    <w:qFormat/>
    <w:locked/>
    <w:uiPriority w:val="0"/>
    <w:pPr>
      <w:spacing w:before="240" w:after="60"/>
      <w:jc w:val="center"/>
      <w:outlineLvl w:val="0"/>
    </w:pPr>
    <w:rPr>
      <w:rFonts w:ascii="Cambria" w:hAnsi="Cambria"/>
      <w:b/>
      <w:bCs/>
      <w:sz w:val="32"/>
      <w:szCs w:val="32"/>
    </w:rPr>
  </w:style>
  <w:style w:type="paragraph" w:styleId="33">
    <w:name w:val="annotation subject"/>
    <w:basedOn w:val="22"/>
    <w:next w:val="22"/>
    <w:link w:val="78"/>
    <w:qFormat/>
    <w:uiPriority w:val="0"/>
    <w:rPr>
      <w:b/>
      <w:bCs/>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locked/>
    <w:uiPriority w:val="0"/>
    <w:rPr>
      <w:b/>
    </w:rPr>
  </w:style>
  <w:style w:type="character" w:styleId="38">
    <w:name w:val="page number"/>
    <w:basedOn w:val="36"/>
    <w:qFormat/>
    <w:uiPriority w:val="0"/>
    <w:rPr>
      <w:rFonts w:cs="Times New Roman"/>
    </w:rPr>
  </w:style>
  <w:style w:type="character" w:styleId="39">
    <w:name w:val="Hyperlink"/>
    <w:qFormat/>
    <w:uiPriority w:val="0"/>
    <w:rPr>
      <w:color w:val="0000FF"/>
      <w:u w:val="single"/>
    </w:rPr>
  </w:style>
  <w:style w:type="character" w:styleId="40">
    <w:name w:val="annotation reference"/>
    <w:basedOn w:val="36"/>
    <w:qFormat/>
    <w:uiPriority w:val="0"/>
    <w:rPr>
      <w:sz w:val="21"/>
    </w:rPr>
  </w:style>
  <w:style w:type="paragraph" w:customStyle="1" w:styleId="41">
    <w:name w:val="Normal Indent1"/>
    <w:basedOn w:val="1"/>
    <w:qFormat/>
    <w:uiPriority w:val="0"/>
    <w:pPr>
      <w:ind w:firstLine="420"/>
    </w:pPr>
  </w:style>
  <w:style w:type="paragraph" w:customStyle="1" w:styleId="42">
    <w:name w:val="正文HP"/>
    <w:basedOn w:val="1"/>
    <w:qFormat/>
    <w:uiPriority w:val="0"/>
    <w:pPr>
      <w:spacing w:line="360" w:lineRule="auto"/>
      <w:ind w:firstLine="480" w:firstLineChars="200"/>
    </w:pPr>
    <w:rPr>
      <w:sz w:val="24"/>
      <w:szCs w:val="24"/>
    </w:rPr>
  </w:style>
  <w:style w:type="paragraph" w:customStyle="1" w:styleId="43">
    <w:name w:val="列出段落1"/>
    <w:basedOn w:val="1"/>
    <w:qFormat/>
    <w:uiPriority w:val="0"/>
    <w:pPr>
      <w:ind w:firstLine="420" w:firstLineChars="200"/>
    </w:pPr>
    <w:rPr>
      <w:rFonts w:ascii="Calibri" w:hAnsi="Calibri"/>
      <w:szCs w:val="22"/>
    </w:rPr>
  </w:style>
  <w:style w:type="paragraph" w:customStyle="1" w:styleId="44">
    <w:name w:val="a正文"/>
    <w:basedOn w:val="24"/>
    <w:qFormat/>
    <w:uiPriority w:val="0"/>
    <w:pPr>
      <w:spacing w:line="360" w:lineRule="auto"/>
      <w:ind w:firstLine="480" w:firstLineChars="200"/>
    </w:pPr>
    <w:rPr>
      <w:rFonts w:ascii="Times New Roman" w:hAnsi="Times New Roman"/>
      <w:sz w:val="24"/>
      <w:szCs w:val="24"/>
    </w:rPr>
  </w:style>
  <w:style w:type="paragraph" w:customStyle="1" w:styleId="45">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6">
    <w:name w:val="蓝森正文"/>
    <w:basedOn w:val="1"/>
    <w:qFormat/>
    <w:uiPriority w:val="0"/>
    <w:pPr>
      <w:spacing w:line="520" w:lineRule="exact"/>
      <w:ind w:firstLine="200" w:firstLineChars="200"/>
    </w:pPr>
    <w:rPr>
      <w:szCs w:val="24"/>
    </w:rPr>
  </w:style>
  <w:style w:type="paragraph" w:customStyle="1" w:styleId="47">
    <w:name w:val="正文内容"/>
    <w:basedOn w:val="1"/>
    <w:link w:val="82"/>
    <w:qFormat/>
    <w:uiPriority w:val="0"/>
    <w:pPr>
      <w:spacing w:line="360" w:lineRule="auto"/>
      <w:ind w:firstLine="200" w:firstLineChars="200"/>
      <w:jc w:val="left"/>
    </w:pPr>
    <w:rPr>
      <w:kern w:val="0"/>
      <w:sz w:val="24"/>
      <w:szCs w:val="24"/>
    </w:rPr>
  </w:style>
  <w:style w:type="paragraph" w:customStyle="1" w:styleId="48">
    <w:name w:val="表格、图表名称"/>
    <w:basedOn w:val="1"/>
    <w:qFormat/>
    <w:uiPriority w:val="0"/>
    <w:pPr>
      <w:spacing w:line="360" w:lineRule="auto"/>
      <w:jc w:val="center"/>
    </w:pPr>
    <w:rPr>
      <w:rFonts w:ascii="宋体" w:hAnsi="宋体"/>
      <w:b/>
      <w:szCs w:val="22"/>
    </w:rPr>
  </w:style>
  <w:style w:type="paragraph" w:customStyle="1" w:styleId="49">
    <w:name w:val="蓝森表格内容"/>
    <w:basedOn w:val="1"/>
    <w:qFormat/>
    <w:uiPriority w:val="0"/>
    <w:pPr>
      <w:adjustRightInd w:val="0"/>
      <w:snapToGrid w:val="0"/>
      <w:spacing w:line="360" w:lineRule="exact"/>
      <w:jc w:val="center"/>
    </w:pPr>
    <w:rPr>
      <w:bCs/>
      <w:szCs w:val="21"/>
    </w:rPr>
  </w:style>
  <w:style w:type="paragraph" w:customStyle="1" w:styleId="50">
    <w:name w:val="报告表  段"/>
    <w:basedOn w:val="1"/>
    <w:qFormat/>
    <w:uiPriority w:val="0"/>
    <w:pPr>
      <w:adjustRightInd w:val="0"/>
      <w:spacing w:line="360" w:lineRule="auto"/>
      <w:ind w:firstLine="505"/>
      <w:textAlignment w:val="baseline"/>
    </w:pPr>
    <w:rPr>
      <w:rFonts w:ascii="宋体"/>
      <w:kern w:val="0"/>
    </w:rPr>
  </w:style>
  <w:style w:type="paragraph" w:customStyle="1" w:styleId="51">
    <w:name w:val="Lux 表格标题"/>
    <w:basedOn w:val="1"/>
    <w:qFormat/>
    <w:uiPriority w:val="0"/>
    <w:pPr>
      <w:jc w:val="center"/>
    </w:pPr>
    <w:rPr>
      <w:rFonts w:hAnsi="宋体"/>
      <w:b/>
      <w:color w:val="0000FF"/>
      <w:kern w:val="0"/>
      <w:szCs w:val="21"/>
    </w:rPr>
  </w:style>
  <w:style w:type="paragraph" w:customStyle="1" w:styleId="52">
    <w:name w:val="表格 32"/>
    <w:basedOn w:val="1"/>
    <w:qFormat/>
    <w:uiPriority w:val="0"/>
    <w:pPr>
      <w:autoSpaceDE w:val="0"/>
      <w:autoSpaceDN w:val="0"/>
      <w:adjustRightInd w:val="0"/>
      <w:jc w:val="center"/>
      <w:textAlignment w:val="baseline"/>
    </w:pPr>
    <w:rPr>
      <w:rFonts w:ascii="宋体" w:hAnsi="Impact"/>
      <w:kern w:val="24"/>
      <w:sz w:val="24"/>
    </w:rPr>
  </w:style>
  <w:style w:type="paragraph" w:customStyle="1" w:styleId="53">
    <w:name w:val="报告表小段"/>
    <w:basedOn w:val="1"/>
    <w:qFormat/>
    <w:uiPriority w:val="0"/>
    <w:pPr>
      <w:spacing w:before="120" w:line="360" w:lineRule="auto"/>
      <w:ind w:firstLine="470" w:firstLineChars="196"/>
    </w:pPr>
    <w:rPr>
      <w:rFonts w:ascii="宋体" w:hAnsi="宋体"/>
      <w:bCs/>
      <w:sz w:val="24"/>
      <w:szCs w:val="24"/>
    </w:rPr>
  </w:style>
  <w:style w:type="paragraph" w:customStyle="1" w:styleId="54">
    <w:name w:val="a表格内容"/>
    <w:basedOn w:val="23"/>
    <w:qFormat/>
    <w:uiPriority w:val="0"/>
    <w:rPr>
      <w:szCs w:val="21"/>
    </w:rPr>
  </w:style>
  <w:style w:type="paragraph" w:customStyle="1" w:styleId="55">
    <w:name w:val="表标题"/>
    <w:basedOn w:val="47"/>
    <w:next w:val="47"/>
    <w:qFormat/>
    <w:uiPriority w:val="0"/>
    <w:pPr>
      <w:ind w:firstLine="0" w:firstLineChars="0"/>
      <w:jc w:val="center"/>
    </w:pPr>
    <w:rPr>
      <w:b/>
      <w:sz w:val="21"/>
    </w:rPr>
  </w:style>
  <w:style w:type="paragraph" w:customStyle="1" w:styleId="56">
    <w:name w:val="表后正文"/>
    <w:link w:val="72"/>
    <w:qFormat/>
    <w:uiPriority w:val="0"/>
    <w:pPr>
      <w:spacing w:beforeLines="50"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57">
    <w:name w:val="表格内文字！"/>
    <w:basedOn w:val="1"/>
    <w:next w:val="1"/>
    <w:qFormat/>
    <w:uiPriority w:val="0"/>
    <w:pPr>
      <w:widowControl/>
      <w:spacing w:line="440" w:lineRule="exact"/>
      <w:ind w:left="-50" w:leftChars="-50" w:right="-50" w:rightChars="-50"/>
      <w:jc w:val="center"/>
    </w:pPr>
    <w:rPr>
      <w:rFonts w:ascii="黑体" w:hAnsi="宋体" w:eastAsia="仿宋_GB2312" w:cs="宋体"/>
      <w:kern w:val="0"/>
      <w:szCs w:val="21"/>
    </w:rPr>
  </w:style>
  <w:style w:type="paragraph" w:customStyle="1" w:styleId="58">
    <w:name w:val="Footer Right"/>
    <w:basedOn w:val="27"/>
    <w:qFormat/>
    <w:uiPriority w:val="0"/>
    <w:pPr>
      <w:widowControl/>
      <w:pBdr>
        <w:top w:val="dashed" w:color="7F7F7F" w:sz="4" w:space="18"/>
      </w:pBdr>
      <w:tabs>
        <w:tab w:val="center" w:pos="4320"/>
        <w:tab w:val="right" w:pos="8640"/>
        <w:tab w:val="clear" w:pos="4153"/>
        <w:tab w:val="clear" w:pos="8306"/>
      </w:tabs>
      <w:snapToGrid/>
      <w:spacing w:after="200"/>
      <w:contextualSpacing/>
      <w:jc w:val="right"/>
    </w:pPr>
    <w:rPr>
      <w:rFonts w:ascii="Calibri" w:hAnsi="Calibri"/>
      <w:color w:val="7F7F7F"/>
      <w:kern w:val="0"/>
      <w:sz w:val="20"/>
    </w:rPr>
  </w:style>
  <w:style w:type="paragraph" w:customStyle="1" w:styleId="59">
    <w:name w:val="修订1"/>
    <w:qFormat/>
    <w:uiPriority w:val="0"/>
    <w:rPr>
      <w:rFonts w:ascii="Times New Roman" w:hAnsi="Times New Roman" w:eastAsia="宋体" w:cs="Times New Roman"/>
      <w:kern w:val="2"/>
      <w:sz w:val="21"/>
      <w:lang w:val="en-US" w:eastAsia="zh-CN" w:bidi="ar-SA"/>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szCs w:val="22"/>
      <w:lang w:val="en-US" w:eastAsia="zh-CN" w:bidi="ar-SA"/>
    </w:rPr>
  </w:style>
  <w:style w:type="paragraph" w:customStyle="1" w:styleId="62">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Table Paragraph"/>
    <w:basedOn w:val="1"/>
    <w:qFormat/>
    <w:uiPriority w:val="0"/>
    <w:pPr>
      <w:jc w:val="center"/>
    </w:pPr>
    <w:rPr>
      <w:rFonts w:ascii="宋体" w:hAnsi="宋体" w:cs="宋体"/>
      <w:kern w:val="0"/>
      <w:sz w:val="22"/>
      <w:szCs w:val="22"/>
      <w:lang w:eastAsia="en-US"/>
    </w:rPr>
  </w:style>
  <w:style w:type="paragraph" w:customStyle="1" w:styleId="64">
    <w:name w:val="小四 间距1.5 缩进2"/>
    <w:basedOn w:val="1"/>
    <w:qFormat/>
    <w:uiPriority w:val="0"/>
    <w:pPr>
      <w:spacing w:line="360" w:lineRule="auto"/>
      <w:ind w:firstLine="415" w:firstLineChars="173"/>
    </w:pPr>
    <w:rPr>
      <w:sz w:val="24"/>
      <w:szCs w:val="24"/>
    </w:rPr>
  </w:style>
  <w:style w:type="paragraph" w:customStyle="1" w:styleId="65">
    <w:name w:val="表内容"/>
    <w:basedOn w:val="1"/>
    <w:next w:val="47"/>
    <w:qFormat/>
    <w:uiPriority w:val="0"/>
    <w:pPr>
      <w:jc w:val="center"/>
    </w:pPr>
  </w:style>
  <w:style w:type="paragraph" w:customStyle="1" w:styleId="66">
    <w:name w:val="正文1"/>
    <w:qFormat/>
    <w:uiPriority w:val="0"/>
    <w:pPr>
      <w:widowControl w:val="0"/>
      <w:jc w:val="both"/>
    </w:pPr>
    <w:rPr>
      <w:rFonts w:ascii="Times New Roman" w:hAnsi="Times New Roman" w:eastAsia="宋体" w:cs="Times New Roman"/>
      <w:kern w:val="2"/>
      <w:sz w:val="24"/>
      <w:szCs w:val="22"/>
      <w:lang w:val="en-US" w:eastAsia="zh-CN" w:bidi="ar-SA"/>
    </w:rPr>
  </w:style>
  <w:style w:type="paragraph" w:customStyle="1" w:styleId="67">
    <w:name w:val="表格文字"/>
    <w:basedOn w:val="24"/>
    <w:qFormat/>
    <w:uiPriority w:val="0"/>
    <w:pPr>
      <w:tabs>
        <w:tab w:val="left" w:pos="-2848"/>
      </w:tabs>
      <w:jc w:val="center"/>
    </w:pPr>
    <w:rPr>
      <w:position w:val="-10"/>
    </w:rPr>
  </w:style>
  <w:style w:type="paragraph" w:customStyle="1" w:styleId="68">
    <w:name w:val="列出段落2"/>
    <w:basedOn w:val="1"/>
    <w:qFormat/>
    <w:uiPriority w:val="0"/>
    <w:pPr>
      <w:ind w:firstLine="420" w:firstLineChars="200"/>
    </w:pPr>
  </w:style>
  <w:style w:type="paragraph" w:customStyle="1" w:styleId="69">
    <w:name w:val="zhang正文"/>
    <w:basedOn w:val="10"/>
    <w:qFormat/>
    <w:uiPriority w:val="0"/>
    <w:pPr>
      <w:autoSpaceDE w:val="0"/>
      <w:autoSpaceDN w:val="0"/>
      <w:adjustRightInd w:val="0"/>
      <w:snapToGrid w:val="0"/>
      <w:spacing w:line="500" w:lineRule="exact"/>
      <w:ind w:firstLine="539"/>
      <w:textAlignment w:val="baseline"/>
    </w:pPr>
    <w:rPr>
      <w:rFonts w:eastAsia="楷体_GB2312"/>
      <w:kern w:val="0"/>
      <w:sz w:val="28"/>
    </w:rPr>
  </w:style>
  <w:style w:type="paragraph" w:customStyle="1" w:styleId="70">
    <w:name w:val="蓝森表头"/>
    <w:basedOn w:val="1"/>
    <w:qFormat/>
    <w:uiPriority w:val="0"/>
    <w:pPr>
      <w:spacing w:line="520" w:lineRule="exact"/>
      <w:ind w:firstLine="480" w:firstLineChars="200"/>
    </w:pPr>
    <w:rPr>
      <w:rFonts w:ascii="黑体" w:eastAsia="黑体"/>
      <w:bCs/>
      <w:sz w:val="24"/>
      <w:szCs w:val="24"/>
    </w:rPr>
  </w:style>
  <w:style w:type="character" w:customStyle="1" w:styleId="71">
    <w:name w:val="fontstyle21"/>
    <w:qFormat/>
    <w:uiPriority w:val="0"/>
    <w:rPr>
      <w:rFonts w:ascii="TimesNewRomanPSMT" w:hAnsi="TimesNewRomanPSMT" w:cs="Times New Roman"/>
      <w:color w:val="000000"/>
      <w:sz w:val="24"/>
      <w:szCs w:val="24"/>
    </w:rPr>
  </w:style>
  <w:style w:type="character" w:customStyle="1" w:styleId="72">
    <w:name w:val="表后正文 Char Char"/>
    <w:link w:val="56"/>
    <w:qFormat/>
    <w:locked/>
    <w:uiPriority w:val="0"/>
    <w:rPr>
      <w:kern w:val="2"/>
      <w:sz w:val="32"/>
      <w:lang w:val="en-US" w:eastAsia="zh-CN"/>
    </w:rPr>
  </w:style>
  <w:style w:type="character" w:customStyle="1" w:styleId="73">
    <w:name w:val="fontstyle31"/>
    <w:qFormat/>
    <w:uiPriority w:val="0"/>
    <w:rPr>
      <w:rFonts w:ascii="Times New Roman" w:hAnsi="Times New Roman" w:cs="Times New Roman"/>
      <w:color w:val="000000"/>
      <w:sz w:val="22"/>
      <w:szCs w:val="22"/>
    </w:rPr>
  </w:style>
  <w:style w:type="character" w:customStyle="1" w:styleId="74">
    <w:name w:val="页脚 Char"/>
    <w:link w:val="27"/>
    <w:qFormat/>
    <w:locked/>
    <w:uiPriority w:val="0"/>
    <w:rPr>
      <w:kern w:val="2"/>
      <w:sz w:val="18"/>
    </w:rPr>
  </w:style>
  <w:style w:type="character" w:customStyle="1" w:styleId="75">
    <w:name w:val="批注框文本 Char"/>
    <w:link w:val="26"/>
    <w:qFormat/>
    <w:locked/>
    <w:uiPriority w:val="0"/>
    <w:rPr>
      <w:kern w:val="2"/>
      <w:sz w:val="18"/>
    </w:rPr>
  </w:style>
  <w:style w:type="character" w:customStyle="1" w:styleId="76">
    <w:name w:val="正文文本缩进 3 Char"/>
    <w:link w:val="30"/>
    <w:qFormat/>
    <w:locked/>
    <w:uiPriority w:val="0"/>
    <w:rPr>
      <w:rFonts w:ascii="Calibri" w:hAnsi="Calibri" w:cs="Times New Roman"/>
      <w:kern w:val="2"/>
      <w:sz w:val="16"/>
      <w:szCs w:val="16"/>
    </w:rPr>
  </w:style>
  <w:style w:type="character" w:customStyle="1" w:styleId="77">
    <w:name w:val="批注文字 Char"/>
    <w:link w:val="22"/>
    <w:qFormat/>
    <w:locked/>
    <w:uiPriority w:val="0"/>
    <w:rPr>
      <w:kern w:val="2"/>
      <w:sz w:val="21"/>
    </w:rPr>
  </w:style>
  <w:style w:type="character" w:customStyle="1" w:styleId="78">
    <w:name w:val="批注主题 Char"/>
    <w:link w:val="33"/>
    <w:qFormat/>
    <w:locked/>
    <w:uiPriority w:val="0"/>
    <w:rPr>
      <w:b/>
      <w:kern w:val="2"/>
      <w:sz w:val="21"/>
    </w:rPr>
  </w:style>
  <w:style w:type="character" w:customStyle="1" w:styleId="79">
    <w:name w:val="fontstyle11"/>
    <w:qFormat/>
    <w:uiPriority w:val="0"/>
    <w:rPr>
      <w:rFonts w:ascii="宋体" w:hAnsi="宋体" w:eastAsia="宋体" w:cs="Times New Roman"/>
      <w:color w:val="000000"/>
      <w:sz w:val="24"/>
      <w:szCs w:val="24"/>
    </w:rPr>
  </w:style>
  <w:style w:type="character" w:customStyle="1" w:styleId="80">
    <w:name w:val="正文文本 Char"/>
    <w:link w:val="23"/>
    <w:qFormat/>
    <w:locked/>
    <w:uiPriority w:val="0"/>
    <w:rPr>
      <w:kern w:val="2"/>
      <w:sz w:val="21"/>
    </w:rPr>
  </w:style>
  <w:style w:type="character" w:customStyle="1" w:styleId="81">
    <w:name w:val="纯文本 Char"/>
    <w:link w:val="24"/>
    <w:qFormat/>
    <w:locked/>
    <w:uiPriority w:val="0"/>
    <w:rPr>
      <w:rFonts w:ascii="宋体" w:hAnsi="Courier New"/>
      <w:kern w:val="2"/>
      <w:sz w:val="21"/>
    </w:rPr>
  </w:style>
  <w:style w:type="character" w:customStyle="1" w:styleId="82">
    <w:name w:val="正文内容 Char"/>
    <w:link w:val="47"/>
    <w:qFormat/>
    <w:locked/>
    <w:uiPriority w:val="0"/>
    <w:rPr>
      <w:sz w:val="24"/>
    </w:rPr>
  </w:style>
  <w:style w:type="character" w:customStyle="1" w:styleId="83">
    <w:name w:val="正文缩进 Char"/>
    <w:link w:val="19"/>
    <w:qFormat/>
    <w:locked/>
    <w:uiPriority w:val="0"/>
    <w:rPr>
      <w:kern w:val="2"/>
      <w:sz w:val="28"/>
    </w:rPr>
  </w:style>
  <w:style w:type="character" w:customStyle="1" w:styleId="84">
    <w:name w:val="fontstyle01"/>
    <w:qFormat/>
    <w:uiPriority w:val="0"/>
    <w:rPr>
      <w:rFonts w:ascii="宋体" w:hAnsi="宋体" w:eastAsia="宋体" w:cs="Times New Roman"/>
      <w:color w:val="000000"/>
      <w:sz w:val="24"/>
      <w:szCs w:val="24"/>
    </w:rPr>
  </w:style>
  <w:style w:type="table" w:customStyle="1" w:styleId="85">
    <w:name w:val="Table Normal1"/>
    <w:qFormat/>
    <w:uiPriority w:val="0"/>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86">
    <w:name w:val="List Paragraph1"/>
    <w:basedOn w:val="1"/>
    <w:qFormat/>
    <w:uiPriority w:val="0"/>
    <w:pPr>
      <w:ind w:firstLine="420" w:firstLineChars="200"/>
    </w:pPr>
    <w:rPr>
      <w:szCs w:val="22"/>
    </w:rPr>
  </w:style>
  <w:style w:type="paragraph" w:customStyle="1" w:styleId="87">
    <w:name w:val="正文-lin"/>
    <w:basedOn w:val="1"/>
    <w:qFormat/>
    <w:uiPriority w:val="0"/>
    <w:pPr>
      <w:spacing w:line="360" w:lineRule="auto"/>
      <w:ind w:firstLine="1040" w:firstLineChars="200"/>
    </w:pPr>
    <w:rPr>
      <w:kern w:val="0"/>
      <w:sz w:val="24"/>
      <w:szCs w:val="20"/>
    </w:rPr>
  </w:style>
  <w:style w:type="paragraph" w:customStyle="1" w:styleId="88">
    <w:name w:val="样式 表格表头样式"/>
    <w:basedOn w:val="1"/>
    <w:qFormat/>
    <w:uiPriority w:val="0"/>
    <w:pPr>
      <w:widowControl/>
      <w:tabs>
        <w:tab w:val="left" w:pos="360"/>
      </w:tabs>
      <w:adjustRightInd w:val="0"/>
      <w:snapToGrid w:val="0"/>
      <w:ind w:left="360" w:hanging="360"/>
      <w:jc w:val="center"/>
    </w:pPr>
    <w:rPr>
      <w:rFonts w:eastAsia="黑体" w:cs="宋体"/>
      <w:kern w:val="0"/>
      <w:sz w:val="24"/>
      <w:szCs w:val="20"/>
    </w:rPr>
  </w:style>
  <w:style w:type="paragraph" w:customStyle="1" w:styleId="89">
    <w:name w:val="表头"/>
    <w:basedOn w:val="18"/>
    <w:next w:val="90"/>
    <w:qFormat/>
    <w:uiPriority w:val="0"/>
    <w:pPr>
      <w:keepNext/>
      <w:autoSpaceDE w:val="0"/>
      <w:autoSpaceDN w:val="0"/>
      <w:adjustRightInd w:val="0"/>
      <w:spacing w:before="240" w:line="360" w:lineRule="auto"/>
      <w:ind w:left="0" w:leftChars="0" w:firstLine="0" w:firstLineChars="0"/>
      <w:jc w:val="center"/>
      <w:textAlignment w:val="baseline"/>
    </w:pPr>
    <w:rPr>
      <w:rFonts w:eastAsia="楷体_GB2312"/>
      <w:kern w:val="0"/>
      <w:sz w:val="28"/>
      <w:szCs w:val="20"/>
    </w:rPr>
  </w:style>
  <w:style w:type="paragraph" w:customStyle="1" w:styleId="90">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91">
    <w:name w:val="无间隔1"/>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92">
    <w:name w:val="缩进"/>
    <w:basedOn w:val="1"/>
    <w:qFormat/>
    <w:uiPriority w:val="0"/>
    <w:pPr>
      <w:autoSpaceDE w:val="0"/>
      <w:autoSpaceDN w:val="0"/>
      <w:adjustRightInd w:val="0"/>
      <w:spacing w:line="400" w:lineRule="atLeast"/>
      <w:ind w:firstLine="480" w:firstLineChars="200"/>
      <w:textAlignment w:val="baseline"/>
    </w:pPr>
    <w:rPr>
      <w:sz w:val="24"/>
      <w:szCs w:val="20"/>
    </w:rPr>
  </w:style>
  <w:style w:type="paragraph" w:customStyle="1" w:styleId="93">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5" Type="http://schemas.microsoft.com/office/2011/relationships/people" Target="people.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header" Target="header2.xml"/><Relationship Id="rId69" Type="http://schemas.openxmlformats.org/officeDocument/2006/relationships/image" Target="media/image41.jpe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jpeg"/><Relationship Id="rId65" Type="http://schemas.openxmlformats.org/officeDocument/2006/relationships/image" Target="media/image37.jpeg"/><Relationship Id="rId64" Type="http://schemas.openxmlformats.org/officeDocument/2006/relationships/image" Target="media/image36.jpeg"/><Relationship Id="rId63" Type="http://schemas.openxmlformats.org/officeDocument/2006/relationships/image" Target="media/image35.jpeg"/><Relationship Id="rId62" Type="http://schemas.openxmlformats.org/officeDocument/2006/relationships/image" Target="media/image34.jpe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3.xml"/><Relationship Id="rId59" Type="http://schemas.openxmlformats.org/officeDocument/2006/relationships/image" Target="media/image31.png"/><Relationship Id="rId58" Type="http://schemas.openxmlformats.org/officeDocument/2006/relationships/image" Target="media/image30.wmf"/><Relationship Id="rId57" Type="http://schemas.openxmlformats.org/officeDocument/2006/relationships/oleObject" Target="embeddings/oleObject15.bin"/><Relationship Id="rId56" Type="http://schemas.openxmlformats.org/officeDocument/2006/relationships/oleObject" Target="embeddings/oleObject14.bin"/><Relationship Id="rId55" Type="http://schemas.openxmlformats.org/officeDocument/2006/relationships/image" Target="media/image29.wmf"/><Relationship Id="rId54" Type="http://schemas.openxmlformats.org/officeDocument/2006/relationships/oleObject" Target="embeddings/oleObject13.bin"/><Relationship Id="rId53" Type="http://schemas.openxmlformats.org/officeDocument/2006/relationships/image" Target="media/image28.wmf"/><Relationship Id="rId52" Type="http://schemas.openxmlformats.org/officeDocument/2006/relationships/oleObject" Target="embeddings/oleObject12.bin"/><Relationship Id="rId51" Type="http://schemas.openxmlformats.org/officeDocument/2006/relationships/oleObject" Target="embeddings/oleObject11.bin"/><Relationship Id="rId50" Type="http://schemas.openxmlformats.org/officeDocument/2006/relationships/image" Target="media/image27.wmf"/><Relationship Id="rId5" Type="http://schemas.openxmlformats.org/officeDocument/2006/relationships/footer" Target="footer2.xml"/><Relationship Id="rId49" Type="http://schemas.openxmlformats.org/officeDocument/2006/relationships/oleObject" Target="embeddings/oleObject10.bin"/><Relationship Id="rId48" Type="http://schemas.openxmlformats.org/officeDocument/2006/relationships/image" Target="media/image26.wmf"/><Relationship Id="rId47" Type="http://schemas.openxmlformats.org/officeDocument/2006/relationships/oleObject" Target="embeddings/oleObject9.bin"/><Relationship Id="rId46" Type="http://schemas.openxmlformats.org/officeDocument/2006/relationships/image" Target="media/image25.wmf"/><Relationship Id="rId45" Type="http://schemas.openxmlformats.org/officeDocument/2006/relationships/oleObject" Target="embeddings/oleObject8.bin"/><Relationship Id="rId44" Type="http://schemas.openxmlformats.org/officeDocument/2006/relationships/image" Target="media/image24.wmf"/><Relationship Id="rId43" Type="http://schemas.openxmlformats.org/officeDocument/2006/relationships/oleObject" Target="embeddings/oleObject7.bin"/><Relationship Id="rId42" Type="http://schemas.openxmlformats.org/officeDocument/2006/relationships/image" Target="media/image23.wmf"/><Relationship Id="rId41" Type="http://schemas.openxmlformats.org/officeDocument/2006/relationships/oleObject" Target="embeddings/oleObject6.bin"/><Relationship Id="rId40" Type="http://schemas.openxmlformats.org/officeDocument/2006/relationships/image" Target="media/image22.wmf"/><Relationship Id="rId4" Type="http://schemas.openxmlformats.org/officeDocument/2006/relationships/footer" Target="footer1.xml"/><Relationship Id="rId39" Type="http://schemas.openxmlformats.org/officeDocument/2006/relationships/oleObject" Target="embeddings/oleObject5.bin"/><Relationship Id="rId38" Type="http://schemas.openxmlformats.org/officeDocument/2006/relationships/image" Target="media/image21.wmf"/><Relationship Id="rId37" Type="http://schemas.openxmlformats.org/officeDocument/2006/relationships/oleObject" Target="embeddings/oleObject4.bin"/><Relationship Id="rId36" Type="http://schemas.openxmlformats.org/officeDocument/2006/relationships/image" Target="media/image20.wmf"/><Relationship Id="rId35" Type="http://schemas.openxmlformats.org/officeDocument/2006/relationships/oleObject" Target="embeddings/oleObject3.bin"/><Relationship Id="rId34" Type="http://schemas.openxmlformats.org/officeDocument/2006/relationships/image" Target="media/image19.wmf"/><Relationship Id="rId33" Type="http://schemas.openxmlformats.org/officeDocument/2006/relationships/oleObject" Target="embeddings/oleObject2.bin"/><Relationship Id="rId32" Type="http://schemas.openxmlformats.org/officeDocument/2006/relationships/image" Target="media/image18.wmf"/><Relationship Id="rId31" Type="http://schemas.openxmlformats.org/officeDocument/2006/relationships/oleObject" Target="embeddings/oleObject1.bin"/><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2052"/>
    <customShpInfo spid="_x0000_s2053"/>
    <customShpInfo spid="_x0000_s2054"/>
    <customShpInfo spid="_x0000_s2056"/>
    <customShpInfo spid="_x0000_s2057"/>
    <customShpInfo spid="_x0000_s2059"/>
    <customShpInfo spid="_x0000_s2060"/>
    <customShpInfo spid="_x0000_s2061"/>
    <customShpInfo spid="_x0000_s2058"/>
    <customShpInfo spid="_x0000_s2062"/>
    <customShpInfo spid="_x0000_s2145"/>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4" textRotate="1"/>
    <customShpInfo spid="_x0000_s2112"/>
    <customShpInfo spid="_x0000_s2113"/>
    <customShpInfo spid="_x0000_s2120" textRotate="1"/>
    <customShpInfo spid="_x0000_s2121"/>
    <customShpInfo spid="_x0000_s2122"/>
    <customShpInfo spid="_x0000_s2123"/>
    <customShpInfo spid="_x0000_s2124"/>
    <customShpInfo spid="_x0000_s2114"/>
    <customShpInfo spid="_x0000_s2146" textRotate="1"/>
    <customShpInfo spid="_x0000_s2050"/>
    <customShpInfo spid="_x0000_s21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81</Pages>
  <Words>4974</Words>
  <Characters>28357</Characters>
  <Lines>236</Lines>
  <Paragraphs>66</Paragraphs>
  <TotalTime>0</TotalTime>
  <ScaleCrop>false</ScaleCrop>
  <LinksUpToDate>false</LinksUpToDate>
  <CharactersWithSpaces>33265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2018-05-05T14:06:00Z</dcterms:created>
  <dc:creator>GDLHHB</dc:creator>
  <cp:lastModifiedBy>hpb</cp:lastModifiedBy>
  <cp:lastPrinted>2017-03-01T09:22:00Z</cp:lastPrinted>
  <dcterms:modified xsi:type="dcterms:W3CDTF">2020-04-10T01:46:11Z</dcterms:modified>
  <dc:title>建设项目环境影响报告表</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