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color w:val="auto"/>
          <w:highlight w:val="none"/>
        </w:rPr>
      </w:pPr>
      <w:r>
        <w:rPr>
          <w:color w:val="auto"/>
          <w:sz w:val="20"/>
          <w:highlight w:val="none"/>
        </w:rPr>
        <w:pict>
          <v:rect id="_x0000_s1026" o:spid="_x0000_s1026" o:spt="1" style="position:absolute;left:0pt;margin-left:333pt;margin-top:7.8pt;height:70.2pt;width:126pt;z-index:251655168;mso-width-relative:page;mso-height-relative:page;" coordsize="21600,21600">
            <v:path/>
            <v:fill focussize="0,0"/>
            <v:stroke/>
            <v:imagedata o:title=""/>
            <o:lock v:ext="edit"/>
            <v:textbox>
              <w:txbxContent>
                <w:p>
                  <w:pPr>
                    <w:pStyle w:val="55"/>
                    <w:topLinePunct w:val="0"/>
                    <w:autoSpaceDE/>
                    <w:autoSpaceDN/>
                    <w:adjustRightInd/>
                    <w:spacing w:before="120" w:beforeLines="50"/>
                    <w:textAlignment w:val="auto"/>
                    <w:rPr>
                      <w:rFonts w:ascii="楷体_GB2312" w:hAnsi="宋体" w:eastAsia="楷体_GB2312"/>
                      <w:kern w:val="2"/>
                      <w:position w:val="0"/>
                      <w:sz w:val="24"/>
                      <w:szCs w:val="24"/>
                    </w:rPr>
                  </w:pPr>
                  <w:r>
                    <w:rPr>
                      <w:rFonts w:hint="eastAsia" w:ascii="楷体_GB2312" w:hAnsi="Times New Roman" w:eastAsia="楷体_GB2312"/>
                      <w:kern w:val="2"/>
                      <w:position w:val="0"/>
                      <w:sz w:val="24"/>
                      <w:szCs w:val="24"/>
                    </w:rPr>
                    <w:t xml:space="preserve"> </w:t>
                  </w:r>
                  <w:r>
                    <w:rPr>
                      <w:rFonts w:hint="eastAsia" w:ascii="楷体_GB2312" w:hAnsi="宋体" w:eastAsia="楷体_GB2312"/>
                      <w:kern w:val="2"/>
                      <w:position w:val="0"/>
                      <w:sz w:val="24"/>
                      <w:szCs w:val="24"/>
                    </w:rPr>
                    <w:t>报告表编号</w:t>
                  </w:r>
                </w:p>
                <w:p>
                  <w:pPr>
                    <w:rPr>
                      <w:rFonts w:ascii="楷体_GB2312" w:hAnsi="宋体" w:eastAsia="楷体_GB2312"/>
                    </w:rPr>
                  </w:pPr>
                  <w:r>
                    <w:rPr>
                      <w:rFonts w:hint="eastAsia" w:ascii="楷体_GB2312" w:hAnsi="宋体" w:eastAsia="楷体_GB2312"/>
                    </w:rPr>
                    <w:t xml:space="preserve">       </w:t>
                  </w:r>
                  <w:r>
                    <w:rPr>
                      <w:rFonts w:hint="eastAsia" w:ascii="楷体_GB2312" w:hAnsi="宋体" w:eastAsia="楷体_GB2312"/>
                      <w:u w:val="single"/>
                    </w:rPr>
                    <w:t xml:space="preserve">         </w:t>
                  </w:r>
                  <w:r>
                    <w:rPr>
                      <w:rFonts w:hint="eastAsia" w:ascii="楷体_GB2312" w:hAnsi="宋体" w:eastAsia="楷体_GB2312"/>
                    </w:rPr>
                    <w:t xml:space="preserve"> 年</w:t>
                  </w:r>
                </w:p>
                <w:p>
                  <w:pPr>
                    <w:pStyle w:val="55"/>
                    <w:topLinePunct w:val="0"/>
                    <w:autoSpaceDE/>
                    <w:autoSpaceDN/>
                    <w:adjustRightInd/>
                    <w:jc w:val="both"/>
                    <w:textAlignment w:val="auto"/>
                    <w:rPr>
                      <w:rFonts w:ascii="楷体_GB2312" w:hAnsi="宋体" w:eastAsia="楷体_GB2312"/>
                      <w:kern w:val="2"/>
                      <w:position w:val="0"/>
                      <w:szCs w:val="24"/>
                      <w:u w:val="single"/>
                    </w:rPr>
                  </w:pPr>
                  <w:r>
                    <w:rPr>
                      <w:rFonts w:hint="eastAsia" w:ascii="楷体_GB2312" w:hAnsi="宋体" w:eastAsia="楷体_GB2312"/>
                      <w:kern w:val="2"/>
                      <w:position w:val="0"/>
                      <w:sz w:val="24"/>
                      <w:szCs w:val="24"/>
                    </w:rPr>
                    <w:t>编号：</w:t>
                  </w:r>
                  <w:r>
                    <w:rPr>
                      <w:rFonts w:hint="eastAsia" w:ascii="楷体_GB2312" w:hAnsi="宋体" w:eastAsia="楷体_GB2312"/>
                      <w:kern w:val="2"/>
                      <w:position w:val="0"/>
                      <w:sz w:val="24"/>
                      <w:szCs w:val="24"/>
                      <w:u w:val="single"/>
                    </w:rPr>
                    <w:t xml:space="preserve">         </w:t>
                  </w:r>
                  <w:r>
                    <w:rPr>
                      <w:rFonts w:hint="eastAsia" w:ascii="楷体_GB2312" w:hAnsi="宋体" w:eastAsia="楷体_GB2312"/>
                      <w:kern w:val="2"/>
                      <w:position w:val="0"/>
                      <w:sz w:val="24"/>
                      <w:szCs w:val="24"/>
                    </w:rPr>
                    <w:t xml:space="preserve"> </w:t>
                  </w:r>
                </w:p>
              </w:txbxContent>
            </v:textbox>
          </v:rect>
        </w:pict>
      </w:r>
    </w:p>
    <w:p>
      <w:pPr>
        <w:jc w:val="center"/>
        <w:rPr>
          <w:color w:val="auto"/>
          <w:highlight w:val="none"/>
        </w:rPr>
      </w:pPr>
    </w:p>
    <w:p>
      <w:pPr>
        <w:jc w:val="center"/>
        <w:rPr>
          <w:color w:val="auto"/>
          <w:highlight w:val="none"/>
        </w:rPr>
      </w:pPr>
    </w:p>
    <w:p>
      <w:pPr>
        <w:jc w:val="center"/>
        <w:rPr>
          <w:color w:val="auto"/>
          <w:highlight w:val="none"/>
        </w:rPr>
      </w:pPr>
    </w:p>
    <w:p>
      <w:pPr>
        <w:rPr>
          <w:color w:val="auto"/>
          <w:highlight w:val="none"/>
        </w:rPr>
      </w:pPr>
    </w:p>
    <w:p>
      <w:pPr>
        <w:spacing w:before="240" w:beforeLines="100" w:after="240" w:afterLines="100"/>
        <w:jc w:val="center"/>
        <w:rPr>
          <w:b/>
          <w:bCs/>
          <w:color w:val="auto"/>
          <w:spacing w:val="30"/>
          <w:sz w:val="72"/>
          <w:highlight w:val="none"/>
        </w:rPr>
      </w:pPr>
    </w:p>
    <w:p>
      <w:pPr>
        <w:spacing w:before="240" w:beforeLines="100" w:after="240" w:afterLines="100"/>
        <w:jc w:val="center"/>
        <w:rPr>
          <w:b/>
          <w:bCs/>
          <w:color w:val="auto"/>
          <w:spacing w:val="30"/>
          <w:sz w:val="72"/>
          <w:highlight w:val="none"/>
        </w:rPr>
      </w:pPr>
      <w:r>
        <w:rPr>
          <w:b/>
          <w:bCs/>
          <w:color w:val="auto"/>
          <w:spacing w:val="30"/>
          <w:sz w:val="72"/>
          <w:highlight w:val="none"/>
        </w:rPr>
        <w:t>建设项目环境影响报告表</w:t>
      </w:r>
    </w:p>
    <w:p>
      <w:pPr>
        <w:rPr>
          <w:b/>
          <w:color w:val="auto"/>
          <w:highlight w:val="none"/>
        </w:rPr>
      </w:pPr>
    </w:p>
    <w:p>
      <w:pPr>
        <w:rPr>
          <w:b/>
          <w:color w:val="auto"/>
          <w:highlight w:val="none"/>
        </w:rPr>
      </w:pPr>
    </w:p>
    <w:p>
      <w:pPr>
        <w:rPr>
          <w:b/>
          <w:color w:val="auto"/>
          <w:highlight w:val="none"/>
        </w:rPr>
      </w:pPr>
      <w:r>
        <w:rPr>
          <w:b/>
          <w:color w:val="auto"/>
          <w:highlight w:val="none"/>
        </w:rPr>
        <w:fldChar w:fldCharType="begin"/>
      </w:r>
      <w:r>
        <w:rPr>
          <w:b/>
          <w:color w:val="auto"/>
          <w:highlight w:val="none"/>
        </w:rPr>
        <w:instrText xml:space="preserve"> ASK name "请输入建设项目名称：" \* MERGEFORMAT </w:instrText>
      </w:r>
      <w:r>
        <w:rPr>
          <w:b/>
          <w:color w:val="auto"/>
          <w:highlight w:val="none"/>
        </w:rPr>
        <w:fldChar w:fldCharType="separate"/>
      </w:r>
      <w:r>
        <w:rPr>
          <w:b/>
          <w:color w:val="auto"/>
          <w:highlight w:val="none"/>
        </w:rPr>
        <w:t>留庆新横街住宅综合楼</w:t>
      </w:r>
      <w:r>
        <w:rPr>
          <w:b/>
          <w:color w:val="auto"/>
          <w:highlight w:val="none"/>
        </w:rPr>
        <w:fldChar w:fldCharType="end"/>
      </w:r>
      <w:r>
        <w:rPr>
          <w:b/>
          <w:color w:val="auto"/>
          <w:highlight w:val="none"/>
        </w:rPr>
        <w:fldChar w:fldCharType="begin"/>
      </w:r>
      <w:r>
        <w:rPr>
          <w:b/>
          <w:color w:val="auto"/>
          <w:highlight w:val="none"/>
        </w:rPr>
        <w:instrText xml:space="preserve"> ASK jshxzh "请输入建设性质(新建、改建或扩建)：" \* MERGEFORMAT </w:instrText>
      </w:r>
      <w:r>
        <w:rPr>
          <w:b/>
          <w:color w:val="auto"/>
          <w:highlight w:val="none"/>
        </w:rPr>
        <w:fldChar w:fldCharType="separate"/>
      </w:r>
      <w:bookmarkStart w:id="0" w:name="jshxzh"/>
      <w:r>
        <w:rPr>
          <w:b/>
          <w:color w:val="auto"/>
          <w:highlight w:val="none"/>
        </w:rPr>
        <w:t>新  建</w:t>
      </w:r>
      <w:bookmarkEnd w:id="0"/>
      <w:r>
        <w:rPr>
          <w:b/>
          <w:color w:val="auto"/>
          <w:highlight w:val="none"/>
        </w:rPr>
        <w:fldChar w:fldCharType="end"/>
      </w:r>
      <w:r>
        <w:rPr>
          <w:b/>
          <w:color w:val="auto"/>
          <w:highlight w:val="none"/>
        </w:rPr>
        <w:fldChar w:fldCharType="begin"/>
      </w:r>
      <w:r>
        <w:rPr>
          <w:b/>
          <w:color w:val="auto"/>
          <w:highlight w:val="none"/>
        </w:rPr>
        <w:instrText xml:space="preserve"> ASK address "请输入建设地点：" \* MERGEFORMAT </w:instrText>
      </w:r>
      <w:r>
        <w:rPr>
          <w:b/>
          <w:color w:val="auto"/>
          <w:highlight w:val="none"/>
        </w:rPr>
        <w:fldChar w:fldCharType="separate"/>
      </w:r>
      <w:r>
        <w:rPr>
          <w:b/>
          <w:color w:val="auto"/>
          <w:highlight w:val="none"/>
        </w:rPr>
        <w:t>荔湾区黄沙大道留庆新横街10-20号</w:t>
      </w:r>
      <w:r>
        <w:rPr>
          <w:b/>
          <w:color w:val="auto"/>
          <w:highlight w:val="none"/>
        </w:rPr>
        <w:fldChar w:fldCharType="end"/>
      </w:r>
      <w:r>
        <w:rPr>
          <w:b/>
          <w:color w:val="auto"/>
          <w:highlight w:val="none"/>
        </w:rPr>
        <w:fldChar w:fldCharType="begin"/>
      </w:r>
      <w:r>
        <w:rPr>
          <w:b/>
          <w:color w:val="auto"/>
          <w:highlight w:val="none"/>
        </w:rPr>
        <w:instrText xml:space="preserve"> ASK investor "请输入建设单位名称：" \* MERGEFORMAT </w:instrText>
      </w:r>
      <w:r>
        <w:rPr>
          <w:b/>
          <w:color w:val="auto"/>
          <w:highlight w:val="none"/>
        </w:rPr>
        <w:fldChar w:fldCharType="separate"/>
      </w:r>
      <w:r>
        <w:rPr>
          <w:b/>
          <w:color w:val="auto"/>
          <w:highlight w:val="none"/>
        </w:rPr>
        <w:t>广州羊城铁路集团羊城铁路总公司</w:t>
      </w:r>
      <w:r>
        <w:rPr>
          <w:b/>
          <w:color w:val="auto"/>
          <w:highlight w:val="none"/>
        </w:rPr>
        <w:br w:type="textWrapping"/>
      </w:r>
      <w:r>
        <w:rPr>
          <w:b/>
          <w:color w:val="auto"/>
          <w:highlight w:val="none"/>
        </w:rPr>
        <w:t>广州市南岭铁路地产开发有限公司</w:t>
      </w:r>
      <w:r>
        <w:rPr>
          <w:b/>
          <w:color w:val="auto"/>
          <w:highlight w:val="none"/>
        </w:rPr>
        <w:fldChar w:fldCharType="end"/>
      </w:r>
      <w:r>
        <w:rPr>
          <w:b/>
          <w:color w:val="auto"/>
          <w:highlight w:val="none"/>
        </w:rPr>
        <w:fldChar w:fldCharType="begin"/>
      </w:r>
      <w:r>
        <w:rPr>
          <w:b/>
          <w:color w:val="auto"/>
          <w:highlight w:val="none"/>
        </w:rPr>
        <w:instrText xml:space="preserve"> ASK investment "请输入总投资额：" \* MERGEFORMAT </w:instrText>
      </w:r>
      <w:r>
        <w:rPr>
          <w:b/>
          <w:color w:val="auto"/>
          <w:highlight w:val="none"/>
        </w:rPr>
        <w:fldChar w:fldCharType="separate"/>
      </w:r>
      <w:bookmarkStart w:id="1" w:name="investment"/>
      <w:r>
        <w:rPr>
          <w:b/>
          <w:color w:val="auto"/>
          <w:highlight w:val="none"/>
        </w:rPr>
        <w:t>约2000</w:t>
      </w:r>
      <w:bookmarkEnd w:id="1"/>
      <w:r>
        <w:rPr>
          <w:b/>
          <w:color w:val="auto"/>
          <w:highlight w:val="none"/>
        </w:rPr>
        <w:fldChar w:fldCharType="end"/>
      </w:r>
      <w:r>
        <w:rPr>
          <w:b/>
          <w:color w:val="auto"/>
          <w:highlight w:val="none"/>
        </w:rPr>
        <w:fldChar w:fldCharType="begin"/>
      </w:r>
      <w:r>
        <w:rPr>
          <w:b/>
          <w:color w:val="auto"/>
          <w:highlight w:val="none"/>
        </w:rPr>
        <w:instrText xml:space="preserve"> ASK chwsh "请输入停车场车位数量：" \* MERGEFORMAT </w:instrText>
      </w:r>
      <w:r>
        <w:rPr>
          <w:b/>
          <w:color w:val="auto"/>
          <w:highlight w:val="none"/>
        </w:rPr>
        <w:fldChar w:fldCharType="separate"/>
      </w:r>
      <w:bookmarkStart w:id="2" w:name="chwsh"/>
      <w:r>
        <w:rPr>
          <w:b/>
          <w:color w:val="auto"/>
          <w:highlight w:val="none"/>
        </w:rPr>
        <w:t>20</w:t>
      </w:r>
      <w:r>
        <w:rPr>
          <w:b/>
          <w:color w:val="auto"/>
          <w:highlight w:val="none"/>
        </w:rPr>
        <w:br w:type="textWrapping"/>
      </w:r>
      <w:bookmarkEnd w:id="2"/>
      <w:r>
        <w:rPr>
          <w:b/>
          <w:color w:val="auto"/>
          <w:highlight w:val="none"/>
        </w:rPr>
        <w:fldChar w:fldCharType="end"/>
      </w:r>
      <w:r>
        <w:rPr>
          <w:b/>
          <w:color w:val="auto"/>
          <w:highlight w:val="none"/>
        </w:rPr>
        <w:fldChar w:fldCharType="begin"/>
      </w:r>
      <w:r>
        <w:rPr>
          <w:b/>
          <w:color w:val="auto"/>
          <w:highlight w:val="none"/>
        </w:rPr>
        <w:instrText xml:space="preserve"> ASK landarea "请输入项目占地面积：" \* MERGEFORMAT </w:instrText>
      </w:r>
      <w:r>
        <w:rPr>
          <w:b/>
          <w:color w:val="auto"/>
          <w:highlight w:val="none"/>
        </w:rPr>
        <w:fldChar w:fldCharType="separate"/>
      </w:r>
      <w:bookmarkStart w:id="3" w:name="landarea"/>
      <w:r>
        <w:rPr>
          <w:b/>
          <w:color w:val="auto"/>
          <w:highlight w:val="none"/>
        </w:rPr>
        <w:t>2491</w:t>
      </w:r>
      <w:bookmarkEnd w:id="3"/>
      <w:r>
        <w:rPr>
          <w:b/>
          <w:color w:val="auto"/>
          <w:highlight w:val="none"/>
        </w:rPr>
        <w:fldChar w:fldCharType="end"/>
      </w:r>
      <w:r>
        <w:rPr>
          <w:b/>
          <w:color w:val="auto"/>
          <w:highlight w:val="none"/>
        </w:rPr>
        <w:fldChar w:fldCharType="begin"/>
      </w:r>
      <w:r>
        <w:rPr>
          <w:b/>
          <w:color w:val="auto"/>
          <w:highlight w:val="none"/>
        </w:rPr>
        <w:instrText xml:space="preserve"> ASK builtuparea "请输入建筑面积（m</w:instrText>
      </w:r>
      <w:r>
        <w:rPr>
          <w:b/>
          <w:color w:val="auto"/>
          <w:highlight w:val="none"/>
          <w:vertAlign w:val="superscript"/>
        </w:rPr>
        <w:instrText xml:space="preserve">2</w:instrText>
      </w:r>
      <w:r>
        <w:rPr>
          <w:b/>
          <w:color w:val="auto"/>
          <w:highlight w:val="none"/>
        </w:rPr>
        <w:instrText xml:space="preserve">）：" \* MERGEFORMAT </w:instrText>
      </w:r>
      <w:r>
        <w:rPr>
          <w:b/>
          <w:color w:val="auto"/>
          <w:highlight w:val="none"/>
        </w:rPr>
        <w:fldChar w:fldCharType="separate"/>
      </w:r>
      <w:bookmarkStart w:id="4" w:name="builtuparea"/>
      <w:r>
        <w:rPr>
          <w:b/>
          <w:color w:val="auto"/>
          <w:highlight w:val="none"/>
        </w:rPr>
        <w:t>11585</w:t>
      </w:r>
      <w:bookmarkEnd w:id="4"/>
      <w:r>
        <w:rPr>
          <w:b/>
          <w:color w:val="auto"/>
          <w:highlight w:val="none"/>
        </w:rPr>
        <w:fldChar w:fldCharType="end"/>
      </w:r>
      <w:r>
        <w:rPr>
          <w:b/>
          <w:color w:val="auto"/>
          <w:highlight w:val="none"/>
        </w:rPr>
        <w:fldChar w:fldCharType="begin"/>
      </w:r>
      <w:r>
        <w:rPr>
          <w:b/>
          <w:color w:val="auto"/>
          <w:highlight w:val="none"/>
        </w:rPr>
        <w:instrText xml:space="preserve"> ASK basearea "请输入地下室面积（m</w:instrText>
      </w:r>
      <w:r>
        <w:rPr>
          <w:b/>
          <w:color w:val="auto"/>
          <w:highlight w:val="none"/>
          <w:vertAlign w:val="superscript"/>
        </w:rPr>
        <w:instrText xml:space="preserve">2</w:instrText>
      </w:r>
      <w:r>
        <w:rPr>
          <w:b/>
          <w:color w:val="auto"/>
          <w:highlight w:val="none"/>
        </w:rPr>
        <w:instrText xml:space="preserve">）：" \* MERGEFORMAT </w:instrText>
      </w:r>
      <w:r>
        <w:rPr>
          <w:b/>
          <w:color w:val="auto"/>
          <w:highlight w:val="none"/>
        </w:rPr>
        <w:fldChar w:fldCharType="separate"/>
      </w:r>
      <w:bookmarkStart w:id="5" w:name="basearea"/>
      <w:r>
        <w:rPr>
          <w:b/>
          <w:color w:val="auto"/>
          <w:highlight w:val="none"/>
        </w:rPr>
        <w:t>987</w:t>
      </w:r>
      <w:bookmarkEnd w:id="5"/>
      <w:r>
        <w:rPr>
          <w:b/>
          <w:color w:val="auto"/>
          <w:highlight w:val="none"/>
        </w:rPr>
        <w:fldChar w:fldCharType="end"/>
      </w:r>
      <w:r>
        <w:rPr>
          <w:b/>
          <w:color w:val="auto"/>
          <w:highlight w:val="none"/>
        </w:rPr>
        <w:fldChar w:fldCharType="begin"/>
      </w:r>
      <w:r>
        <w:rPr>
          <w:b/>
          <w:color w:val="auto"/>
          <w:highlight w:val="none"/>
        </w:rPr>
        <w:instrText xml:space="preserve"> ASK marketarea "请输入商场、办公等配套设施的建筑面积（m</w:instrText>
      </w:r>
      <w:r>
        <w:rPr>
          <w:b/>
          <w:color w:val="auto"/>
          <w:highlight w:val="none"/>
          <w:vertAlign w:val="superscript"/>
        </w:rPr>
        <w:instrText xml:space="preserve">2</w:instrText>
      </w:r>
      <w:r>
        <w:rPr>
          <w:b/>
          <w:color w:val="auto"/>
          <w:highlight w:val="none"/>
        </w:rPr>
        <w:instrText xml:space="preserve">）：" \* MERGEFORMAT </w:instrText>
      </w:r>
      <w:r>
        <w:rPr>
          <w:b/>
          <w:color w:val="auto"/>
          <w:highlight w:val="none"/>
        </w:rPr>
        <w:fldChar w:fldCharType="separate"/>
      </w:r>
      <w:bookmarkStart w:id="6" w:name="marketarea"/>
      <w:r>
        <w:rPr>
          <w:b/>
          <w:color w:val="auto"/>
          <w:highlight w:val="none"/>
        </w:rPr>
        <w:t>1024</w:t>
      </w:r>
      <w:bookmarkEnd w:id="6"/>
      <w:r>
        <w:rPr>
          <w:b/>
          <w:color w:val="auto"/>
          <w:highlight w:val="none"/>
        </w:rPr>
        <w:fldChar w:fldCharType="end"/>
      </w:r>
      <w:r>
        <w:rPr>
          <w:b/>
          <w:color w:val="auto"/>
          <w:highlight w:val="none"/>
        </w:rPr>
        <w:fldChar w:fldCharType="begin"/>
      </w:r>
      <w:r>
        <w:rPr>
          <w:b/>
          <w:color w:val="auto"/>
          <w:highlight w:val="none"/>
        </w:rPr>
        <w:instrText xml:space="preserve"> ASK zzhsh "请输入住宅总套数：" \* MERGEFORMAT </w:instrText>
      </w:r>
      <w:r>
        <w:rPr>
          <w:b/>
          <w:color w:val="auto"/>
          <w:highlight w:val="none"/>
        </w:rPr>
        <w:fldChar w:fldCharType="separate"/>
      </w:r>
      <w:bookmarkStart w:id="7" w:name="zzhsh"/>
      <w:r>
        <w:rPr>
          <w:b/>
          <w:color w:val="auto"/>
          <w:highlight w:val="none"/>
        </w:rPr>
        <w:t>98</w:t>
      </w:r>
      <w:bookmarkEnd w:id="7"/>
      <w:r>
        <w:rPr>
          <w:b/>
          <w:color w:val="auto"/>
          <w:highlight w:val="none"/>
        </w:rPr>
        <w:fldChar w:fldCharType="end"/>
      </w:r>
      <w:r>
        <w:rPr>
          <w:b/>
          <w:color w:val="auto"/>
          <w:highlight w:val="none"/>
        </w:rPr>
        <w:fldChar w:fldCharType="begin"/>
      </w:r>
      <w:r>
        <w:rPr>
          <w:b/>
          <w:color w:val="auto"/>
          <w:highlight w:val="none"/>
        </w:rPr>
        <w:instrText xml:space="preserve"> ASK rjl "请输入建设项目容积率：" \* MERGEFORMAT </w:instrText>
      </w:r>
      <w:r>
        <w:rPr>
          <w:b/>
          <w:color w:val="auto"/>
          <w:highlight w:val="none"/>
        </w:rPr>
        <w:fldChar w:fldCharType="separate"/>
      </w:r>
      <w:bookmarkStart w:id="8" w:name="rjl"/>
      <w:r>
        <w:rPr>
          <w:b/>
          <w:color w:val="auto"/>
          <w:highlight w:val="none"/>
        </w:rPr>
        <w:t>5.2</w:t>
      </w:r>
      <w:bookmarkEnd w:id="8"/>
      <w:r>
        <w:rPr>
          <w:b/>
          <w:color w:val="auto"/>
          <w:highlight w:val="none"/>
        </w:rPr>
        <w:fldChar w:fldCharType="end"/>
      </w:r>
      <w:r>
        <w:rPr>
          <w:b/>
          <w:color w:val="auto"/>
          <w:highlight w:val="none"/>
        </w:rPr>
        <w:fldChar w:fldCharType="begin"/>
      </w:r>
      <w:r>
        <w:rPr>
          <w:b/>
          <w:color w:val="auto"/>
          <w:highlight w:val="none"/>
        </w:rPr>
        <w:instrText xml:space="preserve"> ASK jzhmd "请输入建设项目建设密度：" \* MERGEFORMAT </w:instrText>
      </w:r>
      <w:r>
        <w:rPr>
          <w:b/>
          <w:color w:val="auto"/>
          <w:highlight w:val="none"/>
        </w:rPr>
        <w:fldChar w:fldCharType="separate"/>
      </w:r>
      <w:bookmarkStart w:id="9" w:name="jzhmd"/>
      <w:r>
        <w:rPr>
          <w:b/>
          <w:color w:val="auto"/>
          <w:highlight w:val="none"/>
        </w:rPr>
        <w:t>51.8</w:t>
      </w:r>
      <w:bookmarkEnd w:id="9"/>
      <w:r>
        <w:rPr>
          <w:b/>
          <w:color w:val="auto"/>
          <w:highlight w:val="none"/>
        </w:rPr>
        <w:fldChar w:fldCharType="end"/>
      </w:r>
      <w:r>
        <w:rPr>
          <w:b/>
          <w:color w:val="auto"/>
          <w:highlight w:val="none"/>
        </w:rPr>
        <w:fldChar w:fldCharType="begin"/>
      </w:r>
      <w:r>
        <w:rPr>
          <w:b/>
          <w:color w:val="auto"/>
          <w:highlight w:val="none"/>
        </w:rPr>
        <w:instrText xml:space="preserve"> ASK lhl "请输入建设项目绿化率：" \* MERGEFORMAT </w:instrText>
      </w:r>
      <w:r>
        <w:rPr>
          <w:b/>
          <w:color w:val="auto"/>
          <w:highlight w:val="none"/>
        </w:rPr>
        <w:fldChar w:fldCharType="separate"/>
      </w:r>
      <w:bookmarkStart w:id="10" w:name="lhl"/>
      <w:r>
        <w:rPr>
          <w:b/>
          <w:color w:val="auto"/>
          <w:highlight w:val="none"/>
        </w:rPr>
        <w:t>25</w:t>
      </w:r>
      <w:bookmarkEnd w:id="10"/>
      <w:r>
        <w:rPr>
          <w:b/>
          <w:color w:val="auto"/>
          <w:highlight w:val="none"/>
        </w:rPr>
        <w:fldChar w:fldCharType="end"/>
      </w:r>
      <w:r>
        <w:rPr>
          <w:b/>
          <w:color w:val="auto"/>
          <w:highlight w:val="none"/>
        </w:rPr>
        <w:fldChar w:fldCharType="begin"/>
      </w:r>
      <w:r>
        <w:rPr>
          <w:b/>
          <w:color w:val="auto"/>
          <w:highlight w:val="none"/>
        </w:rPr>
        <w:instrText xml:space="preserve"> ASK wushch "请输入城市污水厂名称（如大坦沙）：" \* MERGEFORMAT </w:instrText>
      </w:r>
      <w:r>
        <w:rPr>
          <w:b/>
          <w:color w:val="auto"/>
          <w:highlight w:val="none"/>
        </w:rPr>
        <w:fldChar w:fldCharType="separate"/>
      </w:r>
      <w:bookmarkStart w:id="11" w:name="wushch"/>
      <w:r>
        <w:rPr>
          <w:b/>
          <w:color w:val="auto"/>
          <w:highlight w:val="none"/>
        </w:rPr>
        <w:t>大坦沙</w:t>
      </w:r>
      <w:bookmarkEnd w:id="11"/>
      <w:r>
        <w:rPr>
          <w:b/>
          <w:color w:val="auto"/>
          <w:highlight w:val="none"/>
        </w:rPr>
        <w:fldChar w:fldCharType="end"/>
      </w:r>
      <w:r>
        <w:rPr>
          <w:b/>
          <w:color w:val="auto"/>
          <w:highlight w:val="none"/>
        </w:rPr>
        <w:fldChar w:fldCharType="begin"/>
      </w:r>
      <w:r>
        <w:rPr>
          <w:b/>
          <w:color w:val="auto"/>
          <w:highlight w:val="none"/>
        </w:rPr>
        <w:instrText xml:space="preserve"> ASK hangdao "请输入受纳污水的航道名称：" \* MERGEFORMAT </w:instrText>
      </w:r>
      <w:r>
        <w:rPr>
          <w:b/>
          <w:color w:val="auto"/>
          <w:highlight w:val="none"/>
        </w:rPr>
        <w:fldChar w:fldCharType="separate"/>
      </w:r>
      <w:r>
        <w:rPr>
          <w:b/>
          <w:color w:val="auto"/>
          <w:highlight w:val="none"/>
        </w:rPr>
        <w:t>西航道</w:t>
      </w:r>
      <w:r>
        <w:rPr>
          <w:b/>
          <w:color w:val="auto"/>
          <w:highlight w:val="none"/>
        </w:rPr>
        <w:fldChar w:fldCharType="end"/>
      </w:r>
      <w:r>
        <w:rPr>
          <w:b/>
          <w:color w:val="auto"/>
          <w:highlight w:val="none"/>
        </w:rPr>
        <w:fldChar w:fldCharType="begin"/>
      </w:r>
      <w:r>
        <w:rPr>
          <w:b/>
          <w:color w:val="auto"/>
          <w:highlight w:val="none"/>
        </w:rPr>
        <w:instrText xml:space="preserve"> ASK pzhdw "请输入建设批准单位：" \* MERGEFORMAT </w:instrText>
      </w:r>
      <w:r>
        <w:rPr>
          <w:b/>
          <w:color w:val="auto"/>
          <w:highlight w:val="none"/>
        </w:rPr>
        <w:fldChar w:fldCharType="separate"/>
      </w:r>
      <w:bookmarkStart w:id="12" w:name="pzhdw"/>
      <w:r>
        <w:rPr>
          <w:b/>
          <w:color w:val="auto"/>
          <w:highlight w:val="none"/>
        </w:rPr>
        <w:t>广州市城市规划局</w:t>
      </w:r>
      <w:bookmarkEnd w:id="12"/>
      <w:r>
        <w:rPr>
          <w:b/>
          <w:color w:val="auto"/>
          <w:highlight w:val="none"/>
        </w:rPr>
        <w:fldChar w:fldCharType="end"/>
      </w:r>
      <w:r>
        <w:rPr>
          <w:b/>
          <w:color w:val="auto"/>
          <w:highlight w:val="none"/>
        </w:rPr>
        <w:fldChar w:fldCharType="begin"/>
      </w:r>
      <w:r>
        <w:rPr>
          <w:b/>
          <w:color w:val="auto"/>
          <w:highlight w:val="none"/>
        </w:rPr>
        <w:instrText xml:space="preserve"> ASK jshyj "请输入建设依据：" \* MERGEFORMAT </w:instrText>
      </w:r>
      <w:r>
        <w:rPr>
          <w:b/>
          <w:color w:val="auto"/>
          <w:highlight w:val="none"/>
        </w:rPr>
        <w:fldChar w:fldCharType="separate"/>
      </w:r>
      <w:bookmarkStart w:id="13" w:name="jshyj"/>
      <w:bookmarkStart w:id="14" w:name="yshyj"/>
      <w:r>
        <w:rPr>
          <w:b/>
          <w:color w:val="auto"/>
          <w:highlight w:val="none"/>
        </w:rPr>
        <w:t>穗规建发字（2000）第454号</w:t>
      </w:r>
      <w:bookmarkEnd w:id="13"/>
      <w:bookmarkEnd w:id="14"/>
      <w:r>
        <w:rPr>
          <w:b/>
          <w:color w:val="auto"/>
          <w:highlight w:val="none"/>
        </w:rPr>
        <w:fldChar w:fldCharType="end"/>
      </w:r>
      <w:r>
        <w:rPr>
          <w:b/>
          <w:color w:val="auto"/>
          <w:highlight w:val="none"/>
        </w:rPr>
        <w:fldChar w:fldCharType="begin"/>
      </w:r>
      <w:r>
        <w:rPr>
          <w:b/>
          <w:color w:val="auto"/>
          <w:highlight w:val="none"/>
        </w:rPr>
        <w:instrText xml:space="preserve"> ASK setpower "请输入柴油发电机功率（kW）：" \* MERGEFORMAT </w:instrText>
      </w:r>
      <w:r>
        <w:rPr>
          <w:b/>
          <w:color w:val="auto"/>
          <w:highlight w:val="none"/>
        </w:rPr>
        <w:fldChar w:fldCharType="separate"/>
      </w:r>
      <w:bookmarkStart w:id="15" w:name="setpower"/>
      <w:r>
        <w:rPr>
          <w:b/>
          <w:color w:val="auto"/>
          <w:highlight w:val="none"/>
        </w:rPr>
        <w:t>240</w:t>
      </w:r>
      <w:bookmarkEnd w:id="15"/>
      <w:r>
        <w:rPr>
          <w:b/>
          <w:color w:val="auto"/>
          <w:highlight w:val="none"/>
        </w:rPr>
        <w:fldChar w:fldCharType="end"/>
      </w:r>
    </w:p>
    <w:p>
      <w:pPr>
        <w:rPr>
          <w:color w:val="auto"/>
          <w:highlight w:val="none"/>
        </w:rPr>
      </w:pPr>
      <w:r>
        <w:rPr>
          <w:color w:val="auto"/>
          <w:highlight w:val="none"/>
        </w:rPr>
        <w:t xml:space="preserve"> </w:t>
      </w: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spacing w:line="300" w:lineRule="auto"/>
        <w:jc w:val="center"/>
        <w:rPr>
          <w:rFonts w:hint="eastAsia"/>
          <w:b/>
          <w:bCs/>
          <w:color w:val="auto"/>
          <w:sz w:val="36"/>
          <w:szCs w:val="36"/>
          <w:highlight w:val="none"/>
          <w:u w:val="single"/>
          <w:lang w:eastAsia="zh-CN"/>
        </w:rPr>
      </w:pPr>
      <w:r>
        <w:rPr>
          <w:b/>
          <w:bCs/>
          <w:color w:val="auto"/>
          <w:spacing w:val="20"/>
          <w:sz w:val="36"/>
          <w:szCs w:val="36"/>
          <w:highlight w:val="none"/>
        </w:rPr>
        <w:t xml:space="preserve">项目名称： </w:t>
      </w:r>
      <w:r>
        <w:rPr>
          <w:b/>
          <w:bCs/>
          <w:color w:val="auto"/>
          <w:spacing w:val="20"/>
          <w:sz w:val="36"/>
          <w:szCs w:val="36"/>
          <w:highlight w:val="none"/>
          <w:u w:val="single"/>
        </w:rPr>
        <w:t xml:space="preserve"> </w:t>
      </w:r>
      <w:r>
        <w:rPr>
          <w:rFonts w:hint="eastAsia"/>
          <w:b/>
          <w:bCs/>
          <w:color w:val="auto"/>
          <w:sz w:val="36"/>
          <w:szCs w:val="36"/>
          <w:highlight w:val="none"/>
          <w:u w:val="single"/>
          <w:lang w:eastAsia="zh-CN"/>
        </w:rPr>
        <w:t>开平市水口镇荣辉模具厂年产卫浴塑料</w:t>
      </w:r>
    </w:p>
    <w:p>
      <w:pPr>
        <w:spacing w:line="300" w:lineRule="auto"/>
        <w:jc w:val="center"/>
        <w:rPr>
          <w:rFonts w:hint="eastAsia" w:eastAsia="宋体"/>
          <w:b/>
          <w:bCs/>
          <w:color w:val="auto"/>
          <w:spacing w:val="20"/>
          <w:sz w:val="36"/>
          <w:szCs w:val="36"/>
          <w:highlight w:val="none"/>
          <w:lang w:eastAsia="zh-CN"/>
        </w:rPr>
      </w:pPr>
      <w:r>
        <w:rPr>
          <w:rFonts w:hint="eastAsia"/>
          <w:b/>
          <w:bCs/>
          <w:color w:val="auto"/>
          <w:sz w:val="36"/>
          <w:szCs w:val="36"/>
          <w:highlight w:val="none"/>
          <w:u w:val="none"/>
          <w:lang w:val="en-US" w:eastAsia="zh-CN"/>
        </w:rPr>
        <w:t xml:space="preserve">              </w:t>
      </w:r>
      <w:r>
        <w:rPr>
          <w:rFonts w:hint="eastAsia"/>
          <w:b/>
          <w:bCs/>
          <w:color w:val="auto"/>
          <w:sz w:val="36"/>
          <w:szCs w:val="36"/>
          <w:highlight w:val="none"/>
          <w:u w:val="single"/>
          <w:lang w:eastAsia="zh-CN"/>
        </w:rPr>
        <w:t>配件100万件建设项目</w:t>
      </w:r>
    </w:p>
    <w:p>
      <w:pPr>
        <w:spacing w:line="300" w:lineRule="auto"/>
        <w:jc w:val="center"/>
        <w:rPr>
          <w:b/>
          <w:bCs/>
          <w:color w:val="auto"/>
          <w:spacing w:val="20"/>
          <w:sz w:val="36"/>
          <w:szCs w:val="36"/>
          <w:highlight w:val="none"/>
        </w:rPr>
      </w:pPr>
    </w:p>
    <w:p>
      <w:pPr>
        <w:spacing w:line="300" w:lineRule="auto"/>
        <w:jc w:val="center"/>
        <w:rPr>
          <w:b/>
          <w:bCs/>
          <w:color w:val="auto"/>
          <w:sz w:val="36"/>
          <w:highlight w:val="none"/>
          <w:u w:val="single"/>
        </w:rPr>
      </w:pPr>
      <w:r>
        <w:rPr>
          <w:b/>
          <w:bCs/>
          <w:color w:val="auto"/>
          <w:spacing w:val="-10"/>
          <w:sz w:val="36"/>
          <w:szCs w:val="36"/>
          <w:highlight w:val="none"/>
        </w:rPr>
        <w:t>建设单位（盖章）</w:t>
      </w:r>
      <w:r>
        <w:rPr>
          <w:b/>
          <w:bCs/>
          <w:color w:val="auto"/>
          <w:spacing w:val="20"/>
          <w:sz w:val="36"/>
          <w:szCs w:val="36"/>
          <w:highlight w:val="none"/>
        </w:rPr>
        <w:t>：</w:t>
      </w:r>
      <w:r>
        <w:rPr>
          <w:rFonts w:hint="eastAsia"/>
          <w:b/>
          <w:bCs/>
          <w:color w:val="auto"/>
          <w:sz w:val="36"/>
          <w:szCs w:val="36"/>
          <w:highlight w:val="none"/>
          <w:u w:val="single"/>
        </w:rPr>
        <w:t xml:space="preserve"> 开平市水口镇荣辉模具厂</w:t>
      </w:r>
    </w:p>
    <w:p>
      <w:pPr>
        <w:spacing w:line="300" w:lineRule="auto"/>
        <w:jc w:val="center"/>
        <w:rPr>
          <w:b/>
          <w:color w:val="auto"/>
          <w:highlight w:val="none"/>
        </w:rPr>
      </w:pPr>
    </w:p>
    <w:p>
      <w:pPr>
        <w:rPr>
          <w:b/>
          <w:color w:val="auto"/>
          <w:highlight w:val="none"/>
        </w:rPr>
      </w:pPr>
    </w:p>
    <w:p>
      <w:pPr>
        <w:rPr>
          <w:b/>
          <w:color w:val="auto"/>
          <w:highlight w:val="none"/>
        </w:rPr>
      </w:pPr>
    </w:p>
    <w:p>
      <w:pPr>
        <w:rPr>
          <w:b/>
          <w:color w:val="auto"/>
          <w:highlight w:val="none"/>
        </w:rPr>
      </w:pPr>
    </w:p>
    <w:p>
      <w:pPr>
        <w:rPr>
          <w:b/>
          <w:color w:val="auto"/>
          <w:highlight w:val="none"/>
        </w:rPr>
      </w:pPr>
    </w:p>
    <w:p>
      <w:pPr>
        <w:rPr>
          <w:b/>
          <w:color w:val="auto"/>
          <w:highlight w:val="none"/>
        </w:rPr>
      </w:pPr>
    </w:p>
    <w:p>
      <w:pPr>
        <w:rPr>
          <w:b/>
          <w:color w:val="auto"/>
          <w:highlight w:val="none"/>
        </w:rPr>
      </w:pPr>
    </w:p>
    <w:p>
      <w:pPr>
        <w:spacing w:line="300" w:lineRule="auto"/>
        <w:jc w:val="center"/>
        <w:rPr>
          <w:color w:val="auto"/>
          <w:sz w:val="30"/>
          <w:highlight w:val="none"/>
        </w:rPr>
      </w:pPr>
      <w:r>
        <w:rPr>
          <w:color w:val="auto"/>
          <w:sz w:val="30"/>
          <w:highlight w:val="none"/>
        </w:rPr>
        <w:t>编制日期：201</w:t>
      </w:r>
      <w:r>
        <w:rPr>
          <w:rFonts w:hint="eastAsia"/>
          <w:color w:val="auto"/>
          <w:sz w:val="30"/>
          <w:highlight w:val="none"/>
        </w:rPr>
        <w:t>9</w:t>
      </w:r>
      <w:r>
        <w:rPr>
          <w:color w:val="auto"/>
          <w:sz w:val="30"/>
          <w:highlight w:val="none"/>
        </w:rPr>
        <w:t>年</w:t>
      </w:r>
      <w:r>
        <w:rPr>
          <w:rFonts w:hint="eastAsia"/>
          <w:color w:val="auto"/>
          <w:sz w:val="30"/>
          <w:highlight w:val="none"/>
          <w:lang w:val="en-US" w:eastAsia="zh-CN"/>
        </w:rPr>
        <w:t>8</w:t>
      </w:r>
      <w:r>
        <w:rPr>
          <w:color w:val="auto"/>
          <w:sz w:val="30"/>
          <w:highlight w:val="none"/>
        </w:rPr>
        <w:t>月</w:t>
      </w:r>
    </w:p>
    <w:p>
      <w:pPr>
        <w:jc w:val="center"/>
        <w:rPr>
          <w:color w:val="auto"/>
          <w:sz w:val="30"/>
          <w:highlight w:val="none"/>
        </w:rPr>
      </w:pPr>
      <w:r>
        <w:rPr>
          <w:color w:val="auto"/>
          <w:sz w:val="30"/>
          <w:highlight w:val="none"/>
        </w:rPr>
        <w:t>国家</w:t>
      </w:r>
      <w:r>
        <w:rPr>
          <w:rFonts w:hint="eastAsia"/>
          <w:color w:val="auto"/>
          <w:sz w:val="30"/>
          <w:highlight w:val="none"/>
        </w:rPr>
        <w:t>生态环境部</w:t>
      </w:r>
      <w:r>
        <w:rPr>
          <w:color w:val="auto"/>
          <w:sz w:val="30"/>
          <w:highlight w:val="none"/>
        </w:rPr>
        <w:t>制</w:t>
      </w:r>
    </w:p>
    <w:p>
      <w:pPr>
        <w:spacing w:line="300" w:lineRule="auto"/>
        <w:rPr>
          <w:color w:val="auto"/>
          <w:sz w:val="36"/>
          <w:highlight w:val="none"/>
        </w:rPr>
        <w:sectPr>
          <w:headerReference r:id="rId4" w:type="first"/>
          <w:footerReference r:id="rId6" w:type="first"/>
          <w:headerReference r:id="rId3" w:type="default"/>
          <w:footerReference r:id="rId5" w:type="even"/>
          <w:pgSz w:w="11907" w:h="16840"/>
          <w:pgMar w:top="1531" w:right="1134" w:bottom="1134" w:left="1418" w:header="0" w:footer="1055" w:gutter="0"/>
          <w:pgNumType w:start="0"/>
          <w:cols w:space="720" w:num="1"/>
          <w:docGrid w:linePitch="326" w:charSpace="-4916"/>
        </w:sectPr>
      </w:pPr>
    </w:p>
    <w:p>
      <w:pPr>
        <w:pStyle w:val="47"/>
        <w:rPr>
          <w:rFonts w:hint="eastAsia" w:eastAsia="宋体"/>
          <w:color w:val="auto"/>
          <w:highlight w:val="none"/>
          <w:lang w:eastAsia="zh-CN"/>
        </w:rPr>
        <w:sectPr>
          <w:pgSz w:w="11907" w:h="16840"/>
          <w:pgMar w:top="1531" w:right="1134" w:bottom="1134" w:left="1418" w:header="0" w:footer="1055" w:gutter="0"/>
          <w:pgNumType w:start="0"/>
          <w:cols w:space="720" w:num="1"/>
          <w:docGrid w:linePitch="326" w:charSpace="-4916"/>
        </w:sectPr>
      </w:pPr>
      <w:r>
        <w:rPr>
          <w:color w:val="auto"/>
          <w:highlight w:val="none"/>
        </w:rPr>
        <w:drawing>
          <wp:inline distT="0" distB="0" distL="114300" distR="114300">
            <wp:extent cx="5930900" cy="8373110"/>
            <wp:effectExtent l="0" t="0" r="12700" b="8890"/>
            <wp:docPr id="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5"/>
                    <pic:cNvPicPr>
                      <a:picLocks noChangeAspect="1"/>
                    </pic:cNvPicPr>
                  </pic:nvPicPr>
                  <pic:blipFill>
                    <a:blip r:embed="rId30"/>
                    <a:stretch>
                      <a:fillRect/>
                    </a:stretch>
                  </pic:blipFill>
                  <pic:spPr>
                    <a:xfrm>
                      <a:off x="0" y="0"/>
                      <a:ext cx="5930900" cy="8373110"/>
                    </a:xfrm>
                    <a:prstGeom prst="rect">
                      <a:avLst/>
                    </a:prstGeom>
                    <a:noFill/>
                    <a:ln>
                      <a:noFill/>
                    </a:ln>
                  </pic:spPr>
                </pic:pic>
              </a:graphicData>
            </a:graphic>
          </wp:inline>
        </w:drawing>
      </w:r>
      <w:r>
        <w:rPr>
          <w:color w:val="auto"/>
          <w:highlight w:val="none"/>
        </w:rPr>
        <w:drawing>
          <wp:inline distT="0" distB="0" distL="114300" distR="114300">
            <wp:extent cx="5930900" cy="8373110"/>
            <wp:effectExtent l="0" t="0" r="12700" b="889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31"/>
                    <a:stretch>
                      <a:fillRect/>
                    </a:stretch>
                  </pic:blipFill>
                  <pic:spPr>
                    <a:xfrm>
                      <a:off x="0" y="0"/>
                      <a:ext cx="5930900" cy="8373110"/>
                    </a:xfrm>
                    <a:prstGeom prst="rect">
                      <a:avLst/>
                    </a:prstGeom>
                    <a:noFill/>
                    <a:ln>
                      <a:noFill/>
                    </a:ln>
                  </pic:spPr>
                </pic:pic>
              </a:graphicData>
            </a:graphic>
          </wp:inline>
        </w:drawing>
      </w:r>
      <w:r>
        <w:rPr>
          <w:color w:val="auto"/>
          <w:highlight w:val="none"/>
        </w:rPr>
        <w:drawing>
          <wp:inline distT="0" distB="0" distL="114300" distR="114300">
            <wp:extent cx="5930900" cy="8373110"/>
            <wp:effectExtent l="0" t="0" r="12700" b="8890"/>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32"/>
                    <a:stretch>
                      <a:fillRect/>
                    </a:stretch>
                  </pic:blipFill>
                  <pic:spPr>
                    <a:xfrm>
                      <a:off x="0" y="0"/>
                      <a:ext cx="5930900" cy="8373110"/>
                    </a:xfrm>
                    <a:prstGeom prst="rect">
                      <a:avLst/>
                    </a:prstGeom>
                    <a:noFill/>
                    <a:ln>
                      <a:noFill/>
                    </a:ln>
                  </pic:spPr>
                </pic:pic>
              </a:graphicData>
            </a:graphic>
          </wp:inline>
        </w:drawing>
      </w:r>
      <w:r>
        <w:drawing>
          <wp:inline distT="0" distB="0" distL="114300" distR="114300">
            <wp:extent cx="5755005" cy="6975475"/>
            <wp:effectExtent l="0" t="0" r="17145" b="15875"/>
            <wp:docPr id="4" name="图片 4" descr="张丽惠社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张丽惠社保"/>
                    <pic:cNvPicPr>
                      <a:picLocks noChangeAspect="1"/>
                    </pic:cNvPicPr>
                  </pic:nvPicPr>
                  <pic:blipFill>
                    <a:blip r:embed="rId33"/>
                    <a:stretch>
                      <a:fillRect/>
                    </a:stretch>
                  </pic:blipFill>
                  <pic:spPr>
                    <a:xfrm>
                      <a:off x="0" y="0"/>
                      <a:ext cx="5755005" cy="6975475"/>
                    </a:xfrm>
                    <a:prstGeom prst="rect">
                      <a:avLst/>
                    </a:prstGeom>
                  </pic:spPr>
                </pic:pic>
              </a:graphicData>
            </a:graphic>
          </wp:inline>
        </w:drawing>
      </w:r>
      <w:r>
        <w:rPr>
          <w:color w:val="auto"/>
          <w:highlight w:val="none"/>
        </w:rPr>
        <w:drawing>
          <wp:inline distT="0" distB="0" distL="114300" distR="114300">
            <wp:extent cx="5930900" cy="8373110"/>
            <wp:effectExtent l="0" t="0" r="12700" b="8890"/>
            <wp:docPr id="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9"/>
                    <pic:cNvPicPr>
                      <a:picLocks noChangeAspect="1"/>
                    </pic:cNvPicPr>
                  </pic:nvPicPr>
                  <pic:blipFill>
                    <a:blip r:embed="rId34"/>
                    <a:stretch>
                      <a:fillRect/>
                    </a:stretch>
                  </pic:blipFill>
                  <pic:spPr>
                    <a:xfrm>
                      <a:off x="0" y="0"/>
                      <a:ext cx="5930900" cy="8373110"/>
                    </a:xfrm>
                    <a:prstGeom prst="rect">
                      <a:avLst/>
                    </a:prstGeom>
                    <a:noFill/>
                    <a:ln>
                      <a:noFill/>
                    </a:ln>
                  </pic:spPr>
                </pic:pic>
              </a:graphicData>
            </a:graphic>
          </wp:inline>
        </w:drawing>
      </w:r>
      <w:r>
        <w:rPr>
          <w:color w:val="auto"/>
          <w:highlight w:val="none"/>
        </w:rPr>
        <w:drawing>
          <wp:inline distT="0" distB="0" distL="114300" distR="114300">
            <wp:extent cx="5930900" cy="8373110"/>
            <wp:effectExtent l="0" t="0" r="12700" b="8890"/>
            <wp:docPr id="2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0"/>
                    <pic:cNvPicPr>
                      <a:picLocks noChangeAspect="1"/>
                    </pic:cNvPicPr>
                  </pic:nvPicPr>
                  <pic:blipFill>
                    <a:blip r:embed="rId35"/>
                    <a:stretch>
                      <a:fillRect/>
                    </a:stretch>
                  </pic:blipFill>
                  <pic:spPr>
                    <a:xfrm>
                      <a:off x="0" y="0"/>
                      <a:ext cx="5930900" cy="8373110"/>
                    </a:xfrm>
                    <a:prstGeom prst="rect">
                      <a:avLst/>
                    </a:prstGeom>
                    <a:noFill/>
                    <a:ln>
                      <a:noFill/>
                    </a:ln>
                  </pic:spPr>
                </pic:pic>
              </a:graphicData>
            </a:graphic>
          </wp:inline>
        </w:drawing>
      </w:r>
      <w:r>
        <w:rPr>
          <w:rFonts w:hint="eastAsia" w:eastAsia="宋体"/>
          <w:color w:val="auto"/>
          <w:highlight w:val="none"/>
          <w:lang w:eastAsia="zh-CN"/>
        </w:rPr>
        <w:drawing>
          <wp:inline distT="0" distB="0" distL="114300" distR="114300">
            <wp:extent cx="5930900" cy="8373110"/>
            <wp:effectExtent l="0" t="0" r="12700" b="8890"/>
            <wp:docPr id="25" name="图片 25"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委托书"/>
                    <pic:cNvPicPr>
                      <a:picLocks noChangeAspect="1"/>
                    </pic:cNvPicPr>
                  </pic:nvPicPr>
                  <pic:blipFill>
                    <a:blip r:embed="rId36"/>
                    <a:stretch>
                      <a:fillRect/>
                    </a:stretch>
                  </pic:blipFill>
                  <pic:spPr>
                    <a:xfrm>
                      <a:off x="0" y="0"/>
                      <a:ext cx="5930900" cy="8373110"/>
                    </a:xfrm>
                    <a:prstGeom prst="rect">
                      <a:avLst/>
                    </a:prstGeom>
                  </pic:spPr>
                </pic:pic>
              </a:graphicData>
            </a:graphic>
          </wp:inline>
        </w:drawing>
      </w:r>
    </w:p>
    <w:p>
      <w:pPr>
        <w:spacing w:line="360" w:lineRule="auto"/>
        <w:jc w:val="center"/>
        <w:rPr>
          <w:bCs/>
          <w:color w:val="auto"/>
          <w:sz w:val="28"/>
          <w:szCs w:val="28"/>
          <w:highlight w:val="none"/>
        </w:rPr>
      </w:pPr>
      <w:r>
        <w:rPr>
          <w:rFonts w:hint="eastAsia"/>
          <w:bCs/>
          <w:color w:val="auto"/>
          <w:sz w:val="28"/>
          <w:szCs w:val="28"/>
          <w:highlight w:val="none"/>
        </w:rPr>
        <w:t>《建设项目环境影响报告表》编制说明</w:t>
      </w:r>
    </w:p>
    <w:p>
      <w:pPr>
        <w:spacing w:line="360" w:lineRule="auto"/>
        <w:jc w:val="center"/>
        <w:rPr>
          <w:bCs/>
          <w:color w:val="auto"/>
          <w:sz w:val="28"/>
          <w:szCs w:val="28"/>
          <w:highlight w:val="none"/>
        </w:rPr>
      </w:pPr>
    </w:p>
    <w:p>
      <w:pPr>
        <w:pStyle w:val="53"/>
        <w:autoSpaceDE/>
        <w:autoSpaceDN/>
        <w:adjustRightInd/>
        <w:spacing w:line="360" w:lineRule="auto"/>
        <w:jc w:val="center"/>
        <w:textAlignment w:val="auto"/>
        <w:rPr>
          <w:rFonts w:eastAsia="宋体"/>
          <w:color w:val="auto"/>
          <w:kern w:val="2"/>
          <w:szCs w:val="24"/>
          <w:highlight w:val="none"/>
        </w:rPr>
      </w:pPr>
      <w:r>
        <w:rPr>
          <w:rFonts w:hint="eastAsia" w:eastAsia="宋体"/>
          <w:color w:val="auto"/>
          <w:kern w:val="2"/>
          <w:szCs w:val="24"/>
          <w:highlight w:val="none"/>
        </w:rPr>
        <w:t>《建设项目环境影响报告表》由具有从事环境影响评价工作资质的单位编制</w:t>
      </w:r>
    </w:p>
    <w:p>
      <w:pPr>
        <w:pStyle w:val="53"/>
        <w:numPr>
          <w:ilvl w:val="0"/>
          <w:numId w:val="4"/>
        </w:numPr>
        <w:autoSpaceDE/>
        <w:autoSpaceDN/>
        <w:adjustRightInd/>
        <w:spacing w:line="360" w:lineRule="auto"/>
        <w:textAlignment w:val="auto"/>
        <w:rPr>
          <w:rFonts w:eastAsia="宋体"/>
          <w:color w:val="auto"/>
          <w:kern w:val="2"/>
          <w:szCs w:val="24"/>
          <w:highlight w:val="none"/>
        </w:rPr>
      </w:pPr>
      <w:r>
        <w:rPr>
          <w:rFonts w:hint="eastAsia" w:eastAsia="宋体"/>
          <w:color w:val="auto"/>
          <w:kern w:val="2"/>
          <w:szCs w:val="24"/>
          <w:highlight w:val="none"/>
        </w:rPr>
        <w:t>项目名称――指项目立项批复时的名称，应不超过30个字（两个英文字段作一个汉字）。</w:t>
      </w:r>
    </w:p>
    <w:p>
      <w:pPr>
        <w:pStyle w:val="53"/>
        <w:numPr>
          <w:ilvl w:val="0"/>
          <w:numId w:val="4"/>
        </w:numPr>
        <w:autoSpaceDE/>
        <w:autoSpaceDN/>
        <w:adjustRightInd/>
        <w:spacing w:line="360" w:lineRule="auto"/>
        <w:textAlignment w:val="auto"/>
        <w:rPr>
          <w:rFonts w:eastAsia="宋体"/>
          <w:color w:val="auto"/>
          <w:kern w:val="2"/>
          <w:szCs w:val="24"/>
          <w:highlight w:val="none"/>
        </w:rPr>
      </w:pPr>
      <w:r>
        <w:rPr>
          <w:rFonts w:hint="eastAsia" w:eastAsia="宋体"/>
          <w:color w:val="auto"/>
          <w:kern w:val="2"/>
          <w:szCs w:val="24"/>
          <w:highlight w:val="none"/>
        </w:rPr>
        <w:t>建设地点――指项目所在地详细地址、公路、铁路应填写起止点。</w:t>
      </w:r>
    </w:p>
    <w:p>
      <w:pPr>
        <w:pStyle w:val="53"/>
        <w:numPr>
          <w:ilvl w:val="0"/>
          <w:numId w:val="4"/>
        </w:numPr>
        <w:autoSpaceDE/>
        <w:autoSpaceDN/>
        <w:adjustRightInd/>
        <w:spacing w:line="360" w:lineRule="auto"/>
        <w:textAlignment w:val="auto"/>
        <w:rPr>
          <w:rFonts w:eastAsia="宋体"/>
          <w:color w:val="auto"/>
          <w:kern w:val="2"/>
          <w:szCs w:val="24"/>
          <w:highlight w:val="none"/>
        </w:rPr>
      </w:pPr>
      <w:r>
        <w:rPr>
          <w:rFonts w:hint="eastAsia" w:eastAsia="宋体"/>
          <w:color w:val="auto"/>
          <w:kern w:val="2"/>
          <w:szCs w:val="24"/>
          <w:highlight w:val="none"/>
        </w:rPr>
        <w:t>行业类别――按国标填写。</w:t>
      </w:r>
    </w:p>
    <w:p>
      <w:pPr>
        <w:pStyle w:val="53"/>
        <w:numPr>
          <w:ilvl w:val="0"/>
          <w:numId w:val="4"/>
        </w:numPr>
        <w:autoSpaceDE/>
        <w:autoSpaceDN/>
        <w:adjustRightInd/>
        <w:spacing w:line="360" w:lineRule="auto"/>
        <w:textAlignment w:val="auto"/>
        <w:rPr>
          <w:rFonts w:eastAsia="宋体"/>
          <w:color w:val="auto"/>
          <w:kern w:val="2"/>
          <w:szCs w:val="24"/>
          <w:highlight w:val="none"/>
        </w:rPr>
      </w:pPr>
      <w:r>
        <w:rPr>
          <w:rFonts w:hint="eastAsia" w:eastAsia="宋体"/>
          <w:color w:val="auto"/>
          <w:kern w:val="2"/>
          <w:szCs w:val="24"/>
          <w:highlight w:val="none"/>
        </w:rPr>
        <w:t>总投资　――指项目投资总额。</w:t>
      </w:r>
    </w:p>
    <w:p>
      <w:pPr>
        <w:pStyle w:val="53"/>
        <w:numPr>
          <w:ilvl w:val="0"/>
          <w:numId w:val="4"/>
        </w:numPr>
        <w:autoSpaceDE/>
        <w:autoSpaceDN/>
        <w:adjustRightInd/>
        <w:spacing w:line="360" w:lineRule="auto"/>
        <w:textAlignment w:val="auto"/>
        <w:rPr>
          <w:rFonts w:eastAsia="宋体"/>
          <w:color w:val="auto"/>
          <w:kern w:val="2"/>
          <w:szCs w:val="24"/>
          <w:highlight w:val="none"/>
        </w:rPr>
      </w:pPr>
      <w:r>
        <w:rPr>
          <w:rFonts w:hint="eastAsia" w:eastAsia="宋体"/>
          <w:color w:val="auto"/>
          <w:kern w:val="2"/>
          <w:szCs w:val="24"/>
          <w:highlight w:val="none"/>
        </w:rPr>
        <w:t>主要环境保护目标――指项目区周围一定范围内集中居民住宅、学校、医院、保护文物、风景名胜区、水源地和生态敏感点等，应尽可能给出保护目标、性质、规模和距厂界距离等。</w:t>
      </w:r>
    </w:p>
    <w:p>
      <w:pPr>
        <w:pStyle w:val="53"/>
        <w:numPr>
          <w:ilvl w:val="0"/>
          <w:numId w:val="4"/>
        </w:numPr>
        <w:autoSpaceDE/>
        <w:autoSpaceDN/>
        <w:adjustRightInd/>
        <w:spacing w:line="360" w:lineRule="auto"/>
        <w:textAlignment w:val="auto"/>
        <w:rPr>
          <w:rFonts w:eastAsia="宋体"/>
          <w:color w:val="auto"/>
          <w:kern w:val="2"/>
          <w:szCs w:val="24"/>
          <w:highlight w:val="none"/>
        </w:rPr>
      </w:pPr>
      <w:r>
        <w:rPr>
          <w:rFonts w:hint="eastAsia" w:eastAsia="宋体"/>
          <w:color w:val="auto"/>
          <w:kern w:val="2"/>
          <w:szCs w:val="24"/>
          <w:highlight w:val="none"/>
        </w:rPr>
        <w:t>结论与建议――给出本项目清洁生产、达标排放和</w:t>
      </w:r>
      <w:r>
        <w:rPr>
          <w:rFonts w:hint="eastAsia" w:ascii="宋体" w:hAnsi="宋体" w:eastAsia="宋体"/>
          <w:color w:val="auto"/>
          <w:highlight w:val="none"/>
        </w:rPr>
        <w:t>总量</w:t>
      </w:r>
      <w:r>
        <w:rPr>
          <w:rFonts w:hint="eastAsia" w:eastAsia="宋体"/>
          <w:color w:val="auto"/>
          <w:kern w:val="2"/>
          <w:szCs w:val="24"/>
          <w:highlight w:val="none"/>
        </w:rPr>
        <w:t>控制的分析结论，确定污染防治措施的有效性，说明本项目对环境造成的影响，给出建设项目环境可行性的明确结论。同时提出减少环境影响的其它建议。</w:t>
      </w:r>
    </w:p>
    <w:p>
      <w:pPr>
        <w:pStyle w:val="53"/>
        <w:numPr>
          <w:ilvl w:val="0"/>
          <w:numId w:val="4"/>
        </w:numPr>
        <w:autoSpaceDE/>
        <w:autoSpaceDN/>
        <w:adjustRightInd/>
        <w:spacing w:line="360" w:lineRule="auto"/>
        <w:textAlignment w:val="auto"/>
        <w:rPr>
          <w:rFonts w:eastAsia="宋体"/>
          <w:color w:val="auto"/>
          <w:kern w:val="2"/>
          <w:szCs w:val="24"/>
          <w:highlight w:val="none"/>
        </w:rPr>
      </w:pPr>
      <w:r>
        <w:rPr>
          <w:rFonts w:hint="eastAsia" w:eastAsia="宋体"/>
          <w:color w:val="auto"/>
          <w:kern w:val="2"/>
          <w:szCs w:val="24"/>
          <w:highlight w:val="none"/>
        </w:rPr>
        <w:t>预审意见――由行业主管部门填写答复意见，无主管部门项目，可不填。</w:t>
      </w:r>
    </w:p>
    <w:p>
      <w:pPr>
        <w:pStyle w:val="53"/>
        <w:numPr>
          <w:ilvl w:val="0"/>
          <w:numId w:val="4"/>
        </w:numPr>
        <w:autoSpaceDE/>
        <w:autoSpaceDN/>
        <w:adjustRightInd/>
        <w:spacing w:line="360" w:lineRule="auto"/>
        <w:textAlignment w:val="auto"/>
        <w:rPr>
          <w:rFonts w:eastAsia="宋体"/>
          <w:color w:val="auto"/>
          <w:kern w:val="2"/>
          <w:szCs w:val="24"/>
          <w:highlight w:val="none"/>
        </w:rPr>
      </w:pPr>
      <w:r>
        <w:rPr>
          <w:rFonts w:hint="eastAsia" w:eastAsia="宋体"/>
          <w:color w:val="auto"/>
          <w:kern w:val="2"/>
          <w:szCs w:val="24"/>
          <w:highlight w:val="none"/>
        </w:rPr>
        <w:t>审批意见――由负责审批该项目的环境保护行政主管部门批复。</w:t>
      </w:r>
    </w:p>
    <w:p>
      <w:pPr>
        <w:spacing w:line="360" w:lineRule="auto"/>
        <w:rPr>
          <w:color w:val="auto"/>
          <w:sz w:val="28"/>
          <w:highlight w:val="none"/>
        </w:rPr>
      </w:pPr>
    </w:p>
    <w:p>
      <w:pPr>
        <w:spacing w:line="360" w:lineRule="auto"/>
        <w:rPr>
          <w:color w:val="auto"/>
          <w:sz w:val="28"/>
          <w:highlight w:val="none"/>
        </w:rPr>
      </w:pPr>
    </w:p>
    <w:p>
      <w:pPr>
        <w:spacing w:line="360" w:lineRule="auto"/>
        <w:rPr>
          <w:color w:val="auto"/>
          <w:sz w:val="28"/>
          <w:highlight w:val="none"/>
        </w:rPr>
      </w:pPr>
    </w:p>
    <w:p>
      <w:pPr>
        <w:spacing w:line="360" w:lineRule="auto"/>
        <w:rPr>
          <w:color w:val="auto"/>
          <w:sz w:val="28"/>
          <w:highlight w:val="none"/>
        </w:rPr>
      </w:pPr>
    </w:p>
    <w:p>
      <w:pPr>
        <w:spacing w:line="360" w:lineRule="auto"/>
        <w:rPr>
          <w:color w:val="auto"/>
          <w:sz w:val="28"/>
          <w:highlight w:val="none"/>
        </w:rPr>
      </w:pPr>
    </w:p>
    <w:p>
      <w:pPr>
        <w:spacing w:line="360" w:lineRule="auto"/>
        <w:rPr>
          <w:color w:val="auto"/>
          <w:sz w:val="28"/>
          <w:highlight w:val="none"/>
        </w:rPr>
      </w:pPr>
    </w:p>
    <w:p>
      <w:pPr>
        <w:spacing w:line="360" w:lineRule="auto"/>
        <w:rPr>
          <w:color w:val="auto"/>
          <w:sz w:val="28"/>
          <w:highlight w:val="none"/>
        </w:rPr>
      </w:pPr>
    </w:p>
    <w:p>
      <w:pPr>
        <w:spacing w:line="360" w:lineRule="auto"/>
        <w:rPr>
          <w:color w:val="auto"/>
          <w:sz w:val="28"/>
          <w:highlight w:val="none"/>
        </w:rPr>
      </w:pPr>
    </w:p>
    <w:p>
      <w:pPr>
        <w:spacing w:line="360" w:lineRule="auto"/>
        <w:rPr>
          <w:color w:val="auto"/>
          <w:sz w:val="28"/>
          <w:highlight w:val="none"/>
        </w:rPr>
      </w:pPr>
    </w:p>
    <w:p>
      <w:pPr>
        <w:spacing w:line="360" w:lineRule="auto"/>
        <w:rPr>
          <w:color w:val="auto"/>
          <w:sz w:val="28"/>
          <w:highlight w:val="none"/>
        </w:rPr>
      </w:pPr>
    </w:p>
    <w:p>
      <w:pPr>
        <w:spacing w:line="360" w:lineRule="auto"/>
        <w:rPr>
          <w:color w:val="auto"/>
          <w:sz w:val="28"/>
          <w:highlight w:val="none"/>
        </w:rPr>
      </w:pPr>
    </w:p>
    <w:p>
      <w:pPr>
        <w:spacing w:line="360" w:lineRule="auto"/>
        <w:rPr>
          <w:color w:val="auto"/>
          <w:sz w:val="28"/>
          <w:highlight w:val="none"/>
        </w:rPr>
      </w:pPr>
    </w:p>
    <w:p>
      <w:pPr>
        <w:spacing w:line="360" w:lineRule="auto"/>
        <w:rPr>
          <w:color w:val="auto"/>
          <w:sz w:val="28"/>
          <w:highlight w:val="none"/>
        </w:rPr>
      </w:pPr>
    </w:p>
    <w:p>
      <w:pPr>
        <w:spacing w:line="360" w:lineRule="auto"/>
        <w:rPr>
          <w:color w:val="auto"/>
          <w:sz w:val="28"/>
          <w:highlight w:val="none"/>
        </w:rPr>
      </w:pPr>
    </w:p>
    <w:p>
      <w:pPr>
        <w:pStyle w:val="38"/>
        <w:jc w:val="left"/>
        <w:rPr>
          <w:rFonts w:ascii="Times New Roman" w:hAnsi="Times New Roman"/>
          <w:color w:val="auto"/>
          <w:highlight w:val="none"/>
        </w:rPr>
        <w:sectPr>
          <w:headerReference r:id="rId7" w:type="default"/>
          <w:footerReference r:id="rId8" w:type="default"/>
          <w:pgSz w:w="11907" w:h="16840"/>
          <w:pgMar w:top="1531" w:right="1134" w:bottom="1134" w:left="1418" w:header="0" w:footer="1078" w:gutter="0"/>
          <w:pgNumType w:start="1"/>
          <w:cols w:space="720" w:num="1"/>
          <w:docGrid w:linePitch="326" w:charSpace="-4916"/>
        </w:sectPr>
      </w:pPr>
    </w:p>
    <w:p>
      <w:pPr>
        <w:pStyle w:val="38"/>
        <w:jc w:val="left"/>
        <w:rPr>
          <w:rFonts w:ascii="Times New Roman" w:hAnsi="Times New Roman"/>
          <w:color w:val="auto"/>
          <w:highlight w:val="none"/>
        </w:rPr>
      </w:pPr>
      <w:r>
        <w:rPr>
          <w:rFonts w:hint="eastAsia" w:ascii="Times New Roman"/>
          <w:color w:val="auto"/>
          <w:highlight w:val="none"/>
        </w:rPr>
        <w:t>建设项目基本情况</w:t>
      </w:r>
    </w:p>
    <w:tbl>
      <w:tblPr>
        <w:tblStyle w:val="40"/>
        <w:tblW w:w="946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969"/>
        <w:gridCol w:w="1683"/>
        <w:gridCol w:w="1676"/>
        <w:gridCol w:w="7"/>
        <w:gridCol w:w="1385"/>
        <w:gridCol w:w="1859"/>
        <w:gridCol w:w="88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1969" w:type="dxa"/>
            <w:vAlign w:val="center"/>
          </w:tcPr>
          <w:p>
            <w:pPr>
              <w:jc w:val="center"/>
              <w:rPr>
                <w:color w:val="auto"/>
                <w:sz w:val="24"/>
                <w:highlight w:val="none"/>
              </w:rPr>
            </w:pPr>
            <w:r>
              <w:rPr>
                <w:rFonts w:hint="eastAsia"/>
                <w:color w:val="auto"/>
                <w:sz w:val="24"/>
                <w:highlight w:val="none"/>
              </w:rPr>
              <w:t>项目名称</w:t>
            </w:r>
          </w:p>
        </w:tc>
        <w:tc>
          <w:tcPr>
            <w:tcW w:w="7496" w:type="dxa"/>
            <w:gridSpan w:val="6"/>
            <w:vAlign w:val="center"/>
          </w:tcPr>
          <w:p>
            <w:pPr>
              <w:jc w:val="center"/>
              <w:rPr>
                <w:color w:val="auto"/>
                <w:sz w:val="24"/>
                <w:highlight w:val="none"/>
              </w:rPr>
            </w:pPr>
            <w:r>
              <w:rPr>
                <w:rFonts w:hint="eastAsia"/>
                <w:color w:val="auto"/>
                <w:sz w:val="24"/>
                <w:highlight w:val="none"/>
                <w:lang w:eastAsia="zh-CN"/>
              </w:rPr>
              <w:t>开平市水口镇荣辉模具厂年产卫浴塑料配件100万件建设项目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4" w:hRule="atLeast"/>
        </w:trPr>
        <w:tc>
          <w:tcPr>
            <w:tcW w:w="1969" w:type="dxa"/>
            <w:vAlign w:val="center"/>
          </w:tcPr>
          <w:p>
            <w:pPr>
              <w:jc w:val="center"/>
              <w:rPr>
                <w:color w:val="auto"/>
                <w:sz w:val="24"/>
                <w:highlight w:val="none"/>
              </w:rPr>
            </w:pPr>
            <w:r>
              <w:rPr>
                <w:rFonts w:hint="eastAsia"/>
                <w:color w:val="auto"/>
                <w:sz w:val="24"/>
                <w:highlight w:val="none"/>
              </w:rPr>
              <w:t>建设单位</w:t>
            </w:r>
          </w:p>
        </w:tc>
        <w:tc>
          <w:tcPr>
            <w:tcW w:w="7496" w:type="dxa"/>
            <w:gridSpan w:val="6"/>
            <w:vAlign w:val="center"/>
          </w:tcPr>
          <w:p>
            <w:pPr>
              <w:jc w:val="center"/>
              <w:rPr>
                <w:bCs/>
                <w:color w:val="auto"/>
                <w:sz w:val="24"/>
                <w:highlight w:val="none"/>
              </w:rPr>
            </w:pPr>
            <w:r>
              <w:rPr>
                <w:rFonts w:hint="eastAsia"/>
                <w:color w:val="auto"/>
                <w:sz w:val="24"/>
                <w:highlight w:val="none"/>
              </w:rPr>
              <w:t>开平市水口镇荣辉模具厂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66" w:hRule="atLeast"/>
        </w:trPr>
        <w:tc>
          <w:tcPr>
            <w:tcW w:w="1969" w:type="dxa"/>
            <w:vAlign w:val="center"/>
          </w:tcPr>
          <w:p>
            <w:pPr>
              <w:jc w:val="center"/>
              <w:rPr>
                <w:color w:val="auto"/>
                <w:sz w:val="24"/>
                <w:highlight w:val="none"/>
              </w:rPr>
            </w:pPr>
            <w:r>
              <w:rPr>
                <w:rFonts w:hint="eastAsia"/>
                <w:color w:val="auto"/>
                <w:sz w:val="24"/>
                <w:highlight w:val="none"/>
              </w:rPr>
              <w:t>法人代表</w:t>
            </w:r>
          </w:p>
        </w:tc>
        <w:tc>
          <w:tcPr>
            <w:tcW w:w="3359" w:type="dxa"/>
            <w:gridSpan w:val="2"/>
            <w:vAlign w:val="center"/>
          </w:tcPr>
          <w:p>
            <w:pPr>
              <w:jc w:val="center"/>
              <w:rPr>
                <w:bCs/>
                <w:color w:val="auto"/>
                <w:sz w:val="24"/>
                <w:highlight w:val="none"/>
              </w:rPr>
            </w:pPr>
          </w:p>
        </w:tc>
        <w:tc>
          <w:tcPr>
            <w:tcW w:w="1392" w:type="dxa"/>
            <w:gridSpan w:val="2"/>
            <w:vAlign w:val="center"/>
          </w:tcPr>
          <w:p>
            <w:pPr>
              <w:jc w:val="center"/>
              <w:rPr>
                <w:bCs/>
                <w:color w:val="auto"/>
                <w:sz w:val="24"/>
                <w:highlight w:val="none"/>
              </w:rPr>
            </w:pPr>
            <w:r>
              <w:rPr>
                <w:rFonts w:hint="eastAsia"/>
                <w:bCs/>
                <w:color w:val="auto"/>
                <w:sz w:val="24"/>
                <w:highlight w:val="none"/>
              </w:rPr>
              <w:t>联系人</w:t>
            </w:r>
          </w:p>
        </w:tc>
        <w:tc>
          <w:tcPr>
            <w:tcW w:w="2745" w:type="dxa"/>
            <w:gridSpan w:val="2"/>
            <w:vAlign w:val="center"/>
          </w:tcPr>
          <w:p>
            <w:pPr>
              <w:jc w:val="center"/>
              <w:rPr>
                <w:bCs/>
                <w:color w:val="auto"/>
                <w:sz w:val="24"/>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1969" w:type="dxa"/>
            <w:vAlign w:val="center"/>
          </w:tcPr>
          <w:p>
            <w:pPr>
              <w:jc w:val="center"/>
              <w:rPr>
                <w:color w:val="auto"/>
                <w:sz w:val="24"/>
                <w:highlight w:val="none"/>
              </w:rPr>
            </w:pPr>
            <w:r>
              <w:rPr>
                <w:rFonts w:hint="eastAsia"/>
                <w:color w:val="auto"/>
                <w:sz w:val="24"/>
                <w:highlight w:val="none"/>
              </w:rPr>
              <w:t>通讯地址</w:t>
            </w:r>
          </w:p>
        </w:tc>
        <w:tc>
          <w:tcPr>
            <w:tcW w:w="7496" w:type="dxa"/>
            <w:gridSpan w:val="6"/>
            <w:vAlign w:val="center"/>
          </w:tcPr>
          <w:p>
            <w:pPr>
              <w:jc w:val="center"/>
              <w:rPr>
                <w:bCs/>
                <w:color w:val="auto"/>
                <w:sz w:val="24"/>
                <w:highlight w:val="none"/>
              </w:rPr>
            </w:pPr>
            <w:r>
              <w:rPr>
                <w:rFonts w:hint="eastAsia"/>
                <w:bCs/>
                <w:color w:val="auto"/>
                <w:sz w:val="24"/>
                <w:highlight w:val="none"/>
              </w:rPr>
              <w:t>开平市水口镇第一工业园平冈路4号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969" w:type="dxa"/>
            <w:vAlign w:val="center"/>
          </w:tcPr>
          <w:p>
            <w:pPr>
              <w:jc w:val="center"/>
              <w:rPr>
                <w:color w:val="auto"/>
                <w:sz w:val="24"/>
                <w:highlight w:val="none"/>
              </w:rPr>
            </w:pPr>
            <w:r>
              <w:rPr>
                <w:rFonts w:hint="eastAsia"/>
                <w:color w:val="auto"/>
                <w:sz w:val="24"/>
                <w:highlight w:val="none"/>
              </w:rPr>
              <w:t>联系电话</w:t>
            </w:r>
          </w:p>
        </w:tc>
        <w:tc>
          <w:tcPr>
            <w:tcW w:w="1683" w:type="dxa"/>
            <w:vAlign w:val="center"/>
          </w:tcPr>
          <w:p>
            <w:pPr>
              <w:jc w:val="center"/>
              <w:rPr>
                <w:color w:val="auto"/>
                <w:sz w:val="24"/>
                <w:highlight w:val="none"/>
              </w:rPr>
            </w:pPr>
          </w:p>
        </w:tc>
        <w:tc>
          <w:tcPr>
            <w:tcW w:w="1676" w:type="dxa"/>
            <w:vAlign w:val="center"/>
          </w:tcPr>
          <w:p>
            <w:pPr>
              <w:jc w:val="center"/>
              <w:rPr>
                <w:color w:val="auto"/>
                <w:sz w:val="24"/>
                <w:highlight w:val="none"/>
              </w:rPr>
            </w:pPr>
            <w:r>
              <w:rPr>
                <w:rFonts w:hint="eastAsia"/>
                <w:color w:val="auto"/>
                <w:sz w:val="24"/>
                <w:highlight w:val="none"/>
              </w:rPr>
              <w:t>传  真</w:t>
            </w:r>
          </w:p>
        </w:tc>
        <w:tc>
          <w:tcPr>
            <w:tcW w:w="1392" w:type="dxa"/>
            <w:gridSpan w:val="2"/>
            <w:vAlign w:val="center"/>
          </w:tcPr>
          <w:p>
            <w:pPr>
              <w:jc w:val="center"/>
              <w:rPr>
                <w:bCs/>
                <w:color w:val="auto"/>
                <w:sz w:val="24"/>
                <w:highlight w:val="none"/>
              </w:rPr>
            </w:pPr>
            <w:r>
              <w:rPr>
                <w:rFonts w:hint="eastAsia"/>
                <w:bCs/>
                <w:color w:val="auto"/>
                <w:sz w:val="24"/>
                <w:highlight w:val="none"/>
              </w:rPr>
              <w:t>——</w:t>
            </w:r>
          </w:p>
        </w:tc>
        <w:tc>
          <w:tcPr>
            <w:tcW w:w="1859" w:type="dxa"/>
            <w:vAlign w:val="center"/>
          </w:tcPr>
          <w:p>
            <w:pPr>
              <w:jc w:val="center"/>
              <w:rPr>
                <w:color w:val="auto"/>
                <w:sz w:val="24"/>
                <w:highlight w:val="none"/>
              </w:rPr>
            </w:pPr>
            <w:r>
              <w:rPr>
                <w:rFonts w:hint="eastAsia"/>
                <w:color w:val="auto"/>
                <w:sz w:val="24"/>
                <w:highlight w:val="none"/>
              </w:rPr>
              <w:t>邮政编码</w:t>
            </w:r>
          </w:p>
        </w:tc>
        <w:tc>
          <w:tcPr>
            <w:tcW w:w="886" w:type="dxa"/>
            <w:vAlign w:val="center"/>
          </w:tcPr>
          <w:p>
            <w:pPr>
              <w:jc w:val="center"/>
              <w:rPr>
                <w:color w:val="auto"/>
                <w:sz w:val="24"/>
                <w:highlight w:val="none"/>
              </w:rPr>
            </w:pPr>
            <w:r>
              <w:rPr>
                <w:rFonts w:hint="eastAsia"/>
                <w:color w:val="auto"/>
                <w:sz w:val="24"/>
                <w:highlight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1969" w:type="dxa"/>
            <w:vAlign w:val="center"/>
          </w:tcPr>
          <w:p>
            <w:pPr>
              <w:jc w:val="center"/>
              <w:rPr>
                <w:color w:val="auto"/>
                <w:sz w:val="24"/>
                <w:highlight w:val="none"/>
              </w:rPr>
            </w:pPr>
            <w:r>
              <w:rPr>
                <w:rFonts w:hint="eastAsia"/>
                <w:color w:val="auto"/>
                <w:sz w:val="24"/>
                <w:highlight w:val="none"/>
              </w:rPr>
              <w:t>建设地点</w:t>
            </w:r>
          </w:p>
        </w:tc>
        <w:tc>
          <w:tcPr>
            <w:tcW w:w="7496" w:type="dxa"/>
            <w:gridSpan w:val="6"/>
            <w:vAlign w:val="center"/>
          </w:tcPr>
          <w:p>
            <w:pPr>
              <w:jc w:val="center"/>
              <w:rPr>
                <w:bCs/>
                <w:color w:val="auto"/>
                <w:sz w:val="24"/>
                <w:highlight w:val="none"/>
              </w:rPr>
            </w:pPr>
            <w:r>
              <w:rPr>
                <w:rFonts w:hint="eastAsia"/>
                <w:bCs/>
                <w:color w:val="auto"/>
                <w:sz w:val="24"/>
                <w:highlight w:val="none"/>
              </w:rPr>
              <w:t>开平市水口镇第一工业园平冈路4号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33" w:hRule="atLeast"/>
        </w:trPr>
        <w:tc>
          <w:tcPr>
            <w:tcW w:w="1969" w:type="dxa"/>
            <w:vAlign w:val="center"/>
          </w:tcPr>
          <w:p>
            <w:pPr>
              <w:jc w:val="center"/>
              <w:rPr>
                <w:color w:val="auto"/>
                <w:sz w:val="24"/>
                <w:highlight w:val="none"/>
              </w:rPr>
            </w:pPr>
            <w:r>
              <w:rPr>
                <w:rFonts w:hint="eastAsia"/>
                <w:color w:val="auto"/>
                <w:sz w:val="24"/>
                <w:highlight w:val="none"/>
              </w:rPr>
              <w:t>立项审批部门</w:t>
            </w:r>
          </w:p>
        </w:tc>
        <w:tc>
          <w:tcPr>
            <w:tcW w:w="3359" w:type="dxa"/>
            <w:gridSpan w:val="2"/>
            <w:vAlign w:val="center"/>
          </w:tcPr>
          <w:p>
            <w:pPr>
              <w:jc w:val="center"/>
              <w:rPr>
                <w:color w:val="auto"/>
                <w:sz w:val="24"/>
                <w:highlight w:val="none"/>
              </w:rPr>
            </w:pPr>
            <w:r>
              <w:rPr>
                <w:rFonts w:hint="eastAsia"/>
                <w:color w:val="auto"/>
                <w:sz w:val="24"/>
                <w:highlight w:val="none"/>
              </w:rPr>
              <w:t>——</w:t>
            </w:r>
          </w:p>
        </w:tc>
        <w:tc>
          <w:tcPr>
            <w:tcW w:w="1392" w:type="dxa"/>
            <w:gridSpan w:val="2"/>
            <w:vAlign w:val="center"/>
          </w:tcPr>
          <w:p>
            <w:pPr>
              <w:jc w:val="center"/>
              <w:rPr>
                <w:color w:val="auto"/>
                <w:sz w:val="24"/>
                <w:highlight w:val="none"/>
              </w:rPr>
            </w:pPr>
            <w:r>
              <w:rPr>
                <w:rFonts w:hint="eastAsia"/>
                <w:color w:val="auto"/>
                <w:sz w:val="24"/>
                <w:highlight w:val="none"/>
              </w:rPr>
              <w:t>批准文号</w:t>
            </w:r>
          </w:p>
        </w:tc>
        <w:tc>
          <w:tcPr>
            <w:tcW w:w="2745" w:type="dxa"/>
            <w:gridSpan w:val="2"/>
            <w:vAlign w:val="center"/>
          </w:tcPr>
          <w:p>
            <w:pPr>
              <w:jc w:val="center"/>
              <w:rPr>
                <w:color w:val="auto"/>
                <w:sz w:val="24"/>
                <w:highlight w:val="none"/>
              </w:rPr>
            </w:pPr>
            <w:r>
              <w:rPr>
                <w:rFonts w:hint="eastAsia"/>
                <w:color w:val="auto"/>
                <w:sz w:val="24"/>
                <w:highlight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646" w:hRule="atLeast"/>
        </w:trPr>
        <w:tc>
          <w:tcPr>
            <w:tcW w:w="1969" w:type="dxa"/>
            <w:vAlign w:val="center"/>
          </w:tcPr>
          <w:p>
            <w:pPr>
              <w:jc w:val="center"/>
              <w:rPr>
                <w:color w:val="auto"/>
                <w:sz w:val="24"/>
                <w:highlight w:val="none"/>
              </w:rPr>
            </w:pPr>
            <w:r>
              <w:rPr>
                <w:rFonts w:hint="eastAsia"/>
                <w:color w:val="auto"/>
                <w:sz w:val="24"/>
                <w:highlight w:val="none"/>
              </w:rPr>
              <w:t>建设性质</w:t>
            </w:r>
          </w:p>
        </w:tc>
        <w:tc>
          <w:tcPr>
            <w:tcW w:w="3359" w:type="dxa"/>
            <w:gridSpan w:val="2"/>
            <w:vAlign w:val="center"/>
          </w:tcPr>
          <w:p>
            <w:pPr>
              <w:jc w:val="center"/>
              <w:rPr>
                <w:color w:val="auto"/>
                <w:sz w:val="24"/>
                <w:highlight w:val="none"/>
              </w:rPr>
            </w:pPr>
            <w:r>
              <w:rPr>
                <w:color w:val="auto"/>
                <w:sz w:val="24"/>
                <w:highlight w:val="none"/>
              </w:rPr>
              <w:t>新建√迁建</w:t>
            </w:r>
            <w:r>
              <w:rPr>
                <w:color w:val="auto"/>
                <w:sz w:val="24"/>
                <w:highlight w:val="none"/>
              </w:rPr>
              <w:fldChar w:fldCharType="begin">
                <w:ffData>
                  <w:name w:val="Check3"/>
                  <w:enabled/>
                  <w:calcOnExit w:val="0"/>
                  <w:checkBox>
                    <w:sizeAuto/>
                    <w:default w:val="0"/>
                    <w:checked w:val="0"/>
                  </w:checkBox>
                </w:ffData>
              </w:fldChar>
            </w:r>
            <w:r>
              <w:rPr>
                <w:color w:val="auto"/>
                <w:sz w:val="24"/>
                <w:highlight w:val="none"/>
              </w:rPr>
              <w:instrText xml:space="preserve"> FORMCHECKBOX </w:instrText>
            </w:r>
            <w:r>
              <w:rPr>
                <w:color w:val="auto"/>
                <w:sz w:val="24"/>
                <w:highlight w:val="none"/>
              </w:rPr>
              <w:fldChar w:fldCharType="separate"/>
            </w:r>
            <w:r>
              <w:rPr>
                <w:color w:val="auto"/>
                <w:sz w:val="24"/>
                <w:highlight w:val="none"/>
              </w:rPr>
              <w:fldChar w:fldCharType="end"/>
            </w:r>
            <w:r>
              <w:rPr>
                <w:color w:val="auto"/>
                <w:sz w:val="24"/>
                <w:highlight w:val="none"/>
              </w:rPr>
              <w:t>扩建</w:t>
            </w:r>
            <w:r>
              <w:rPr>
                <w:color w:val="auto"/>
                <w:sz w:val="24"/>
                <w:highlight w:val="none"/>
              </w:rPr>
              <w:fldChar w:fldCharType="begin">
                <w:ffData>
                  <w:name w:val="Check3"/>
                  <w:enabled/>
                  <w:calcOnExit w:val="0"/>
                  <w:checkBox>
                    <w:sizeAuto/>
                    <w:default w:val="0"/>
                    <w:checked w:val="0"/>
                  </w:checkBox>
                </w:ffData>
              </w:fldChar>
            </w:r>
            <w:r>
              <w:rPr>
                <w:color w:val="auto"/>
                <w:sz w:val="24"/>
                <w:highlight w:val="none"/>
              </w:rPr>
              <w:instrText xml:space="preserve"> FORMCHECKBOX </w:instrText>
            </w:r>
            <w:r>
              <w:rPr>
                <w:color w:val="auto"/>
                <w:sz w:val="24"/>
                <w:highlight w:val="none"/>
              </w:rPr>
              <w:fldChar w:fldCharType="separate"/>
            </w:r>
            <w:r>
              <w:rPr>
                <w:color w:val="auto"/>
                <w:sz w:val="24"/>
                <w:highlight w:val="none"/>
              </w:rPr>
              <w:fldChar w:fldCharType="end"/>
            </w:r>
            <w:r>
              <w:rPr>
                <w:color w:val="auto"/>
                <w:sz w:val="24"/>
                <w:highlight w:val="none"/>
              </w:rPr>
              <w:t>技改</w:t>
            </w:r>
            <w:r>
              <w:rPr>
                <w:color w:val="auto"/>
                <w:sz w:val="24"/>
                <w:highlight w:val="none"/>
              </w:rPr>
              <w:fldChar w:fldCharType="begin">
                <w:ffData>
                  <w:name w:val="Check3"/>
                  <w:enabled/>
                  <w:calcOnExit w:val="0"/>
                  <w:checkBox>
                    <w:sizeAuto/>
                    <w:default w:val="0"/>
                    <w:checked w:val="0"/>
                  </w:checkBox>
                </w:ffData>
              </w:fldChar>
            </w:r>
            <w:bookmarkStart w:id="16" w:name="Check3"/>
            <w:r>
              <w:rPr>
                <w:color w:val="auto"/>
                <w:sz w:val="24"/>
                <w:highlight w:val="none"/>
              </w:rPr>
              <w:instrText xml:space="preserve"> FORMCHECKBOX </w:instrText>
            </w:r>
            <w:r>
              <w:rPr>
                <w:color w:val="auto"/>
                <w:sz w:val="24"/>
                <w:highlight w:val="none"/>
              </w:rPr>
              <w:fldChar w:fldCharType="separate"/>
            </w:r>
            <w:r>
              <w:rPr>
                <w:color w:val="auto"/>
                <w:sz w:val="24"/>
                <w:highlight w:val="none"/>
              </w:rPr>
              <w:fldChar w:fldCharType="end"/>
            </w:r>
            <w:bookmarkEnd w:id="16"/>
          </w:p>
        </w:tc>
        <w:tc>
          <w:tcPr>
            <w:tcW w:w="1392" w:type="dxa"/>
            <w:gridSpan w:val="2"/>
            <w:vAlign w:val="center"/>
          </w:tcPr>
          <w:p>
            <w:pPr>
              <w:jc w:val="center"/>
              <w:rPr>
                <w:color w:val="auto"/>
                <w:sz w:val="24"/>
                <w:highlight w:val="none"/>
              </w:rPr>
            </w:pPr>
            <w:r>
              <w:rPr>
                <w:rFonts w:hint="eastAsia"/>
                <w:color w:val="auto"/>
                <w:sz w:val="24"/>
                <w:highlight w:val="none"/>
              </w:rPr>
              <w:t>行业类别及代码</w:t>
            </w:r>
          </w:p>
        </w:tc>
        <w:tc>
          <w:tcPr>
            <w:tcW w:w="2745" w:type="dxa"/>
            <w:gridSpan w:val="2"/>
            <w:vAlign w:val="center"/>
          </w:tcPr>
          <w:p>
            <w:pPr>
              <w:jc w:val="center"/>
              <w:rPr>
                <w:color w:val="auto"/>
                <w:sz w:val="24"/>
                <w:highlight w:val="none"/>
              </w:rPr>
            </w:pPr>
            <w:r>
              <w:rPr>
                <w:rFonts w:hint="eastAsia"/>
                <w:color w:val="auto"/>
                <w:sz w:val="24"/>
                <w:highlight w:val="none"/>
              </w:rPr>
              <w:t>C2927日用塑料制品制造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1969" w:type="dxa"/>
            <w:vAlign w:val="center"/>
          </w:tcPr>
          <w:p>
            <w:pPr>
              <w:jc w:val="center"/>
              <w:rPr>
                <w:color w:val="auto"/>
                <w:sz w:val="24"/>
                <w:highlight w:val="none"/>
              </w:rPr>
            </w:pPr>
            <w:r>
              <w:rPr>
                <w:rFonts w:hint="eastAsia"/>
                <w:color w:val="auto"/>
                <w:sz w:val="24"/>
                <w:highlight w:val="none"/>
              </w:rPr>
              <w:t>占地面积</w:t>
            </w:r>
          </w:p>
          <w:p>
            <w:pPr>
              <w:jc w:val="center"/>
              <w:rPr>
                <w:color w:val="auto"/>
                <w:sz w:val="24"/>
                <w:highlight w:val="none"/>
              </w:rPr>
            </w:pPr>
            <w:r>
              <w:rPr>
                <w:rFonts w:hint="eastAsia"/>
                <w:color w:val="auto"/>
                <w:sz w:val="24"/>
                <w:highlight w:val="none"/>
              </w:rPr>
              <w:t>（平方米）</w:t>
            </w:r>
          </w:p>
        </w:tc>
        <w:tc>
          <w:tcPr>
            <w:tcW w:w="3359" w:type="dxa"/>
            <w:gridSpan w:val="2"/>
            <w:vAlign w:val="center"/>
          </w:tcPr>
          <w:p>
            <w:pPr>
              <w:jc w:val="center"/>
              <w:rPr>
                <w:color w:val="auto"/>
                <w:sz w:val="24"/>
                <w:highlight w:val="none"/>
              </w:rPr>
            </w:pPr>
            <w:r>
              <w:rPr>
                <w:rFonts w:hint="eastAsia"/>
                <w:color w:val="auto"/>
                <w:sz w:val="24"/>
                <w:highlight w:val="none"/>
              </w:rPr>
              <w:t>810.7</w:t>
            </w:r>
          </w:p>
        </w:tc>
        <w:tc>
          <w:tcPr>
            <w:tcW w:w="1392" w:type="dxa"/>
            <w:gridSpan w:val="2"/>
            <w:vAlign w:val="center"/>
          </w:tcPr>
          <w:p>
            <w:pPr>
              <w:jc w:val="center"/>
              <w:rPr>
                <w:color w:val="auto"/>
                <w:sz w:val="24"/>
                <w:highlight w:val="none"/>
              </w:rPr>
            </w:pPr>
            <w:r>
              <w:rPr>
                <w:rFonts w:hint="eastAsia"/>
                <w:color w:val="auto"/>
                <w:sz w:val="24"/>
                <w:highlight w:val="none"/>
              </w:rPr>
              <w:t>绿化面积</w:t>
            </w:r>
          </w:p>
          <w:p>
            <w:pPr>
              <w:jc w:val="center"/>
              <w:rPr>
                <w:color w:val="auto"/>
                <w:sz w:val="24"/>
                <w:highlight w:val="none"/>
              </w:rPr>
            </w:pPr>
            <w:r>
              <w:rPr>
                <w:rFonts w:hint="eastAsia"/>
                <w:color w:val="auto"/>
                <w:sz w:val="24"/>
                <w:highlight w:val="none"/>
              </w:rPr>
              <w:t>（平方米）</w:t>
            </w:r>
          </w:p>
        </w:tc>
        <w:tc>
          <w:tcPr>
            <w:tcW w:w="2745" w:type="dxa"/>
            <w:gridSpan w:val="2"/>
            <w:vAlign w:val="center"/>
          </w:tcPr>
          <w:p>
            <w:pPr>
              <w:jc w:val="center"/>
              <w:rPr>
                <w:color w:val="auto"/>
                <w:sz w:val="24"/>
                <w:highlight w:val="none"/>
              </w:rPr>
            </w:pPr>
            <w:r>
              <w:rPr>
                <w:rFonts w:hint="eastAsia"/>
                <w:color w:val="auto"/>
                <w:sz w:val="24"/>
                <w:highlight w:val="none"/>
              </w:rPr>
              <w:softHyphen/>
            </w:r>
            <w:r>
              <w:rPr>
                <w:rFonts w:hint="eastAsia"/>
                <w:color w:val="auto"/>
                <w:sz w:val="24"/>
                <w:highlight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969" w:type="dxa"/>
            <w:vAlign w:val="center"/>
          </w:tcPr>
          <w:p>
            <w:pPr>
              <w:jc w:val="center"/>
              <w:rPr>
                <w:color w:val="auto"/>
                <w:sz w:val="24"/>
                <w:highlight w:val="none"/>
              </w:rPr>
            </w:pPr>
            <w:r>
              <w:rPr>
                <w:rFonts w:hint="eastAsia"/>
                <w:color w:val="auto"/>
                <w:sz w:val="24"/>
                <w:highlight w:val="none"/>
              </w:rPr>
              <w:t>总投资</w:t>
            </w:r>
          </w:p>
          <w:p>
            <w:pPr>
              <w:jc w:val="center"/>
              <w:rPr>
                <w:color w:val="auto"/>
                <w:sz w:val="24"/>
                <w:highlight w:val="none"/>
              </w:rPr>
            </w:pPr>
            <w:r>
              <w:rPr>
                <w:rFonts w:hint="eastAsia"/>
                <w:color w:val="auto"/>
                <w:sz w:val="24"/>
                <w:highlight w:val="none"/>
              </w:rPr>
              <w:t>（万元）</w:t>
            </w:r>
          </w:p>
        </w:tc>
        <w:tc>
          <w:tcPr>
            <w:tcW w:w="1683" w:type="dxa"/>
            <w:vAlign w:val="center"/>
          </w:tcPr>
          <w:p>
            <w:pPr>
              <w:jc w:val="center"/>
              <w:rPr>
                <w:color w:val="auto"/>
                <w:sz w:val="24"/>
                <w:highlight w:val="none"/>
              </w:rPr>
            </w:pPr>
            <w:r>
              <w:rPr>
                <w:rFonts w:hint="eastAsia"/>
                <w:color w:val="auto"/>
                <w:sz w:val="24"/>
                <w:highlight w:val="none"/>
              </w:rPr>
              <w:t>100</w:t>
            </w:r>
          </w:p>
        </w:tc>
        <w:tc>
          <w:tcPr>
            <w:tcW w:w="1676" w:type="dxa"/>
            <w:tcBorders>
              <w:right w:val="single" w:color="auto" w:sz="4" w:space="0"/>
            </w:tcBorders>
            <w:vAlign w:val="center"/>
          </w:tcPr>
          <w:p>
            <w:pPr>
              <w:jc w:val="center"/>
              <w:rPr>
                <w:color w:val="auto"/>
                <w:sz w:val="24"/>
                <w:highlight w:val="none"/>
              </w:rPr>
            </w:pPr>
            <w:r>
              <w:rPr>
                <w:rFonts w:hint="eastAsia"/>
                <w:color w:val="auto"/>
                <w:sz w:val="24"/>
                <w:highlight w:val="none"/>
              </w:rPr>
              <w:t>其中：环保投资（万元）</w:t>
            </w:r>
          </w:p>
        </w:tc>
        <w:tc>
          <w:tcPr>
            <w:tcW w:w="1392" w:type="dxa"/>
            <w:gridSpan w:val="2"/>
            <w:tcBorders>
              <w:left w:val="single" w:color="auto" w:sz="4" w:space="0"/>
            </w:tcBorders>
            <w:vAlign w:val="center"/>
          </w:tcPr>
          <w:p>
            <w:pPr>
              <w:jc w:val="center"/>
              <w:rPr>
                <w:color w:val="auto"/>
                <w:sz w:val="24"/>
                <w:highlight w:val="none"/>
              </w:rPr>
            </w:pPr>
            <w:r>
              <w:rPr>
                <w:rFonts w:hint="eastAsia"/>
                <w:color w:val="auto"/>
                <w:sz w:val="24"/>
                <w:highlight w:val="none"/>
              </w:rPr>
              <w:t>14</w:t>
            </w:r>
          </w:p>
        </w:tc>
        <w:tc>
          <w:tcPr>
            <w:tcW w:w="1859" w:type="dxa"/>
            <w:vAlign w:val="center"/>
          </w:tcPr>
          <w:p>
            <w:pPr>
              <w:jc w:val="center"/>
              <w:rPr>
                <w:color w:val="auto"/>
                <w:sz w:val="24"/>
                <w:highlight w:val="none"/>
              </w:rPr>
            </w:pPr>
            <w:r>
              <w:rPr>
                <w:rFonts w:hint="eastAsia"/>
                <w:color w:val="auto"/>
                <w:sz w:val="24"/>
                <w:highlight w:val="none"/>
              </w:rPr>
              <w:t>环保投资占总投资比例</w:t>
            </w:r>
          </w:p>
        </w:tc>
        <w:tc>
          <w:tcPr>
            <w:tcW w:w="886" w:type="dxa"/>
            <w:vAlign w:val="center"/>
          </w:tcPr>
          <w:p>
            <w:pPr>
              <w:pStyle w:val="54"/>
              <w:topLinePunct w:val="0"/>
              <w:autoSpaceDE/>
              <w:autoSpaceDN/>
              <w:adjustRightInd/>
              <w:textAlignment w:val="auto"/>
              <w:rPr>
                <w:rFonts w:ascii="Times New Roman" w:hAnsi="Times New Roman"/>
                <w:color w:val="auto"/>
                <w:kern w:val="2"/>
                <w:sz w:val="24"/>
                <w:szCs w:val="24"/>
                <w:highlight w:val="none"/>
              </w:rPr>
            </w:pPr>
            <w:r>
              <w:rPr>
                <w:rFonts w:hint="eastAsia" w:ascii="Times New Roman" w:hAnsi="Times New Roman"/>
                <w:color w:val="auto"/>
                <w:kern w:val="2"/>
                <w:sz w:val="24"/>
                <w:szCs w:val="24"/>
                <w:highlight w:val="none"/>
              </w:rPr>
              <w:t>14%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1969" w:type="dxa"/>
            <w:tcBorders>
              <w:bottom w:val="single" w:color="auto" w:sz="4" w:space="0"/>
            </w:tcBorders>
            <w:vAlign w:val="center"/>
          </w:tcPr>
          <w:p>
            <w:pPr>
              <w:jc w:val="center"/>
              <w:rPr>
                <w:rFonts w:hint="eastAsia"/>
                <w:color w:val="auto"/>
                <w:sz w:val="24"/>
                <w:szCs w:val="24"/>
                <w:highlight w:val="none"/>
                <w:lang w:eastAsia="zh-CN"/>
              </w:rPr>
            </w:pPr>
            <w:r>
              <w:rPr>
                <w:rFonts w:hint="eastAsia"/>
                <w:color w:val="auto"/>
                <w:sz w:val="24"/>
                <w:szCs w:val="24"/>
                <w:highlight w:val="none"/>
                <w:lang w:eastAsia="zh-CN"/>
              </w:rPr>
              <w:t>评价经费</w:t>
            </w:r>
          </w:p>
          <w:p>
            <w:pPr>
              <w:jc w:val="center"/>
              <w:rPr>
                <w:color w:val="auto"/>
                <w:sz w:val="24"/>
                <w:highlight w:val="none"/>
              </w:rPr>
            </w:pPr>
            <w:r>
              <w:rPr>
                <w:rFonts w:hint="eastAsia"/>
                <w:color w:val="auto"/>
                <w:sz w:val="24"/>
                <w:highlight w:val="none"/>
                <w:shd w:val="clear" w:color="auto" w:fill="auto"/>
              </w:rPr>
              <w:t>（万元）</w:t>
            </w:r>
          </w:p>
        </w:tc>
        <w:tc>
          <w:tcPr>
            <w:tcW w:w="3366" w:type="dxa"/>
            <w:gridSpan w:val="3"/>
            <w:tcBorders>
              <w:bottom w:val="single" w:color="auto" w:sz="4" w:space="0"/>
              <w:right w:val="single" w:color="auto" w:sz="4" w:space="0"/>
            </w:tcBorders>
            <w:vAlign w:val="center"/>
          </w:tcPr>
          <w:p>
            <w:pPr>
              <w:jc w:val="center"/>
              <w:rPr>
                <w:color w:val="auto"/>
                <w:sz w:val="24"/>
                <w:highlight w:val="none"/>
              </w:rPr>
            </w:pPr>
            <w:r>
              <w:rPr>
                <w:rFonts w:hint="eastAsia"/>
                <w:color w:val="auto"/>
                <w:sz w:val="24"/>
                <w:highlight w:val="none"/>
                <w:shd w:val="clear" w:color="auto" w:fill="auto"/>
                <w:lang w:val="en-US" w:eastAsia="zh-CN"/>
              </w:rPr>
              <w:t>1</w:t>
            </w:r>
          </w:p>
        </w:tc>
        <w:tc>
          <w:tcPr>
            <w:tcW w:w="1385" w:type="dxa"/>
            <w:tcBorders>
              <w:left w:val="single" w:color="auto" w:sz="4" w:space="0"/>
              <w:bottom w:val="single" w:color="auto" w:sz="4" w:space="0"/>
              <w:right w:val="single" w:color="auto" w:sz="4" w:space="0"/>
            </w:tcBorders>
            <w:vAlign w:val="center"/>
          </w:tcPr>
          <w:p>
            <w:pPr>
              <w:jc w:val="center"/>
              <w:rPr>
                <w:rFonts w:hint="eastAsia"/>
                <w:color w:val="auto"/>
                <w:sz w:val="24"/>
                <w:highlight w:val="none"/>
              </w:rPr>
            </w:pPr>
            <w:r>
              <w:rPr>
                <w:rFonts w:hint="eastAsia"/>
                <w:color w:val="auto"/>
                <w:sz w:val="24"/>
                <w:highlight w:val="none"/>
              </w:rPr>
              <w:t>预计投产日期</w:t>
            </w:r>
          </w:p>
        </w:tc>
        <w:tc>
          <w:tcPr>
            <w:tcW w:w="2745" w:type="dxa"/>
            <w:gridSpan w:val="2"/>
            <w:tcBorders>
              <w:left w:val="single" w:color="auto" w:sz="4" w:space="0"/>
              <w:bottom w:val="single" w:color="auto" w:sz="4" w:space="0"/>
            </w:tcBorders>
            <w:vAlign w:val="center"/>
          </w:tcPr>
          <w:p>
            <w:pPr>
              <w:jc w:val="center"/>
              <w:rPr>
                <w:rFonts w:hint="eastAsia"/>
                <w:color w:val="auto"/>
                <w:sz w:val="24"/>
                <w:highlight w:val="none"/>
              </w:rPr>
            </w:pPr>
            <w:r>
              <w:rPr>
                <w:rFonts w:hint="eastAsia"/>
                <w:color w:val="auto"/>
                <w:sz w:val="24"/>
                <w:highlight w:val="none"/>
              </w:rPr>
              <w:t>2019年12月</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242" w:hRule="atLeast"/>
        </w:trPr>
        <w:tc>
          <w:tcPr>
            <w:tcW w:w="9465" w:type="dxa"/>
            <w:gridSpan w:val="7"/>
            <w:tcBorders>
              <w:top w:val="single" w:color="auto" w:sz="4" w:space="0"/>
              <w:left w:val="single" w:color="auto" w:sz="4" w:space="0"/>
              <w:bottom w:val="single" w:color="auto" w:sz="4" w:space="0"/>
              <w:right w:val="single" w:color="auto" w:sz="4" w:space="0"/>
            </w:tcBorders>
          </w:tcPr>
          <w:p>
            <w:pPr>
              <w:spacing w:line="360" w:lineRule="auto"/>
              <w:rPr>
                <w:b/>
                <w:bCs/>
                <w:color w:val="auto"/>
                <w:sz w:val="28"/>
                <w:szCs w:val="28"/>
                <w:highlight w:val="none"/>
              </w:rPr>
            </w:pPr>
            <w:r>
              <w:rPr>
                <w:rFonts w:hint="eastAsia"/>
                <w:b/>
                <w:bCs/>
                <w:color w:val="auto"/>
                <w:sz w:val="28"/>
                <w:szCs w:val="28"/>
                <w:highlight w:val="none"/>
              </w:rPr>
              <w:t>工程内容及规模：</w:t>
            </w:r>
          </w:p>
          <w:p>
            <w:pPr>
              <w:spacing w:line="360" w:lineRule="auto"/>
              <w:ind w:left="-44" w:leftChars="-21" w:firstLine="511" w:firstLineChars="213"/>
              <w:rPr>
                <w:color w:val="auto"/>
                <w:sz w:val="24"/>
                <w:highlight w:val="none"/>
              </w:rPr>
            </w:pPr>
            <w:r>
              <w:rPr>
                <w:rFonts w:hint="eastAsia"/>
                <w:color w:val="auto"/>
                <w:sz w:val="24"/>
                <w:highlight w:val="none"/>
                <w:lang w:eastAsia="zh-CN"/>
              </w:rPr>
              <w:t>开平市水口镇荣辉模具厂年产卫浴塑料配件100万件建设项目</w:t>
            </w:r>
            <w:r>
              <w:rPr>
                <w:bCs/>
                <w:color w:val="auto"/>
                <w:sz w:val="24"/>
                <w:highlight w:val="none"/>
              </w:rPr>
              <w:t>（以下简称“</w:t>
            </w:r>
            <w:r>
              <w:rPr>
                <w:rFonts w:hAnsi="宋体"/>
                <w:bCs/>
                <w:color w:val="auto"/>
                <w:sz w:val="24"/>
                <w:highlight w:val="none"/>
              </w:rPr>
              <w:t>项目</w:t>
            </w:r>
            <w:r>
              <w:rPr>
                <w:bCs/>
                <w:color w:val="auto"/>
                <w:sz w:val="24"/>
                <w:highlight w:val="none"/>
              </w:rPr>
              <w:t>”）</w:t>
            </w:r>
            <w:r>
              <w:rPr>
                <w:color w:val="auto"/>
                <w:sz w:val="24"/>
                <w:highlight w:val="none"/>
              </w:rPr>
              <w:t>位于</w:t>
            </w:r>
            <w:r>
              <w:rPr>
                <w:rFonts w:hint="eastAsia"/>
                <w:bCs/>
                <w:color w:val="auto"/>
                <w:sz w:val="24"/>
                <w:highlight w:val="none"/>
              </w:rPr>
              <w:t>开平市水口镇第一工业园平冈路4号</w:t>
            </w:r>
            <w:r>
              <w:rPr>
                <w:bCs/>
                <w:color w:val="auto"/>
                <w:sz w:val="24"/>
                <w:highlight w:val="none"/>
              </w:rPr>
              <w:t>（项目所在地中心卫星坐标：北纬</w:t>
            </w:r>
            <w:r>
              <w:rPr>
                <w:rFonts w:hint="eastAsia"/>
                <w:bCs/>
                <w:color w:val="auto"/>
                <w:sz w:val="24"/>
                <w:highlight w:val="none"/>
              </w:rPr>
              <w:t xml:space="preserve"> 22°27'16.38"</w:t>
            </w:r>
            <w:r>
              <w:rPr>
                <w:bCs/>
                <w:color w:val="auto"/>
                <w:sz w:val="24"/>
                <w:highlight w:val="none"/>
              </w:rPr>
              <w:t>，东经</w:t>
            </w:r>
            <w:r>
              <w:rPr>
                <w:rFonts w:hint="eastAsia"/>
                <w:bCs/>
                <w:color w:val="auto"/>
                <w:sz w:val="24"/>
                <w:highlight w:val="none"/>
              </w:rPr>
              <w:t>112°46'26.85"）</w:t>
            </w:r>
            <w:r>
              <w:rPr>
                <w:rFonts w:hint="eastAsia" w:hAnsi="宋体"/>
                <w:bCs/>
                <w:color w:val="auto"/>
                <w:sz w:val="24"/>
                <w:highlight w:val="none"/>
                <w:lang w:eastAsia="zh-CN"/>
              </w:rPr>
              <w:t>，</w:t>
            </w:r>
            <w:r>
              <w:rPr>
                <w:rFonts w:hint="eastAsia" w:hAnsi="宋体"/>
                <w:bCs/>
                <w:color w:val="auto"/>
                <w:sz w:val="24"/>
                <w:highlight w:val="none"/>
              </w:rPr>
              <w:t>所在厂区东面为宜居卫浴厂，南面为工业厂房，西面为合成钢材厂，北面为佳华不锈钢管厂。</w:t>
            </w:r>
            <w:r>
              <w:rPr>
                <w:rFonts w:hint="eastAsia"/>
                <w:bCs/>
                <w:color w:val="auto"/>
                <w:sz w:val="24"/>
                <w:highlight w:val="none"/>
              </w:rPr>
              <w:t>项目总投资100万元，占地面积810.7平方米，建筑</w:t>
            </w:r>
            <w:r>
              <w:rPr>
                <w:bCs/>
                <w:color w:val="auto"/>
                <w:sz w:val="24"/>
                <w:highlight w:val="none"/>
              </w:rPr>
              <w:t>面积</w:t>
            </w:r>
            <w:r>
              <w:rPr>
                <w:rFonts w:hint="eastAsia"/>
                <w:bCs/>
                <w:color w:val="auto"/>
                <w:sz w:val="24"/>
                <w:highlight w:val="none"/>
                <w:lang w:eastAsia="zh-CN"/>
              </w:rPr>
              <w:t>810.7</w:t>
            </w:r>
            <w:r>
              <w:rPr>
                <w:rFonts w:hint="eastAsia"/>
                <w:bCs/>
                <w:color w:val="auto"/>
                <w:sz w:val="24"/>
                <w:highlight w:val="none"/>
              </w:rPr>
              <w:t>平方米，主要从事卫浴塑料配件的加工生产，年产量为</w:t>
            </w:r>
            <w:r>
              <w:rPr>
                <w:rFonts w:hint="eastAsia"/>
                <w:color w:val="auto"/>
                <w:sz w:val="24"/>
                <w:highlight w:val="none"/>
              </w:rPr>
              <w:t>100万件。</w:t>
            </w:r>
          </w:p>
          <w:p>
            <w:pPr>
              <w:tabs>
                <w:tab w:val="left" w:pos="7800"/>
              </w:tabs>
              <w:spacing w:line="360" w:lineRule="auto"/>
              <w:ind w:firstLine="480" w:firstLineChars="200"/>
              <w:rPr>
                <w:bCs/>
                <w:color w:val="auto"/>
                <w:sz w:val="24"/>
                <w:highlight w:val="none"/>
              </w:rPr>
            </w:pPr>
            <w:r>
              <w:rPr>
                <w:rFonts w:hint="eastAsia"/>
                <w:bCs/>
                <w:color w:val="auto"/>
                <w:sz w:val="24"/>
                <w:highlight w:val="none"/>
              </w:rPr>
              <w:t>根据《中华人民共和国环境影响评价法》、《建设项目环境影响评价分类管理名录》（</w:t>
            </w:r>
            <w:r>
              <w:rPr>
                <w:rFonts w:hint="eastAsia" w:ascii="宋体" w:hAnsi="宋体"/>
                <w:color w:val="auto"/>
                <w:sz w:val="24"/>
                <w:highlight w:val="none"/>
              </w:rPr>
              <w:t>环境保护部令</w:t>
            </w:r>
            <w:r>
              <w:rPr>
                <w:rFonts w:hint="default" w:ascii="Times New Roman" w:hAnsi="Times New Roman" w:cs="Times New Roman"/>
                <w:color w:val="auto"/>
                <w:sz w:val="24"/>
                <w:highlight w:val="none"/>
              </w:rPr>
              <w:t>第</w:t>
            </w:r>
            <w:r>
              <w:rPr>
                <w:rFonts w:hint="default" w:ascii="Times New Roman" w:hAnsi="Times New Roman" w:eastAsia="TimesNewRomanPSMT" w:cs="Times New Roman"/>
                <w:color w:val="auto"/>
                <w:sz w:val="24"/>
                <w:highlight w:val="none"/>
              </w:rPr>
              <w:t>44</w:t>
            </w:r>
            <w:r>
              <w:rPr>
                <w:rFonts w:hint="default" w:ascii="Times New Roman" w:hAnsi="Times New Roman" w:cs="Times New Roman"/>
                <w:color w:val="auto"/>
                <w:sz w:val="24"/>
                <w:highlight w:val="none"/>
              </w:rPr>
              <w:t>号，</w:t>
            </w:r>
            <w:r>
              <w:rPr>
                <w:rFonts w:hint="default" w:ascii="Times New Roman" w:hAnsi="Times New Roman" w:eastAsia="TimesNewRomanPSMT" w:cs="Times New Roman"/>
                <w:color w:val="auto"/>
                <w:sz w:val="24"/>
                <w:highlight w:val="none"/>
              </w:rPr>
              <w:t>2018</w:t>
            </w:r>
            <w:r>
              <w:rPr>
                <w:rFonts w:hint="default" w:ascii="Times New Roman" w:hAnsi="Times New Roman" w:cs="Times New Roman"/>
                <w:color w:val="auto"/>
                <w:sz w:val="24"/>
                <w:highlight w:val="none"/>
              </w:rPr>
              <w:t>年</w:t>
            </w:r>
            <w:r>
              <w:rPr>
                <w:rFonts w:hint="default" w:ascii="Times New Roman" w:hAnsi="Times New Roman" w:eastAsia="TimesNewRomanPSMT" w:cs="Times New Roman"/>
                <w:color w:val="auto"/>
                <w:sz w:val="24"/>
                <w:highlight w:val="none"/>
              </w:rPr>
              <w:t>4</w:t>
            </w:r>
            <w:r>
              <w:rPr>
                <w:rFonts w:hint="default" w:ascii="Times New Roman" w:hAnsi="Times New Roman" w:cs="Times New Roman"/>
                <w:color w:val="auto"/>
                <w:sz w:val="24"/>
                <w:highlight w:val="none"/>
              </w:rPr>
              <w:t>月</w:t>
            </w:r>
            <w:r>
              <w:rPr>
                <w:rFonts w:hint="default" w:ascii="Times New Roman" w:hAnsi="Times New Roman" w:eastAsia="TimesNewRomanPSMT" w:cs="Times New Roman"/>
                <w:color w:val="auto"/>
                <w:sz w:val="24"/>
                <w:highlight w:val="none"/>
              </w:rPr>
              <w:t>28</w:t>
            </w:r>
            <w:r>
              <w:rPr>
                <w:rFonts w:hint="default" w:ascii="Times New Roman" w:hAnsi="Times New Roman" w:cs="Times New Roman"/>
                <w:color w:val="auto"/>
                <w:sz w:val="24"/>
                <w:highlight w:val="none"/>
              </w:rPr>
              <w:t>日修订</w:t>
            </w:r>
            <w:r>
              <w:rPr>
                <w:rFonts w:hint="default" w:ascii="Times New Roman" w:hAnsi="Times New Roman" w:cs="Times New Roman"/>
                <w:bCs/>
                <w:color w:val="auto"/>
                <w:sz w:val="24"/>
                <w:highlight w:val="none"/>
              </w:rPr>
              <w:t>）的规</w:t>
            </w:r>
            <w:r>
              <w:rPr>
                <w:rFonts w:hint="eastAsia"/>
                <w:bCs/>
                <w:color w:val="auto"/>
                <w:sz w:val="24"/>
                <w:highlight w:val="none"/>
              </w:rPr>
              <w:t>定和要求，一切可能对环境产生影响的新建、扩建或改建项目必须实行环境影响评价。根据</w:t>
            </w:r>
            <w:r>
              <w:rPr>
                <w:rFonts w:hint="eastAsia"/>
                <w:bCs/>
                <w:color w:val="auto"/>
                <w:sz w:val="24"/>
                <w:highlight w:val="none"/>
                <w:lang w:val="en-GB"/>
              </w:rPr>
              <w:t>《建设项目环境影响评价分类管理名录》</w:t>
            </w:r>
            <w:r>
              <w:rPr>
                <w:rFonts w:hint="eastAsia"/>
                <w:bCs/>
                <w:color w:val="auto"/>
                <w:sz w:val="24"/>
                <w:highlight w:val="none"/>
              </w:rPr>
              <w:t>中要求，该项目属于“十八、橡胶和塑料制造业/47塑料制品制造/其他”应编制环境影响报告表。为此，受</w:t>
            </w:r>
            <w:r>
              <w:rPr>
                <w:rFonts w:hint="eastAsia"/>
                <w:color w:val="auto"/>
                <w:sz w:val="24"/>
                <w:highlight w:val="none"/>
              </w:rPr>
              <w:t>开平市水口镇荣辉模具厂</w:t>
            </w:r>
            <w:r>
              <w:rPr>
                <w:rFonts w:hint="eastAsia"/>
                <w:bCs/>
                <w:color w:val="auto"/>
                <w:sz w:val="24"/>
                <w:highlight w:val="none"/>
              </w:rPr>
              <w:t>委托，我单位承担了本次项目的环境影响评价工作，并编制完成项目环境影响报告表。</w:t>
            </w:r>
          </w:p>
          <w:p>
            <w:pPr>
              <w:tabs>
                <w:tab w:val="left" w:pos="7800"/>
              </w:tabs>
              <w:spacing w:line="360" w:lineRule="auto"/>
              <w:ind w:firstLine="482" w:firstLineChars="200"/>
              <w:rPr>
                <w:b/>
                <w:color w:val="auto"/>
                <w:sz w:val="24"/>
                <w:highlight w:val="none"/>
              </w:rPr>
            </w:pPr>
            <w:r>
              <w:rPr>
                <w:rFonts w:hint="eastAsia"/>
                <w:b/>
                <w:color w:val="auto"/>
                <w:sz w:val="24"/>
                <w:highlight w:val="none"/>
              </w:rPr>
              <w:t>一、工程内容：</w:t>
            </w:r>
            <w:r>
              <w:rPr>
                <w:b/>
                <w:color w:val="auto"/>
                <w:sz w:val="24"/>
                <w:highlight w:val="none"/>
              </w:rPr>
              <w:tab/>
            </w:r>
          </w:p>
          <w:p>
            <w:pPr>
              <w:spacing w:line="360" w:lineRule="auto"/>
              <w:ind w:left="-44" w:leftChars="-21" w:firstLine="511" w:firstLineChars="213"/>
              <w:rPr>
                <w:color w:val="auto"/>
                <w:sz w:val="24"/>
                <w:highlight w:val="none"/>
              </w:rPr>
            </w:pPr>
            <w:r>
              <w:rPr>
                <w:rFonts w:hint="eastAsia"/>
                <w:bCs/>
                <w:color w:val="auto"/>
                <w:sz w:val="24"/>
                <w:highlight w:val="none"/>
              </w:rPr>
              <w:t>项目总投资100万元，占地面积810.7平方米，建筑</w:t>
            </w:r>
            <w:r>
              <w:rPr>
                <w:bCs/>
                <w:color w:val="auto"/>
                <w:sz w:val="24"/>
                <w:highlight w:val="none"/>
              </w:rPr>
              <w:t>面积</w:t>
            </w:r>
            <w:r>
              <w:rPr>
                <w:rFonts w:hint="eastAsia"/>
                <w:bCs/>
                <w:color w:val="auto"/>
                <w:sz w:val="24"/>
                <w:highlight w:val="none"/>
                <w:lang w:eastAsia="zh-CN"/>
              </w:rPr>
              <w:t>810.7</w:t>
            </w:r>
            <w:r>
              <w:rPr>
                <w:rFonts w:hint="eastAsia"/>
                <w:bCs/>
                <w:color w:val="auto"/>
                <w:sz w:val="24"/>
                <w:highlight w:val="none"/>
              </w:rPr>
              <w:t>平方米，主要从事卫浴塑料配件的加工生产，年产量为</w:t>
            </w:r>
            <w:r>
              <w:rPr>
                <w:rFonts w:hint="eastAsia"/>
                <w:color w:val="auto"/>
                <w:sz w:val="24"/>
                <w:highlight w:val="none"/>
              </w:rPr>
              <w:t>100万件。</w:t>
            </w:r>
          </w:p>
          <w:p>
            <w:pPr>
              <w:pStyle w:val="47"/>
              <w:rPr>
                <w:color w:val="auto"/>
                <w:highlight w:val="none"/>
              </w:rPr>
            </w:pPr>
          </w:p>
          <w:p>
            <w:pPr>
              <w:pStyle w:val="47"/>
              <w:rPr>
                <w:color w:val="auto"/>
                <w:highlight w:val="none"/>
              </w:rPr>
            </w:pPr>
          </w:p>
          <w:p>
            <w:pPr>
              <w:pStyle w:val="49"/>
              <w:rPr>
                <w:color w:val="auto"/>
                <w:highlight w:val="none"/>
              </w:rPr>
            </w:pP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建设项目</w:t>
            </w:r>
            <w:r>
              <w:rPr>
                <w:rFonts w:hint="eastAsia" w:eastAsia="宋体" w:cs="Times New Roman"/>
                <w:b/>
                <w:color w:val="auto"/>
                <w:sz w:val="21"/>
                <w:szCs w:val="21"/>
                <w:highlight w:val="none"/>
              </w:rPr>
              <w:t>工程内容及</w:t>
            </w:r>
            <w:r>
              <w:rPr>
                <w:rFonts w:eastAsia="宋体" w:cs="Times New Roman"/>
                <w:b/>
                <w:color w:val="auto"/>
                <w:sz w:val="21"/>
                <w:szCs w:val="21"/>
                <w:highlight w:val="none"/>
              </w:rPr>
              <w:t>产品方案</w:t>
            </w:r>
          </w:p>
          <w:tbl>
            <w:tblPr>
              <w:tblStyle w:val="40"/>
              <w:tblW w:w="92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1"/>
              <w:gridCol w:w="2265"/>
              <w:gridCol w:w="3688"/>
              <w:gridCol w:w="2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1" w:type="dxa"/>
                </w:tcPr>
                <w:p>
                  <w:pPr>
                    <w:pStyle w:val="29"/>
                    <w:spacing w:line="360" w:lineRule="auto"/>
                    <w:ind w:firstLine="0"/>
                    <w:jc w:val="center"/>
                    <w:rPr>
                      <w:b/>
                      <w:color w:val="auto"/>
                      <w:sz w:val="21"/>
                      <w:szCs w:val="21"/>
                      <w:highlight w:val="none"/>
                    </w:rPr>
                  </w:pPr>
                  <w:r>
                    <w:rPr>
                      <w:rFonts w:hint="eastAsia"/>
                      <w:b/>
                      <w:color w:val="auto"/>
                      <w:sz w:val="21"/>
                      <w:szCs w:val="21"/>
                      <w:highlight w:val="none"/>
                    </w:rPr>
                    <w:t>序号</w:t>
                  </w:r>
                </w:p>
              </w:tc>
              <w:tc>
                <w:tcPr>
                  <w:tcW w:w="5953" w:type="dxa"/>
                  <w:gridSpan w:val="2"/>
                </w:tcPr>
                <w:p>
                  <w:pPr>
                    <w:pStyle w:val="29"/>
                    <w:spacing w:line="360" w:lineRule="auto"/>
                    <w:ind w:firstLine="0"/>
                    <w:jc w:val="center"/>
                    <w:rPr>
                      <w:b/>
                      <w:color w:val="auto"/>
                      <w:sz w:val="21"/>
                      <w:szCs w:val="21"/>
                      <w:highlight w:val="none"/>
                    </w:rPr>
                  </w:pPr>
                  <w:r>
                    <w:rPr>
                      <w:rFonts w:hint="eastAsia"/>
                      <w:b/>
                      <w:color w:val="auto"/>
                      <w:sz w:val="21"/>
                      <w:szCs w:val="21"/>
                      <w:highlight w:val="none"/>
                    </w:rPr>
                    <w:t>工程内容</w:t>
                  </w:r>
                </w:p>
              </w:tc>
              <w:tc>
                <w:tcPr>
                  <w:tcW w:w="2125" w:type="dxa"/>
                </w:tcPr>
                <w:p>
                  <w:pPr>
                    <w:pStyle w:val="29"/>
                    <w:spacing w:line="360" w:lineRule="auto"/>
                    <w:ind w:firstLine="0"/>
                    <w:jc w:val="center"/>
                    <w:rPr>
                      <w:b/>
                      <w:color w:val="auto"/>
                      <w:sz w:val="21"/>
                      <w:szCs w:val="21"/>
                      <w:highlight w:val="none"/>
                    </w:rPr>
                  </w:pPr>
                  <w:r>
                    <w:rPr>
                      <w:rFonts w:hint="eastAsia"/>
                      <w:b/>
                      <w:color w:val="auto"/>
                      <w:sz w:val="21"/>
                      <w:szCs w:val="21"/>
                      <w:highlight w:val="none"/>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1" w:type="dxa"/>
                </w:tcPr>
                <w:p>
                  <w:pPr>
                    <w:spacing w:line="360" w:lineRule="auto"/>
                    <w:jc w:val="center"/>
                    <w:rPr>
                      <w:color w:val="auto"/>
                      <w:szCs w:val="21"/>
                      <w:highlight w:val="none"/>
                    </w:rPr>
                  </w:pPr>
                  <w:r>
                    <w:rPr>
                      <w:rFonts w:hint="eastAsia"/>
                      <w:color w:val="auto"/>
                      <w:szCs w:val="21"/>
                      <w:highlight w:val="none"/>
                    </w:rPr>
                    <w:t>1</w:t>
                  </w:r>
                </w:p>
              </w:tc>
              <w:tc>
                <w:tcPr>
                  <w:tcW w:w="5953" w:type="dxa"/>
                  <w:gridSpan w:val="2"/>
                </w:tcPr>
                <w:p>
                  <w:pPr>
                    <w:spacing w:line="360" w:lineRule="auto"/>
                    <w:jc w:val="center"/>
                    <w:rPr>
                      <w:color w:val="auto"/>
                      <w:szCs w:val="21"/>
                      <w:highlight w:val="none"/>
                    </w:rPr>
                  </w:pPr>
                  <w:r>
                    <w:rPr>
                      <w:rFonts w:hint="eastAsia"/>
                      <w:color w:val="auto"/>
                      <w:szCs w:val="21"/>
                      <w:highlight w:val="none"/>
                    </w:rPr>
                    <w:t>总投资（万元）</w:t>
                  </w:r>
                </w:p>
              </w:tc>
              <w:tc>
                <w:tcPr>
                  <w:tcW w:w="2125" w:type="dxa"/>
                </w:tcPr>
                <w:p>
                  <w:pPr>
                    <w:pStyle w:val="29"/>
                    <w:spacing w:line="360" w:lineRule="auto"/>
                    <w:ind w:firstLine="0"/>
                    <w:jc w:val="center"/>
                    <w:rPr>
                      <w:color w:val="auto"/>
                      <w:sz w:val="21"/>
                      <w:szCs w:val="21"/>
                      <w:highlight w:val="none"/>
                    </w:rPr>
                  </w:pPr>
                  <w:r>
                    <w:rPr>
                      <w:rFonts w:hint="eastAsia"/>
                      <w:color w:val="auto"/>
                      <w:sz w:val="21"/>
                      <w:szCs w:val="21"/>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1" w:type="dxa"/>
                </w:tcPr>
                <w:p>
                  <w:pPr>
                    <w:spacing w:line="360" w:lineRule="auto"/>
                    <w:jc w:val="center"/>
                    <w:rPr>
                      <w:color w:val="auto"/>
                      <w:szCs w:val="21"/>
                      <w:highlight w:val="none"/>
                    </w:rPr>
                  </w:pPr>
                  <w:r>
                    <w:rPr>
                      <w:rFonts w:hint="eastAsia"/>
                      <w:color w:val="auto"/>
                      <w:szCs w:val="21"/>
                      <w:highlight w:val="none"/>
                    </w:rPr>
                    <w:t>2</w:t>
                  </w:r>
                </w:p>
              </w:tc>
              <w:tc>
                <w:tcPr>
                  <w:tcW w:w="5953" w:type="dxa"/>
                  <w:gridSpan w:val="2"/>
                </w:tcPr>
                <w:p>
                  <w:pPr>
                    <w:spacing w:line="360" w:lineRule="auto"/>
                    <w:jc w:val="center"/>
                    <w:rPr>
                      <w:color w:val="auto"/>
                      <w:szCs w:val="21"/>
                      <w:highlight w:val="none"/>
                    </w:rPr>
                  </w:pPr>
                  <w:r>
                    <w:rPr>
                      <w:rFonts w:hint="eastAsia"/>
                      <w:color w:val="auto"/>
                      <w:szCs w:val="21"/>
                      <w:highlight w:val="none"/>
                    </w:rPr>
                    <w:t>占地面积（</w:t>
                  </w:r>
                  <w:r>
                    <w:rPr>
                      <w:color w:val="auto"/>
                      <w:szCs w:val="21"/>
                      <w:highlight w:val="none"/>
                    </w:rPr>
                    <w:t>m</w:t>
                  </w:r>
                  <w:r>
                    <w:rPr>
                      <w:color w:val="auto"/>
                      <w:szCs w:val="21"/>
                      <w:highlight w:val="none"/>
                      <w:vertAlign w:val="superscript"/>
                    </w:rPr>
                    <w:t>2</w:t>
                  </w:r>
                  <w:r>
                    <w:rPr>
                      <w:rFonts w:hint="eastAsia"/>
                      <w:color w:val="auto"/>
                      <w:szCs w:val="21"/>
                      <w:highlight w:val="none"/>
                    </w:rPr>
                    <w:t>）</w:t>
                  </w:r>
                </w:p>
              </w:tc>
              <w:tc>
                <w:tcPr>
                  <w:tcW w:w="2125" w:type="dxa"/>
                </w:tcPr>
                <w:p>
                  <w:pPr>
                    <w:pStyle w:val="29"/>
                    <w:spacing w:line="360" w:lineRule="auto"/>
                    <w:ind w:firstLine="0"/>
                    <w:jc w:val="center"/>
                    <w:rPr>
                      <w:color w:val="auto"/>
                      <w:sz w:val="21"/>
                      <w:szCs w:val="21"/>
                      <w:highlight w:val="none"/>
                    </w:rPr>
                  </w:pPr>
                  <w:r>
                    <w:rPr>
                      <w:rFonts w:hint="eastAsia"/>
                      <w:color w:val="auto"/>
                      <w:sz w:val="21"/>
                      <w:szCs w:val="21"/>
                      <w:highlight w:val="none"/>
                    </w:rPr>
                    <w:t>810.7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1" w:type="dxa"/>
                </w:tcPr>
                <w:p>
                  <w:pPr>
                    <w:spacing w:line="360" w:lineRule="auto"/>
                    <w:jc w:val="center"/>
                    <w:rPr>
                      <w:color w:val="auto"/>
                      <w:szCs w:val="21"/>
                      <w:highlight w:val="none"/>
                    </w:rPr>
                  </w:pPr>
                  <w:r>
                    <w:rPr>
                      <w:rFonts w:hint="eastAsia"/>
                      <w:color w:val="auto"/>
                      <w:szCs w:val="21"/>
                      <w:highlight w:val="none"/>
                    </w:rPr>
                    <w:t>3</w:t>
                  </w:r>
                </w:p>
              </w:tc>
              <w:tc>
                <w:tcPr>
                  <w:tcW w:w="5953" w:type="dxa"/>
                  <w:gridSpan w:val="2"/>
                </w:tcPr>
                <w:p>
                  <w:pPr>
                    <w:spacing w:line="360" w:lineRule="auto"/>
                    <w:jc w:val="center"/>
                    <w:rPr>
                      <w:color w:val="auto"/>
                      <w:szCs w:val="21"/>
                      <w:highlight w:val="none"/>
                    </w:rPr>
                  </w:pPr>
                  <w:r>
                    <w:rPr>
                      <w:rFonts w:hint="eastAsia"/>
                      <w:color w:val="auto"/>
                      <w:szCs w:val="21"/>
                      <w:highlight w:val="none"/>
                    </w:rPr>
                    <w:t>建筑面积（</w:t>
                  </w:r>
                  <w:r>
                    <w:rPr>
                      <w:color w:val="auto"/>
                      <w:szCs w:val="21"/>
                      <w:highlight w:val="none"/>
                    </w:rPr>
                    <w:t>m</w:t>
                  </w:r>
                  <w:r>
                    <w:rPr>
                      <w:color w:val="auto"/>
                      <w:szCs w:val="21"/>
                      <w:highlight w:val="none"/>
                      <w:vertAlign w:val="superscript"/>
                    </w:rPr>
                    <w:t>2</w:t>
                  </w:r>
                  <w:r>
                    <w:rPr>
                      <w:rFonts w:hint="eastAsia"/>
                      <w:color w:val="auto"/>
                      <w:szCs w:val="21"/>
                      <w:highlight w:val="none"/>
                    </w:rPr>
                    <w:t>）</w:t>
                  </w:r>
                </w:p>
              </w:tc>
              <w:tc>
                <w:tcPr>
                  <w:tcW w:w="2125" w:type="dxa"/>
                </w:tcPr>
                <w:p>
                  <w:pPr>
                    <w:pStyle w:val="29"/>
                    <w:spacing w:line="360" w:lineRule="auto"/>
                    <w:ind w:firstLine="0"/>
                    <w:jc w:val="center"/>
                    <w:rPr>
                      <w:rFonts w:hint="eastAsia" w:eastAsia="宋体"/>
                      <w:color w:val="auto"/>
                      <w:sz w:val="21"/>
                      <w:szCs w:val="21"/>
                      <w:highlight w:val="none"/>
                      <w:lang w:eastAsia="zh-CN"/>
                    </w:rPr>
                  </w:pPr>
                  <w:r>
                    <w:rPr>
                      <w:rFonts w:hint="eastAsia"/>
                      <w:color w:val="auto"/>
                      <w:sz w:val="21"/>
                      <w:szCs w:val="21"/>
                      <w:highlight w:val="none"/>
                      <w:lang w:eastAsia="zh-CN"/>
                    </w:rPr>
                    <w:t>810.7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1" w:type="dxa"/>
                  <w:vAlign w:val="center"/>
                </w:tcPr>
                <w:p>
                  <w:pPr>
                    <w:spacing w:line="360" w:lineRule="auto"/>
                    <w:jc w:val="center"/>
                    <w:rPr>
                      <w:color w:val="auto"/>
                      <w:szCs w:val="21"/>
                      <w:highlight w:val="none"/>
                    </w:rPr>
                  </w:pPr>
                  <w:r>
                    <w:rPr>
                      <w:rFonts w:hint="eastAsia"/>
                      <w:color w:val="auto"/>
                      <w:szCs w:val="21"/>
                      <w:highlight w:val="none"/>
                    </w:rPr>
                    <w:t>4</w:t>
                  </w:r>
                </w:p>
              </w:tc>
              <w:tc>
                <w:tcPr>
                  <w:tcW w:w="2265" w:type="dxa"/>
                  <w:vAlign w:val="center"/>
                </w:tcPr>
                <w:p>
                  <w:pPr>
                    <w:spacing w:line="360" w:lineRule="auto"/>
                    <w:jc w:val="center"/>
                    <w:rPr>
                      <w:color w:val="auto"/>
                      <w:szCs w:val="21"/>
                      <w:highlight w:val="none"/>
                    </w:rPr>
                  </w:pPr>
                  <w:r>
                    <w:rPr>
                      <w:rFonts w:hint="eastAsia"/>
                      <w:color w:val="auto"/>
                      <w:szCs w:val="21"/>
                      <w:highlight w:val="none"/>
                    </w:rPr>
                    <w:t>产品及方案</w:t>
                  </w:r>
                </w:p>
              </w:tc>
              <w:tc>
                <w:tcPr>
                  <w:tcW w:w="3688" w:type="dxa"/>
                </w:tcPr>
                <w:p>
                  <w:pPr>
                    <w:spacing w:line="360" w:lineRule="auto"/>
                    <w:jc w:val="center"/>
                    <w:rPr>
                      <w:color w:val="auto"/>
                      <w:szCs w:val="21"/>
                      <w:highlight w:val="none"/>
                    </w:rPr>
                  </w:pPr>
                  <w:r>
                    <w:rPr>
                      <w:rFonts w:hint="eastAsia"/>
                      <w:bCs/>
                      <w:color w:val="auto"/>
                      <w:szCs w:val="21"/>
                      <w:highlight w:val="none"/>
                    </w:rPr>
                    <w:t>卫浴塑料配件</w:t>
                  </w:r>
                  <w:r>
                    <w:rPr>
                      <w:rFonts w:hint="eastAsia"/>
                      <w:color w:val="auto"/>
                      <w:szCs w:val="21"/>
                      <w:highlight w:val="none"/>
                    </w:rPr>
                    <w:t>（万件/年）</w:t>
                  </w:r>
                </w:p>
              </w:tc>
              <w:tc>
                <w:tcPr>
                  <w:tcW w:w="2125" w:type="dxa"/>
                  <w:vAlign w:val="center"/>
                </w:tcPr>
                <w:p>
                  <w:pPr>
                    <w:pStyle w:val="29"/>
                    <w:spacing w:line="360" w:lineRule="auto"/>
                    <w:ind w:firstLine="0"/>
                    <w:jc w:val="center"/>
                    <w:rPr>
                      <w:color w:val="auto"/>
                      <w:sz w:val="21"/>
                      <w:szCs w:val="21"/>
                      <w:highlight w:val="none"/>
                    </w:rPr>
                  </w:pPr>
                  <w:r>
                    <w:rPr>
                      <w:rFonts w:hint="eastAsia"/>
                      <w:color w:val="auto"/>
                      <w:sz w:val="21"/>
                      <w:szCs w:val="21"/>
                      <w:highlight w:val="none"/>
                    </w:rPr>
                    <w:t>100</w:t>
                  </w:r>
                </w:p>
              </w:tc>
            </w:tr>
          </w:tbl>
          <w:p>
            <w:pPr>
              <w:spacing w:line="360" w:lineRule="auto"/>
              <w:ind w:firstLine="422" w:firstLineChars="200"/>
              <w:rPr>
                <w:b/>
                <w:color w:val="auto"/>
                <w:szCs w:val="21"/>
                <w:highlight w:val="none"/>
              </w:rPr>
            </w:pPr>
            <w:r>
              <w:rPr>
                <w:rFonts w:hint="eastAsia"/>
                <w:b/>
                <w:color w:val="auto"/>
                <w:szCs w:val="21"/>
                <w:highlight w:val="none"/>
              </w:rPr>
              <w:t>说明：项目产品100万件/年，折合</w:t>
            </w:r>
            <w:r>
              <w:rPr>
                <w:rFonts w:hint="eastAsia"/>
                <w:b/>
                <w:color w:val="auto"/>
                <w:szCs w:val="21"/>
                <w:highlight w:val="none"/>
                <w:lang w:val="en-US" w:eastAsia="zh-CN"/>
              </w:rPr>
              <w:t>98.821</w:t>
            </w:r>
            <w:r>
              <w:rPr>
                <w:rFonts w:hint="eastAsia"/>
                <w:b/>
                <w:color w:val="auto"/>
                <w:szCs w:val="21"/>
                <w:highlight w:val="none"/>
              </w:rPr>
              <w:t>吨/年。</w:t>
            </w:r>
          </w:p>
          <w:p>
            <w:pPr>
              <w:pStyle w:val="47"/>
              <w:spacing w:line="360" w:lineRule="auto"/>
              <w:ind w:firstLine="480" w:firstLineChars="200"/>
              <w:rPr>
                <w:rFonts w:ascii="Times New Roman" w:cs="Times New Roman"/>
                <w:color w:val="auto"/>
                <w:highlight w:val="none"/>
              </w:rPr>
            </w:pPr>
            <w:r>
              <w:rPr>
                <w:rFonts w:hint="eastAsia" w:ascii="Times New Roman" w:cs="Times New Roman"/>
                <w:color w:val="auto"/>
                <w:highlight w:val="none"/>
              </w:rPr>
              <w:t>项目物料平衡图如下：</w:t>
            </w:r>
          </w:p>
          <w:p>
            <w:pPr>
              <w:spacing w:line="360" w:lineRule="auto"/>
              <w:ind w:left="479" w:leftChars="228"/>
              <w:rPr>
                <w:b/>
                <w:bCs/>
                <w:color w:val="auto"/>
                <w:sz w:val="24"/>
                <w:highlight w:val="none"/>
              </w:rPr>
            </w:pPr>
            <w:r>
              <w:rPr>
                <w:b/>
                <w:bCs/>
                <w:color w:val="auto"/>
                <w:sz w:val="24"/>
                <w:highlight w:val="none"/>
              </w:rPr>
              <w:pict>
                <v:group id="画布 2251" o:spid="_x0000_s1246" o:spt="203" style="height:104.6pt;width:419.75pt;" coordorigin="1317,2834" coordsize="8395,2086" editas="canvas">
                  <o:lock v:ext="edit" aspectratio="f"/>
                  <v:shape id="画布 2251" o:spid="_x0000_s1027" o:spt="75" type="#_x0000_t75" style="position:absolute;left:1317;top:2834;height:2086;width:8395;" filled="f" stroked="f" coordsize="21600,21600">
                    <v:path/>
                    <v:fill on="f" focussize="0,0"/>
                    <v:stroke on="f" joinstyle="miter"/>
                    <v:imagedata o:title=""/>
                    <o:lock v:ext="edit" rotation="t" text="t" aspectratio="f"/>
                  </v:shape>
                  <v:shape id="文本框 2260" o:spid="_x0000_s1028" o:spt="202" type="#_x0000_t202" style="position:absolute;left:4633;top:2849;height:443;width:1824;" filled="f" stroked="f" coordsize="21600,21600">
                    <v:path/>
                    <v:fill on="f" focussize="0,0"/>
                    <v:stroke on="f"/>
                    <v:imagedata o:title=""/>
                    <o:lock v:ext="edit" aspectratio="f"/>
                    <v:textbox>
                      <w:txbxContent>
                        <w:p>
                          <w:pPr>
                            <w:jc w:val="center"/>
                          </w:pPr>
                          <w:r>
                            <w:rPr>
                              <w:rFonts w:hint="eastAsia"/>
                            </w:rPr>
                            <w:t>进入固废1t/a</w:t>
                          </w:r>
                        </w:p>
                      </w:txbxContent>
                    </v:textbox>
                  </v:shape>
                  <v:shape id="文本框 2262" o:spid="_x0000_s1029" o:spt="202" type="#_x0000_t202" style="position:absolute;left:4937;top:3630;height:465;width:1441;" filled="f" stroked="t" coordsize="21600,21600">
                    <v:path/>
                    <v:fill on="f" focussize="0,0"/>
                    <v:stroke weight="0.25pt" color="#000000" joinstyle="miter"/>
                    <v:imagedata o:title=""/>
                    <o:lock v:ext="edit" aspectratio="f"/>
                    <v:textbox>
                      <w:txbxContent>
                        <w:p>
                          <w:pPr>
                            <w:jc w:val="center"/>
                          </w:pPr>
                          <w:r>
                            <w:rPr>
                              <w:rFonts w:hint="eastAsia"/>
                            </w:rPr>
                            <w:t>全部工序</w:t>
                          </w:r>
                        </w:p>
                      </w:txbxContent>
                    </v:textbox>
                  </v:shape>
                  <v:shape id="自选图形 2700" o:spid="_x0000_s1030" o:spt="32" type="#_x0000_t32" style="position:absolute;left:4053;top:3880;height:6;width:886;" filled="f" stroked="t" coordsize="21600,21600">
                    <v:path arrowok="t"/>
                    <v:fill on="f" focussize="0,0"/>
                    <v:stroke weight="0.25pt" color="#000000" endarrow="block"/>
                    <v:imagedata o:title=""/>
                    <o:lock v:ext="edit" aspectratio="f"/>
                  </v:shape>
                  <v:shape id="自选图形 2700" o:spid="_x0000_s1031" o:spt="32" type="#_x0000_t32" style="position:absolute;left:6393;top:3888;flip:y;height:4;width:690;" filled="f" stroked="t" coordsize="21600,21600">
                    <v:path arrowok="t"/>
                    <v:fill on="f" focussize="0,0"/>
                    <v:stroke weight="0.25pt" color="#000000" endarrow="block"/>
                    <v:imagedata o:title=""/>
                    <o:lock v:ext="edit" aspectratio="f"/>
                  </v:shape>
                  <v:shape id="文本框 2265" o:spid="_x0000_s1032" o:spt="202" type="#_x0000_t202" style="position:absolute;left:6865;top:3688;height:440;width:2257;" filled="f" stroked="f" coordsize="21600,21600">
                    <v:path/>
                    <v:fill on="f" focussize="0,0"/>
                    <v:stroke on="f"/>
                    <v:imagedata o:title=""/>
                    <o:lock v:ext="edit" aspectratio="f"/>
                    <v:textbox>
                      <w:txbxContent>
                        <w:p>
                          <w:pPr>
                            <w:jc w:val="center"/>
                          </w:pPr>
                          <w:r>
                            <w:rPr>
                              <w:rFonts w:hint="eastAsia"/>
                            </w:rPr>
                            <w:t>进入产品</w:t>
                          </w:r>
                          <w:r>
                            <w:rPr>
                              <w:rFonts w:hint="eastAsia"/>
                              <w:lang w:val="en-US" w:eastAsia="zh-CN"/>
                            </w:rPr>
                            <w:t>98.821</w:t>
                          </w:r>
                          <w:r>
                            <w:rPr>
                              <w:rFonts w:hint="eastAsia"/>
                            </w:rPr>
                            <w:t>t/a</w:t>
                          </w:r>
                        </w:p>
                        <w:p>
                          <w:pPr>
                            <w:jc w:val="center"/>
                          </w:pPr>
                        </w:p>
                      </w:txbxContent>
                    </v:textbox>
                  </v:shape>
                  <v:shape id="文本框 2258" o:spid="_x0000_s1033" o:spt="202" type="#_x0000_t202" style="position:absolute;left:1376;top:3431;height:980;width:2719;" filled="f" stroked="f" coordsize="21600,21600">
                    <v:path/>
                    <v:fill on="f" focussize="0,0"/>
                    <v:stroke on="f" weight="0.25pt"/>
                    <v:imagedata o:title=""/>
                    <o:lock v:ext="edit" aspectratio="f"/>
                    <v:textbox>
                      <w:txbxContent>
                        <w:p>
                          <w:pPr>
                            <w:jc w:val="center"/>
                            <w:rPr>
                              <w:szCs w:val="21"/>
                            </w:rPr>
                          </w:pPr>
                          <w:r>
                            <w:rPr>
                              <w:rFonts w:hint="eastAsia"/>
                              <w:szCs w:val="21"/>
                            </w:rPr>
                            <w:t>ABS塑胶料</w:t>
                          </w:r>
                          <w:r>
                            <w:rPr>
                              <w:rFonts w:hint="eastAsia"/>
                            </w:rPr>
                            <w:t>80t/a、</w:t>
                          </w:r>
                          <w:r>
                            <w:rPr>
                              <w:szCs w:val="21"/>
                            </w:rPr>
                            <w:t>PP塑胶料</w:t>
                          </w:r>
                          <w:r>
                            <w:rPr>
                              <w:rFonts w:hint="eastAsia"/>
                              <w:szCs w:val="21"/>
                            </w:rPr>
                            <w:t>10t/a、PE塑胶料10t/a、</w:t>
                          </w:r>
                          <w:r>
                            <w:rPr>
                              <w:szCs w:val="21"/>
                            </w:rPr>
                            <w:t>色</w:t>
                          </w:r>
                          <w:r>
                            <w:rPr>
                              <w:rFonts w:hint="eastAsia"/>
                              <w:szCs w:val="21"/>
                            </w:rPr>
                            <w:t>母0.1</w:t>
                          </w:r>
                          <w:r>
                            <w:rPr>
                              <w:szCs w:val="21"/>
                            </w:rPr>
                            <w:t>t/a</w:t>
                          </w:r>
                        </w:p>
                      </w:txbxContent>
                    </v:textbox>
                  </v:shape>
                  <v:shape id="文本框 2258" o:spid="_x0000_s1034" o:spt="202" type="#_x0000_t202" style="position:absolute;left:3790;top:3551;height:459;width:1290;" filled="f" stroked="f" coordsize="21600,21600">
                    <v:path/>
                    <v:fill on="f" focussize="0,0"/>
                    <v:stroke on="f" weight="0.25pt"/>
                    <v:imagedata o:title=""/>
                    <o:lock v:ext="edit" aspectratio="f"/>
                    <v:textbox>
                      <w:txbxContent>
                        <w:p>
                          <w:pPr>
                            <w:jc w:val="center"/>
                          </w:pPr>
                          <w:r>
                            <w:rPr>
                              <w:rFonts w:hint="eastAsia"/>
                            </w:rPr>
                            <w:t>100.1t/a</w:t>
                          </w:r>
                        </w:p>
                      </w:txbxContent>
                    </v:textbox>
                  </v:shape>
                  <v:shape id="自选图形 2700" o:spid="_x0000_s1035" o:spt="32" type="#_x0000_t32" style="position:absolute;left:5642;top:4109;height:482;width:1;" filled="f" stroked="t" coordsize="21600,21600">
                    <v:path arrowok="t"/>
                    <v:fill on="f" focussize="0,0"/>
                    <v:stroke weight="0.25pt" color="#000000" endarrow="block"/>
                    <v:imagedata o:title=""/>
                    <o:lock v:ext="edit" aspectratio="f"/>
                  </v:shape>
                  <v:shape id="文本框 2265" o:spid="_x0000_s1036" o:spt="202" type="#_x0000_t202" style="position:absolute;left:4690;top:4524;height:439;width:2100;" filled="f" stroked="f" coordsize="21600,21600">
                    <v:path/>
                    <v:fill on="f" focussize="0,0"/>
                    <v:stroke on="f"/>
                    <v:imagedata o:title=""/>
                    <o:lock v:ext="edit" aspectratio="f"/>
                    <v:textbox>
                      <w:txbxContent>
                        <w:p>
                          <w:pPr>
                            <w:jc w:val="center"/>
                          </w:pPr>
                          <w:r>
                            <w:rPr>
                              <w:rFonts w:hint="eastAsia"/>
                            </w:rPr>
                            <w:t>进入大气</w:t>
                          </w:r>
                          <w:r>
                            <w:rPr>
                              <w:rFonts w:hint="eastAsia"/>
                              <w:lang w:val="en-US" w:eastAsia="zh-CN"/>
                            </w:rPr>
                            <w:t>0.279</w:t>
                          </w:r>
                          <w:r>
                            <w:rPr>
                              <w:rFonts w:hint="eastAsia"/>
                            </w:rPr>
                            <w:t>t/a</w:t>
                          </w:r>
                        </w:p>
                        <w:p>
                          <w:pPr>
                            <w:jc w:val="center"/>
                          </w:pPr>
                        </w:p>
                      </w:txbxContent>
                    </v:textbox>
                  </v:shape>
                  <v:shape id="自选图形 2700" o:spid="_x0000_s1037" o:spt="32" type="#_x0000_t32" style="position:absolute;left:5628;top:3185;flip:y;height:442;width:0;" filled="f" stroked="t" coordsize="21600,21600">
                    <v:path arrowok="t"/>
                    <v:fill on="f" focussize="0,0"/>
                    <v:stroke weight="0.25pt" color="#000000" endarrow="block"/>
                    <v:imagedata o:title=""/>
                    <o:lock v:ext="edit" aspectratio="f"/>
                  </v:shape>
                  <w10:wrap type="none"/>
                  <w10:anchorlock/>
                </v:group>
              </w:pict>
            </w:r>
          </w:p>
          <w:p>
            <w:pPr>
              <w:spacing w:line="360" w:lineRule="auto"/>
              <w:ind w:left="479" w:leftChars="228"/>
              <w:rPr>
                <w:b/>
                <w:color w:val="auto"/>
                <w:sz w:val="24"/>
                <w:highlight w:val="none"/>
              </w:rPr>
            </w:pPr>
            <w:r>
              <w:rPr>
                <w:rFonts w:hint="eastAsia"/>
                <w:b/>
                <w:color w:val="auto"/>
                <w:sz w:val="24"/>
                <w:highlight w:val="none"/>
              </w:rPr>
              <w:t>二、主要原辅材料：</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主要原辅材料</w:t>
            </w:r>
          </w:p>
          <w:tbl>
            <w:tblPr>
              <w:tblStyle w:val="40"/>
              <w:tblW w:w="89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0"/>
              <w:gridCol w:w="1705"/>
              <w:gridCol w:w="1545"/>
              <w:gridCol w:w="3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940" w:type="dxa"/>
                  <w:shd w:val="clear" w:color="auto" w:fill="auto"/>
                  <w:vAlign w:val="center"/>
                </w:tcPr>
                <w:p>
                  <w:pPr>
                    <w:pStyle w:val="29"/>
                    <w:spacing w:line="360" w:lineRule="auto"/>
                    <w:ind w:firstLine="0"/>
                    <w:jc w:val="center"/>
                    <w:rPr>
                      <w:b/>
                      <w:color w:val="auto"/>
                      <w:sz w:val="21"/>
                      <w:szCs w:val="21"/>
                      <w:highlight w:val="none"/>
                    </w:rPr>
                  </w:pPr>
                  <w:r>
                    <w:rPr>
                      <w:b/>
                      <w:color w:val="auto"/>
                      <w:sz w:val="21"/>
                      <w:szCs w:val="21"/>
                      <w:highlight w:val="none"/>
                    </w:rPr>
                    <w:t>序号</w:t>
                  </w:r>
                </w:p>
              </w:tc>
              <w:tc>
                <w:tcPr>
                  <w:tcW w:w="1705" w:type="dxa"/>
                  <w:shd w:val="clear" w:color="auto" w:fill="auto"/>
                  <w:vAlign w:val="center"/>
                </w:tcPr>
                <w:p>
                  <w:pPr>
                    <w:pStyle w:val="29"/>
                    <w:spacing w:line="360" w:lineRule="auto"/>
                    <w:ind w:firstLine="0"/>
                    <w:jc w:val="center"/>
                    <w:rPr>
                      <w:b/>
                      <w:color w:val="auto"/>
                      <w:sz w:val="21"/>
                      <w:szCs w:val="21"/>
                      <w:highlight w:val="none"/>
                    </w:rPr>
                  </w:pPr>
                  <w:r>
                    <w:rPr>
                      <w:b/>
                      <w:color w:val="auto"/>
                      <w:sz w:val="21"/>
                      <w:szCs w:val="21"/>
                      <w:highlight w:val="none"/>
                    </w:rPr>
                    <w:t>材料名称</w:t>
                  </w:r>
                </w:p>
              </w:tc>
              <w:tc>
                <w:tcPr>
                  <w:tcW w:w="1545" w:type="dxa"/>
                  <w:shd w:val="clear" w:color="auto" w:fill="auto"/>
                  <w:vAlign w:val="center"/>
                </w:tcPr>
                <w:p>
                  <w:pPr>
                    <w:pStyle w:val="29"/>
                    <w:spacing w:line="360" w:lineRule="auto"/>
                    <w:ind w:firstLine="0"/>
                    <w:jc w:val="center"/>
                    <w:rPr>
                      <w:b/>
                      <w:color w:val="auto"/>
                      <w:sz w:val="21"/>
                      <w:szCs w:val="21"/>
                      <w:highlight w:val="none"/>
                    </w:rPr>
                  </w:pPr>
                  <w:r>
                    <w:rPr>
                      <w:rFonts w:hint="eastAsia"/>
                      <w:b/>
                      <w:color w:val="auto"/>
                      <w:sz w:val="21"/>
                      <w:szCs w:val="21"/>
                      <w:highlight w:val="none"/>
                    </w:rPr>
                    <w:t>年</w:t>
                  </w:r>
                  <w:r>
                    <w:rPr>
                      <w:b/>
                      <w:color w:val="auto"/>
                      <w:sz w:val="21"/>
                      <w:szCs w:val="21"/>
                      <w:highlight w:val="none"/>
                    </w:rPr>
                    <w:t>用量</w:t>
                  </w:r>
                </w:p>
              </w:tc>
              <w:tc>
                <w:tcPr>
                  <w:tcW w:w="3770" w:type="dxa"/>
                </w:tcPr>
                <w:p>
                  <w:pPr>
                    <w:pStyle w:val="29"/>
                    <w:spacing w:line="360" w:lineRule="auto"/>
                    <w:ind w:firstLine="0"/>
                    <w:jc w:val="center"/>
                    <w:rPr>
                      <w:b/>
                      <w:color w:val="auto"/>
                      <w:sz w:val="21"/>
                      <w:szCs w:val="21"/>
                      <w:highlight w:val="none"/>
                    </w:rPr>
                  </w:pPr>
                  <w:r>
                    <w:rPr>
                      <w:rFonts w:hint="eastAsia"/>
                      <w:b/>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940" w:type="dxa"/>
                  <w:shd w:val="clear" w:color="auto" w:fill="auto"/>
                  <w:vAlign w:val="center"/>
                </w:tcPr>
                <w:p>
                  <w:pPr>
                    <w:pStyle w:val="29"/>
                    <w:spacing w:line="360" w:lineRule="auto"/>
                    <w:ind w:firstLine="0"/>
                    <w:jc w:val="center"/>
                    <w:rPr>
                      <w:color w:val="auto"/>
                      <w:sz w:val="21"/>
                      <w:szCs w:val="21"/>
                      <w:highlight w:val="none"/>
                    </w:rPr>
                  </w:pPr>
                  <w:r>
                    <w:rPr>
                      <w:color w:val="auto"/>
                      <w:sz w:val="21"/>
                      <w:szCs w:val="21"/>
                      <w:highlight w:val="none"/>
                    </w:rPr>
                    <w:t>1</w:t>
                  </w:r>
                </w:p>
              </w:tc>
              <w:tc>
                <w:tcPr>
                  <w:tcW w:w="1705" w:type="dxa"/>
                  <w:shd w:val="clear" w:color="auto" w:fill="auto"/>
                </w:tcPr>
                <w:p>
                  <w:pPr>
                    <w:spacing w:line="360" w:lineRule="auto"/>
                    <w:jc w:val="center"/>
                    <w:rPr>
                      <w:color w:val="auto"/>
                      <w:szCs w:val="21"/>
                      <w:highlight w:val="none"/>
                    </w:rPr>
                  </w:pPr>
                  <w:r>
                    <w:rPr>
                      <w:rFonts w:hint="eastAsia"/>
                      <w:color w:val="auto"/>
                      <w:szCs w:val="21"/>
                      <w:highlight w:val="none"/>
                    </w:rPr>
                    <w:t>ABS塑胶料</w:t>
                  </w:r>
                </w:p>
              </w:tc>
              <w:tc>
                <w:tcPr>
                  <w:tcW w:w="1545" w:type="dxa"/>
                  <w:shd w:val="clear" w:color="auto" w:fill="auto"/>
                  <w:vAlign w:val="center"/>
                </w:tcPr>
                <w:p>
                  <w:pPr>
                    <w:pStyle w:val="142"/>
                    <w:spacing w:line="360" w:lineRule="auto"/>
                    <w:rPr>
                      <w:color w:val="auto"/>
                      <w:szCs w:val="21"/>
                      <w:highlight w:val="none"/>
                    </w:rPr>
                  </w:pPr>
                  <w:r>
                    <w:rPr>
                      <w:rFonts w:hint="eastAsia"/>
                      <w:color w:val="auto"/>
                      <w:szCs w:val="21"/>
                      <w:highlight w:val="none"/>
                    </w:rPr>
                    <w:t>80吨</w:t>
                  </w:r>
                </w:p>
              </w:tc>
              <w:tc>
                <w:tcPr>
                  <w:tcW w:w="3770" w:type="dxa"/>
                </w:tcPr>
                <w:p>
                  <w:pPr>
                    <w:pStyle w:val="142"/>
                    <w:spacing w:line="360" w:lineRule="auto"/>
                    <w:rPr>
                      <w:color w:val="auto"/>
                      <w:szCs w:val="21"/>
                      <w:highlight w:val="none"/>
                    </w:rPr>
                  </w:pPr>
                  <w:r>
                    <w:rPr>
                      <w:rFonts w:hint="eastAsia"/>
                      <w:color w:val="auto"/>
                      <w:szCs w:val="21"/>
                      <w:highlight w:val="none"/>
                    </w:rPr>
                    <w:t>塑胶新料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940" w:type="dxa"/>
                  <w:shd w:val="clear" w:color="auto" w:fill="auto"/>
                  <w:vAlign w:val="center"/>
                </w:tcPr>
                <w:p>
                  <w:pPr>
                    <w:pStyle w:val="29"/>
                    <w:spacing w:line="360" w:lineRule="auto"/>
                    <w:ind w:firstLine="0"/>
                    <w:jc w:val="center"/>
                    <w:rPr>
                      <w:color w:val="auto"/>
                      <w:sz w:val="21"/>
                      <w:szCs w:val="21"/>
                      <w:highlight w:val="none"/>
                    </w:rPr>
                  </w:pPr>
                  <w:r>
                    <w:rPr>
                      <w:rFonts w:hint="eastAsia"/>
                      <w:color w:val="auto"/>
                      <w:sz w:val="21"/>
                      <w:szCs w:val="21"/>
                      <w:highlight w:val="none"/>
                    </w:rPr>
                    <w:t>2</w:t>
                  </w:r>
                </w:p>
              </w:tc>
              <w:tc>
                <w:tcPr>
                  <w:tcW w:w="1705" w:type="dxa"/>
                  <w:shd w:val="clear" w:color="auto" w:fill="auto"/>
                  <w:vAlign w:val="center"/>
                </w:tcPr>
                <w:p>
                  <w:pPr>
                    <w:spacing w:line="360" w:lineRule="auto"/>
                    <w:jc w:val="center"/>
                    <w:rPr>
                      <w:color w:val="auto"/>
                      <w:szCs w:val="21"/>
                      <w:highlight w:val="none"/>
                    </w:rPr>
                  </w:pPr>
                  <w:r>
                    <w:rPr>
                      <w:rFonts w:hint="eastAsia"/>
                      <w:color w:val="auto"/>
                      <w:szCs w:val="21"/>
                      <w:highlight w:val="none"/>
                    </w:rPr>
                    <w:t>PP塑胶料</w:t>
                  </w:r>
                </w:p>
              </w:tc>
              <w:tc>
                <w:tcPr>
                  <w:tcW w:w="1545" w:type="dxa"/>
                  <w:shd w:val="clear" w:color="auto" w:fill="auto"/>
                  <w:vAlign w:val="center"/>
                </w:tcPr>
                <w:p>
                  <w:pPr>
                    <w:pStyle w:val="142"/>
                    <w:spacing w:line="360" w:lineRule="auto"/>
                    <w:rPr>
                      <w:color w:val="auto"/>
                      <w:szCs w:val="21"/>
                      <w:highlight w:val="none"/>
                    </w:rPr>
                  </w:pPr>
                  <w:r>
                    <w:rPr>
                      <w:rFonts w:hint="eastAsia"/>
                      <w:color w:val="auto"/>
                      <w:szCs w:val="21"/>
                      <w:highlight w:val="none"/>
                    </w:rPr>
                    <w:t>10吨</w:t>
                  </w:r>
                </w:p>
              </w:tc>
              <w:tc>
                <w:tcPr>
                  <w:tcW w:w="3770" w:type="dxa"/>
                </w:tcPr>
                <w:p>
                  <w:pPr>
                    <w:pStyle w:val="142"/>
                    <w:spacing w:line="360" w:lineRule="auto"/>
                    <w:rPr>
                      <w:color w:val="auto"/>
                      <w:szCs w:val="21"/>
                      <w:highlight w:val="none"/>
                    </w:rPr>
                  </w:pPr>
                  <w:r>
                    <w:rPr>
                      <w:rFonts w:hint="eastAsia"/>
                      <w:color w:val="auto"/>
                      <w:szCs w:val="21"/>
                      <w:highlight w:val="none"/>
                    </w:rPr>
                    <w:t>塑胶新料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940" w:type="dxa"/>
                  <w:shd w:val="clear" w:color="auto" w:fill="auto"/>
                  <w:vAlign w:val="center"/>
                </w:tcPr>
                <w:p>
                  <w:pPr>
                    <w:spacing w:line="360" w:lineRule="auto"/>
                    <w:jc w:val="center"/>
                    <w:rPr>
                      <w:color w:val="auto"/>
                      <w:szCs w:val="21"/>
                      <w:highlight w:val="none"/>
                    </w:rPr>
                  </w:pPr>
                  <w:r>
                    <w:rPr>
                      <w:rFonts w:hint="eastAsia"/>
                      <w:color w:val="auto"/>
                      <w:szCs w:val="21"/>
                      <w:highlight w:val="none"/>
                    </w:rPr>
                    <w:t>3</w:t>
                  </w:r>
                </w:p>
              </w:tc>
              <w:tc>
                <w:tcPr>
                  <w:tcW w:w="1705" w:type="dxa"/>
                  <w:shd w:val="clear" w:color="auto" w:fill="auto"/>
                  <w:vAlign w:val="center"/>
                </w:tcPr>
                <w:p>
                  <w:pPr>
                    <w:spacing w:line="360" w:lineRule="auto"/>
                    <w:jc w:val="center"/>
                    <w:rPr>
                      <w:color w:val="auto"/>
                      <w:szCs w:val="21"/>
                      <w:highlight w:val="none"/>
                    </w:rPr>
                  </w:pPr>
                  <w:r>
                    <w:rPr>
                      <w:rFonts w:hint="eastAsia"/>
                      <w:color w:val="auto"/>
                      <w:szCs w:val="21"/>
                      <w:highlight w:val="none"/>
                    </w:rPr>
                    <w:t>PE塑胶料</w:t>
                  </w:r>
                </w:p>
              </w:tc>
              <w:tc>
                <w:tcPr>
                  <w:tcW w:w="1545" w:type="dxa"/>
                  <w:shd w:val="clear" w:color="auto" w:fill="auto"/>
                  <w:vAlign w:val="center"/>
                </w:tcPr>
                <w:p>
                  <w:pPr>
                    <w:pStyle w:val="142"/>
                    <w:spacing w:line="360" w:lineRule="auto"/>
                    <w:rPr>
                      <w:color w:val="auto"/>
                      <w:szCs w:val="21"/>
                      <w:highlight w:val="none"/>
                    </w:rPr>
                  </w:pPr>
                  <w:r>
                    <w:rPr>
                      <w:rFonts w:hint="eastAsia"/>
                      <w:color w:val="auto"/>
                      <w:szCs w:val="21"/>
                      <w:highlight w:val="none"/>
                    </w:rPr>
                    <w:t>10吨</w:t>
                  </w:r>
                </w:p>
              </w:tc>
              <w:tc>
                <w:tcPr>
                  <w:tcW w:w="3770" w:type="dxa"/>
                </w:tcPr>
                <w:p>
                  <w:pPr>
                    <w:pStyle w:val="142"/>
                    <w:spacing w:line="360" w:lineRule="auto"/>
                    <w:rPr>
                      <w:color w:val="auto"/>
                      <w:szCs w:val="21"/>
                      <w:highlight w:val="none"/>
                    </w:rPr>
                  </w:pPr>
                  <w:r>
                    <w:rPr>
                      <w:rFonts w:hint="eastAsia"/>
                      <w:color w:val="auto"/>
                      <w:szCs w:val="21"/>
                      <w:highlight w:val="none"/>
                    </w:rPr>
                    <w:t>塑胶新料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940" w:type="dxa"/>
                  <w:shd w:val="clear" w:color="auto" w:fill="auto"/>
                  <w:vAlign w:val="center"/>
                </w:tcPr>
                <w:p>
                  <w:pPr>
                    <w:pStyle w:val="29"/>
                    <w:spacing w:line="360" w:lineRule="auto"/>
                    <w:ind w:firstLine="0"/>
                    <w:jc w:val="center"/>
                    <w:rPr>
                      <w:color w:val="auto"/>
                      <w:sz w:val="21"/>
                      <w:szCs w:val="21"/>
                      <w:highlight w:val="none"/>
                    </w:rPr>
                  </w:pPr>
                  <w:r>
                    <w:rPr>
                      <w:rFonts w:hint="eastAsia"/>
                      <w:color w:val="auto"/>
                      <w:sz w:val="21"/>
                      <w:szCs w:val="21"/>
                      <w:highlight w:val="none"/>
                    </w:rPr>
                    <w:t>4</w:t>
                  </w:r>
                </w:p>
              </w:tc>
              <w:tc>
                <w:tcPr>
                  <w:tcW w:w="1705" w:type="dxa"/>
                  <w:shd w:val="clear" w:color="auto" w:fill="auto"/>
                  <w:vAlign w:val="center"/>
                </w:tcPr>
                <w:p>
                  <w:pPr>
                    <w:spacing w:line="360" w:lineRule="auto"/>
                    <w:jc w:val="center"/>
                    <w:rPr>
                      <w:color w:val="auto"/>
                      <w:szCs w:val="21"/>
                      <w:highlight w:val="none"/>
                    </w:rPr>
                  </w:pPr>
                  <w:r>
                    <w:rPr>
                      <w:rFonts w:hint="eastAsia"/>
                      <w:color w:val="auto"/>
                      <w:szCs w:val="21"/>
                      <w:highlight w:val="none"/>
                    </w:rPr>
                    <w:t>色母</w:t>
                  </w:r>
                </w:p>
              </w:tc>
              <w:tc>
                <w:tcPr>
                  <w:tcW w:w="1545" w:type="dxa"/>
                  <w:shd w:val="clear" w:color="auto" w:fill="auto"/>
                  <w:vAlign w:val="center"/>
                </w:tcPr>
                <w:p>
                  <w:pPr>
                    <w:pStyle w:val="142"/>
                    <w:spacing w:line="360" w:lineRule="auto"/>
                    <w:rPr>
                      <w:color w:val="auto"/>
                      <w:szCs w:val="21"/>
                      <w:highlight w:val="none"/>
                    </w:rPr>
                  </w:pPr>
                  <w:r>
                    <w:rPr>
                      <w:rFonts w:hint="eastAsia"/>
                      <w:color w:val="auto"/>
                      <w:szCs w:val="21"/>
                      <w:highlight w:val="none"/>
                    </w:rPr>
                    <w:t>0.1吨</w:t>
                  </w:r>
                </w:p>
              </w:tc>
              <w:tc>
                <w:tcPr>
                  <w:tcW w:w="3770" w:type="dxa"/>
                </w:tcPr>
                <w:p>
                  <w:pPr>
                    <w:pStyle w:val="142"/>
                    <w:spacing w:line="360" w:lineRule="auto"/>
                    <w:rPr>
                      <w:color w:val="auto"/>
                      <w:szCs w:val="21"/>
                      <w:highlight w:val="none"/>
                    </w:rPr>
                  </w:pPr>
                  <w:r>
                    <w:rPr>
                      <w:rFonts w:hint="eastAsia"/>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940" w:type="dxa"/>
                  <w:shd w:val="clear" w:color="auto" w:fill="auto"/>
                  <w:vAlign w:val="center"/>
                </w:tcPr>
                <w:p>
                  <w:pPr>
                    <w:pStyle w:val="29"/>
                    <w:spacing w:line="360" w:lineRule="auto"/>
                    <w:ind w:firstLine="0"/>
                    <w:jc w:val="center"/>
                    <w:rPr>
                      <w:color w:val="auto"/>
                      <w:sz w:val="21"/>
                      <w:szCs w:val="21"/>
                      <w:highlight w:val="none"/>
                    </w:rPr>
                  </w:pPr>
                  <w:r>
                    <w:rPr>
                      <w:rFonts w:hint="eastAsia"/>
                      <w:color w:val="auto"/>
                      <w:sz w:val="21"/>
                      <w:szCs w:val="21"/>
                      <w:highlight w:val="none"/>
                    </w:rPr>
                    <w:t>5</w:t>
                  </w:r>
                </w:p>
              </w:tc>
              <w:tc>
                <w:tcPr>
                  <w:tcW w:w="1705" w:type="dxa"/>
                  <w:shd w:val="clear" w:color="auto" w:fill="auto"/>
                  <w:vAlign w:val="center"/>
                </w:tcPr>
                <w:p>
                  <w:pPr>
                    <w:spacing w:line="360" w:lineRule="auto"/>
                    <w:jc w:val="center"/>
                    <w:rPr>
                      <w:color w:val="auto"/>
                      <w:szCs w:val="21"/>
                      <w:highlight w:val="none"/>
                    </w:rPr>
                  </w:pPr>
                  <w:r>
                    <w:rPr>
                      <w:rFonts w:hint="eastAsia"/>
                      <w:color w:val="auto"/>
                      <w:szCs w:val="21"/>
                      <w:highlight w:val="none"/>
                    </w:rPr>
                    <w:t>模具钢</w:t>
                  </w:r>
                </w:p>
              </w:tc>
              <w:tc>
                <w:tcPr>
                  <w:tcW w:w="1545" w:type="dxa"/>
                  <w:shd w:val="clear" w:color="auto" w:fill="auto"/>
                  <w:vAlign w:val="center"/>
                </w:tcPr>
                <w:p>
                  <w:pPr>
                    <w:pStyle w:val="142"/>
                    <w:spacing w:line="360" w:lineRule="auto"/>
                    <w:rPr>
                      <w:color w:val="auto"/>
                      <w:szCs w:val="21"/>
                      <w:highlight w:val="none"/>
                    </w:rPr>
                  </w:pPr>
                  <w:r>
                    <w:rPr>
                      <w:rFonts w:hint="eastAsia"/>
                      <w:color w:val="auto"/>
                      <w:szCs w:val="21"/>
                      <w:highlight w:val="none"/>
                    </w:rPr>
                    <w:t>300套</w:t>
                  </w:r>
                </w:p>
              </w:tc>
              <w:tc>
                <w:tcPr>
                  <w:tcW w:w="3770" w:type="dxa"/>
                </w:tcPr>
                <w:p>
                  <w:pPr>
                    <w:pStyle w:val="142"/>
                    <w:spacing w:line="360" w:lineRule="auto"/>
                    <w:rPr>
                      <w:color w:val="auto"/>
                      <w:szCs w:val="21"/>
                      <w:highlight w:val="none"/>
                    </w:rPr>
                  </w:pPr>
                  <w:r>
                    <w:rPr>
                      <w:rFonts w:hint="eastAsia"/>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940" w:type="dxa"/>
                  <w:shd w:val="clear" w:color="auto" w:fill="auto"/>
                  <w:vAlign w:val="center"/>
                </w:tcPr>
                <w:p>
                  <w:pPr>
                    <w:pStyle w:val="29"/>
                    <w:spacing w:line="360" w:lineRule="auto"/>
                    <w:ind w:firstLine="0"/>
                    <w:jc w:val="center"/>
                    <w:rPr>
                      <w:color w:val="auto"/>
                      <w:sz w:val="21"/>
                      <w:szCs w:val="21"/>
                      <w:highlight w:val="none"/>
                    </w:rPr>
                  </w:pPr>
                  <w:r>
                    <w:rPr>
                      <w:rFonts w:hint="eastAsia"/>
                      <w:color w:val="auto"/>
                      <w:sz w:val="21"/>
                      <w:szCs w:val="21"/>
                      <w:highlight w:val="none"/>
                    </w:rPr>
                    <w:t>6</w:t>
                  </w:r>
                </w:p>
              </w:tc>
              <w:tc>
                <w:tcPr>
                  <w:tcW w:w="1705" w:type="dxa"/>
                  <w:shd w:val="clear" w:color="auto" w:fill="auto"/>
                  <w:vAlign w:val="center"/>
                </w:tcPr>
                <w:p>
                  <w:pPr>
                    <w:spacing w:line="360" w:lineRule="auto"/>
                    <w:jc w:val="center"/>
                    <w:rPr>
                      <w:color w:val="auto"/>
                      <w:szCs w:val="21"/>
                      <w:highlight w:val="none"/>
                    </w:rPr>
                  </w:pPr>
                  <w:r>
                    <w:rPr>
                      <w:rFonts w:hint="eastAsia"/>
                      <w:color w:val="auto"/>
                      <w:szCs w:val="21"/>
                      <w:highlight w:val="none"/>
                    </w:rPr>
                    <w:t>液压油</w:t>
                  </w:r>
                </w:p>
              </w:tc>
              <w:tc>
                <w:tcPr>
                  <w:tcW w:w="1545" w:type="dxa"/>
                  <w:shd w:val="clear" w:color="auto" w:fill="auto"/>
                  <w:vAlign w:val="center"/>
                </w:tcPr>
                <w:p>
                  <w:pPr>
                    <w:pStyle w:val="142"/>
                    <w:spacing w:line="360" w:lineRule="auto"/>
                    <w:rPr>
                      <w:color w:val="auto"/>
                      <w:szCs w:val="21"/>
                      <w:highlight w:val="none"/>
                    </w:rPr>
                  </w:pPr>
                  <w:r>
                    <w:rPr>
                      <w:rFonts w:hint="eastAsia"/>
                      <w:color w:val="auto"/>
                      <w:szCs w:val="21"/>
                      <w:highlight w:val="none"/>
                    </w:rPr>
                    <w:t>0.17吨</w:t>
                  </w:r>
                </w:p>
              </w:tc>
              <w:tc>
                <w:tcPr>
                  <w:tcW w:w="3770" w:type="dxa"/>
                </w:tcPr>
                <w:p>
                  <w:pPr>
                    <w:pStyle w:val="142"/>
                    <w:spacing w:line="360" w:lineRule="auto"/>
                    <w:rPr>
                      <w:color w:val="auto"/>
                      <w:szCs w:val="21"/>
                      <w:highlight w:val="none"/>
                    </w:rPr>
                  </w:pPr>
                  <w:r>
                    <w:rPr>
                      <w:rFonts w:hint="eastAsia"/>
                      <w:color w:val="auto"/>
                      <w:szCs w:val="21"/>
                      <w:highlight w:val="none"/>
                    </w:rPr>
                    <w:t>桶装，170kg/桶，最大存储量为0.17吨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940" w:type="dxa"/>
                  <w:shd w:val="clear" w:color="auto" w:fill="auto"/>
                  <w:vAlign w:val="center"/>
                </w:tcPr>
                <w:p>
                  <w:pPr>
                    <w:pStyle w:val="29"/>
                    <w:spacing w:line="360" w:lineRule="auto"/>
                    <w:ind w:firstLine="0"/>
                    <w:jc w:val="center"/>
                    <w:rPr>
                      <w:color w:val="auto"/>
                      <w:sz w:val="21"/>
                      <w:szCs w:val="21"/>
                      <w:highlight w:val="none"/>
                    </w:rPr>
                  </w:pPr>
                  <w:r>
                    <w:rPr>
                      <w:rFonts w:hint="eastAsia"/>
                      <w:color w:val="auto"/>
                      <w:sz w:val="21"/>
                      <w:szCs w:val="21"/>
                      <w:highlight w:val="none"/>
                    </w:rPr>
                    <w:t>7</w:t>
                  </w:r>
                </w:p>
              </w:tc>
              <w:tc>
                <w:tcPr>
                  <w:tcW w:w="1705" w:type="dxa"/>
                  <w:shd w:val="clear" w:color="auto" w:fill="auto"/>
                  <w:vAlign w:val="center"/>
                </w:tcPr>
                <w:p>
                  <w:pPr>
                    <w:spacing w:line="360" w:lineRule="auto"/>
                    <w:jc w:val="center"/>
                    <w:rPr>
                      <w:color w:val="auto"/>
                      <w:szCs w:val="21"/>
                      <w:highlight w:val="none"/>
                    </w:rPr>
                  </w:pPr>
                  <w:r>
                    <w:rPr>
                      <w:rFonts w:hint="eastAsia"/>
                      <w:color w:val="auto"/>
                      <w:szCs w:val="21"/>
                      <w:highlight w:val="none"/>
                    </w:rPr>
                    <w:t>润滑油</w:t>
                  </w:r>
                </w:p>
              </w:tc>
              <w:tc>
                <w:tcPr>
                  <w:tcW w:w="1545" w:type="dxa"/>
                  <w:shd w:val="clear" w:color="auto" w:fill="auto"/>
                  <w:vAlign w:val="center"/>
                </w:tcPr>
                <w:p>
                  <w:pPr>
                    <w:pStyle w:val="142"/>
                    <w:spacing w:line="360" w:lineRule="auto"/>
                    <w:rPr>
                      <w:color w:val="auto"/>
                      <w:szCs w:val="21"/>
                      <w:highlight w:val="none"/>
                    </w:rPr>
                  </w:pPr>
                  <w:r>
                    <w:rPr>
                      <w:rFonts w:hint="eastAsia"/>
                      <w:color w:val="auto"/>
                      <w:szCs w:val="21"/>
                      <w:highlight w:val="none"/>
                    </w:rPr>
                    <w:t>0.02吨</w:t>
                  </w:r>
                </w:p>
              </w:tc>
              <w:tc>
                <w:tcPr>
                  <w:tcW w:w="3770" w:type="dxa"/>
                </w:tcPr>
                <w:p>
                  <w:pPr>
                    <w:pStyle w:val="142"/>
                    <w:spacing w:line="360" w:lineRule="auto"/>
                    <w:rPr>
                      <w:color w:val="auto"/>
                      <w:szCs w:val="21"/>
                      <w:highlight w:val="none"/>
                    </w:rPr>
                  </w:pPr>
                  <w:r>
                    <w:rPr>
                      <w:rFonts w:hint="eastAsia"/>
                      <w:color w:val="auto"/>
                      <w:szCs w:val="21"/>
                      <w:highlight w:val="none"/>
                    </w:rPr>
                    <w:t>桶装，20kg/桶，最大存储量为0.02吨</w:t>
                  </w:r>
                </w:p>
              </w:tc>
            </w:tr>
          </w:tbl>
          <w:p>
            <w:pPr>
              <w:ind w:firstLine="482" w:firstLineChars="200"/>
              <w:rPr>
                <w:b/>
                <w:color w:val="auto"/>
                <w:sz w:val="24"/>
                <w:highlight w:val="none"/>
              </w:rPr>
            </w:pPr>
            <w:r>
              <w:rPr>
                <w:rFonts w:hint="eastAsia"/>
                <w:b/>
                <w:color w:val="auto"/>
                <w:sz w:val="24"/>
                <w:highlight w:val="none"/>
              </w:rPr>
              <w:t>三、主要生产设备及数量：</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主要设备</w:t>
            </w:r>
          </w:p>
          <w:tbl>
            <w:tblPr>
              <w:tblStyle w:val="40"/>
              <w:tblW w:w="90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8"/>
              <w:gridCol w:w="1777"/>
              <w:gridCol w:w="1890"/>
              <w:gridCol w:w="1545"/>
              <w:gridCol w:w="1605"/>
              <w:gridCol w:w="11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1018" w:type="dxa"/>
                  <w:shd w:val="clear" w:color="auto" w:fill="auto"/>
                  <w:vAlign w:val="center"/>
                </w:tcPr>
                <w:p>
                  <w:pPr>
                    <w:spacing w:line="360" w:lineRule="auto"/>
                    <w:jc w:val="center"/>
                    <w:rPr>
                      <w:rFonts w:ascii="宋体" w:hAnsi="宋体"/>
                      <w:b/>
                      <w:color w:val="auto"/>
                      <w:szCs w:val="21"/>
                      <w:highlight w:val="none"/>
                    </w:rPr>
                  </w:pPr>
                  <w:r>
                    <w:rPr>
                      <w:rFonts w:ascii="宋体" w:hAnsi="宋体"/>
                      <w:b/>
                      <w:color w:val="auto"/>
                      <w:szCs w:val="21"/>
                      <w:highlight w:val="none"/>
                    </w:rPr>
                    <w:t>序号</w:t>
                  </w:r>
                </w:p>
              </w:tc>
              <w:tc>
                <w:tcPr>
                  <w:tcW w:w="1777" w:type="dxa"/>
                  <w:vAlign w:val="center"/>
                </w:tcPr>
                <w:p>
                  <w:pPr>
                    <w:spacing w:line="360" w:lineRule="auto"/>
                    <w:jc w:val="center"/>
                    <w:rPr>
                      <w:rFonts w:ascii="宋体" w:hAnsi="宋体"/>
                      <w:b/>
                      <w:color w:val="auto"/>
                      <w:szCs w:val="21"/>
                      <w:highlight w:val="none"/>
                    </w:rPr>
                  </w:pPr>
                  <w:r>
                    <w:rPr>
                      <w:rFonts w:ascii="宋体" w:hAnsi="宋体"/>
                      <w:b/>
                      <w:color w:val="auto"/>
                      <w:szCs w:val="21"/>
                      <w:highlight w:val="none"/>
                    </w:rPr>
                    <w:t>设备名称</w:t>
                  </w:r>
                </w:p>
              </w:tc>
              <w:tc>
                <w:tcPr>
                  <w:tcW w:w="1890" w:type="dxa"/>
                  <w:vAlign w:val="center"/>
                </w:tcPr>
                <w:p>
                  <w:pPr>
                    <w:spacing w:line="360" w:lineRule="auto"/>
                    <w:jc w:val="center"/>
                    <w:rPr>
                      <w:rFonts w:ascii="宋体" w:hAnsi="宋体"/>
                      <w:b/>
                      <w:color w:val="auto"/>
                      <w:szCs w:val="21"/>
                      <w:highlight w:val="none"/>
                    </w:rPr>
                  </w:pPr>
                  <w:r>
                    <w:rPr>
                      <w:rFonts w:hint="eastAsia" w:ascii="宋体" w:hAnsi="宋体"/>
                      <w:b/>
                      <w:color w:val="auto"/>
                      <w:szCs w:val="21"/>
                      <w:highlight w:val="none"/>
                    </w:rPr>
                    <w:t>规格型号</w:t>
                  </w:r>
                </w:p>
              </w:tc>
              <w:tc>
                <w:tcPr>
                  <w:tcW w:w="1545" w:type="dxa"/>
                  <w:vAlign w:val="center"/>
                </w:tcPr>
                <w:p>
                  <w:pPr>
                    <w:spacing w:line="360" w:lineRule="auto"/>
                    <w:jc w:val="center"/>
                    <w:rPr>
                      <w:rFonts w:ascii="宋体" w:hAnsi="宋体"/>
                      <w:b/>
                      <w:color w:val="auto"/>
                      <w:szCs w:val="21"/>
                      <w:highlight w:val="none"/>
                    </w:rPr>
                  </w:pPr>
                  <w:r>
                    <w:rPr>
                      <w:rFonts w:ascii="宋体" w:hAnsi="宋体"/>
                      <w:b/>
                      <w:color w:val="auto"/>
                      <w:szCs w:val="21"/>
                      <w:highlight w:val="none"/>
                    </w:rPr>
                    <w:t>数量</w:t>
                  </w:r>
                </w:p>
              </w:tc>
              <w:tc>
                <w:tcPr>
                  <w:tcW w:w="1605" w:type="dxa"/>
                  <w:vAlign w:val="center"/>
                </w:tcPr>
                <w:p>
                  <w:pPr>
                    <w:spacing w:line="360" w:lineRule="auto"/>
                    <w:jc w:val="center"/>
                    <w:rPr>
                      <w:rFonts w:ascii="宋体" w:hAnsi="宋体"/>
                      <w:b/>
                      <w:color w:val="auto"/>
                      <w:szCs w:val="21"/>
                      <w:highlight w:val="none"/>
                    </w:rPr>
                  </w:pPr>
                  <w:r>
                    <w:rPr>
                      <w:rFonts w:hint="eastAsia" w:ascii="宋体" w:hAnsi="宋体"/>
                      <w:b/>
                      <w:color w:val="auto"/>
                      <w:szCs w:val="21"/>
                      <w:highlight w:val="none"/>
                    </w:rPr>
                    <w:t>工序/用途</w:t>
                  </w:r>
                </w:p>
              </w:tc>
              <w:tc>
                <w:tcPr>
                  <w:tcW w:w="1196" w:type="dxa"/>
                  <w:shd w:val="clear" w:color="auto" w:fill="auto"/>
                  <w:vAlign w:val="center"/>
                </w:tcPr>
                <w:p>
                  <w:pPr>
                    <w:spacing w:line="360" w:lineRule="auto"/>
                    <w:jc w:val="center"/>
                    <w:rPr>
                      <w:rFonts w:ascii="宋体" w:hAnsi="宋体"/>
                      <w:b/>
                      <w:color w:val="auto"/>
                      <w:szCs w:val="21"/>
                      <w:highlight w:val="none"/>
                    </w:rPr>
                  </w:pPr>
                  <w:r>
                    <w:rPr>
                      <w:rFonts w:hint="eastAsia" w:ascii="宋体" w:hAnsi="宋体"/>
                      <w:b/>
                      <w:color w:val="auto"/>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color w:val="auto"/>
                      <w:szCs w:val="21"/>
                      <w:highlight w:val="none"/>
                    </w:rPr>
                  </w:pPr>
                  <w:r>
                    <w:rPr>
                      <w:rFonts w:hint="eastAsia"/>
                      <w:color w:val="auto"/>
                      <w:szCs w:val="21"/>
                      <w:highlight w:val="none"/>
                    </w:rPr>
                    <w:t>1</w:t>
                  </w:r>
                </w:p>
              </w:tc>
              <w:tc>
                <w:tcPr>
                  <w:tcW w:w="1777" w:type="dxa"/>
                  <w:vAlign w:val="center"/>
                </w:tcPr>
                <w:p>
                  <w:pPr>
                    <w:widowControl/>
                    <w:spacing w:line="360" w:lineRule="auto"/>
                    <w:jc w:val="center"/>
                    <w:textAlignment w:val="center"/>
                    <w:rPr>
                      <w:rFonts w:ascii="宋体" w:hAnsi="宋体" w:cs="宋体"/>
                      <w:color w:val="auto"/>
                      <w:kern w:val="0"/>
                      <w:szCs w:val="21"/>
                      <w:highlight w:val="none"/>
                      <w:lang w:bidi="ar"/>
                    </w:rPr>
                  </w:pPr>
                  <w:r>
                    <w:rPr>
                      <w:rFonts w:hint="eastAsia" w:ascii="宋体" w:hAnsi="宋体" w:cs="宋体"/>
                      <w:color w:val="auto"/>
                      <w:kern w:val="0"/>
                      <w:szCs w:val="21"/>
                      <w:highlight w:val="none"/>
                      <w:lang w:bidi="ar"/>
                    </w:rPr>
                    <w:t>车床</w:t>
                  </w:r>
                </w:p>
              </w:tc>
              <w:tc>
                <w:tcPr>
                  <w:tcW w:w="1890" w:type="dxa"/>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w:t>
                  </w:r>
                </w:p>
              </w:tc>
              <w:tc>
                <w:tcPr>
                  <w:tcW w:w="1545" w:type="dxa"/>
                  <w:vAlign w:val="center"/>
                </w:tcPr>
                <w:p>
                  <w:pPr>
                    <w:widowControl/>
                    <w:spacing w:line="360" w:lineRule="auto"/>
                    <w:jc w:val="center"/>
                    <w:textAlignment w:val="center"/>
                    <w:rPr>
                      <w:color w:val="auto"/>
                      <w:kern w:val="0"/>
                      <w:szCs w:val="21"/>
                      <w:highlight w:val="none"/>
                      <w:lang w:bidi="ar"/>
                    </w:rPr>
                  </w:pPr>
                  <w:r>
                    <w:rPr>
                      <w:rFonts w:hint="eastAsia"/>
                      <w:color w:val="auto"/>
                      <w:kern w:val="0"/>
                      <w:szCs w:val="21"/>
                      <w:highlight w:val="none"/>
                      <w:lang w:bidi="ar"/>
                    </w:rPr>
                    <w:t>3台</w:t>
                  </w:r>
                </w:p>
              </w:tc>
              <w:tc>
                <w:tcPr>
                  <w:tcW w:w="1605" w:type="dxa"/>
                  <w:vMerge w:val="restart"/>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机加工</w:t>
                  </w:r>
                </w:p>
              </w:tc>
              <w:tc>
                <w:tcPr>
                  <w:tcW w:w="1196" w:type="dxa"/>
                  <w:shd w:val="clear" w:color="auto" w:fill="auto"/>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color w:val="auto"/>
                      <w:szCs w:val="21"/>
                      <w:highlight w:val="none"/>
                    </w:rPr>
                  </w:pPr>
                  <w:r>
                    <w:rPr>
                      <w:rFonts w:hint="eastAsia"/>
                      <w:color w:val="auto"/>
                      <w:szCs w:val="21"/>
                      <w:highlight w:val="none"/>
                    </w:rPr>
                    <w:t>2</w:t>
                  </w:r>
                </w:p>
              </w:tc>
              <w:tc>
                <w:tcPr>
                  <w:tcW w:w="1777" w:type="dxa"/>
                  <w:vAlign w:val="center"/>
                </w:tcPr>
                <w:p>
                  <w:pPr>
                    <w:widowControl/>
                    <w:spacing w:line="360" w:lineRule="auto"/>
                    <w:jc w:val="center"/>
                    <w:textAlignment w:val="center"/>
                    <w:rPr>
                      <w:rFonts w:ascii="宋体" w:hAnsi="宋体"/>
                      <w:color w:val="auto"/>
                      <w:szCs w:val="21"/>
                      <w:highlight w:val="none"/>
                    </w:rPr>
                  </w:pPr>
                  <w:r>
                    <w:rPr>
                      <w:rFonts w:hint="eastAsia" w:ascii="宋体" w:hAnsi="宋体" w:cs="宋体"/>
                      <w:color w:val="auto"/>
                      <w:kern w:val="0"/>
                      <w:szCs w:val="21"/>
                      <w:highlight w:val="none"/>
                      <w:lang w:bidi="ar"/>
                    </w:rPr>
                    <w:t>磨床</w:t>
                  </w:r>
                </w:p>
              </w:tc>
              <w:tc>
                <w:tcPr>
                  <w:tcW w:w="1890" w:type="dxa"/>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w:t>
                  </w:r>
                </w:p>
              </w:tc>
              <w:tc>
                <w:tcPr>
                  <w:tcW w:w="1545" w:type="dxa"/>
                  <w:vAlign w:val="center"/>
                </w:tcPr>
                <w:p>
                  <w:pPr>
                    <w:widowControl/>
                    <w:spacing w:line="360" w:lineRule="auto"/>
                    <w:jc w:val="center"/>
                    <w:textAlignment w:val="center"/>
                    <w:rPr>
                      <w:color w:val="auto"/>
                      <w:szCs w:val="21"/>
                      <w:highlight w:val="none"/>
                    </w:rPr>
                  </w:pPr>
                  <w:r>
                    <w:rPr>
                      <w:rFonts w:hint="eastAsia"/>
                      <w:color w:val="auto"/>
                      <w:kern w:val="0"/>
                      <w:szCs w:val="21"/>
                      <w:highlight w:val="none"/>
                      <w:lang w:bidi="ar"/>
                    </w:rPr>
                    <w:t>3</w:t>
                  </w:r>
                  <w:r>
                    <w:rPr>
                      <w:rFonts w:hint="eastAsia" w:ascii="宋体" w:hAnsi="宋体"/>
                      <w:color w:val="auto"/>
                      <w:szCs w:val="21"/>
                      <w:highlight w:val="none"/>
                    </w:rPr>
                    <w:t>台</w:t>
                  </w:r>
                </w:p>
              </w:tc>
              <w:tc>
                <w:tcPr>
                  <w:tcW w:w="1605" w:type="dxa"/>
                  <w:vMerge w:val="continue"/>
                  <w:vAlign w:val="center"/>
                </w:tcPr>
                <w:p>
                  <w:pPr>
                    <w:spacing w:line="360" w:lineRule="auto"/>
                    <w:jc w:val="center"/>
                    <w:rPr>
                      <w:rFonts w:ascii="宋体" w:hAnsi="宋体"/>
                      <w:color w:val="auto"/>
                      <w:szCs w:val="21"/>
                      <w:highlight w:val="none"/>
                    </w:rPr>
                  </w:pPr>
                </w:p>
              </w:tc>
              <w:tc>
                <w:tcPr>
                  <w:tcW w:w="1196" w:type="dxa"/>
                  <w:shd w:val="clear" w:color="auto" w:fill="auto"/>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color w:val="auto"/>
                      <w:szCs w:val="21"/>
                      <w:highlight w:val="none"/>
                    </w:rPr>
                  </w:pPr>
                  <w:r>
                    <w:rPr>
                      <w:rFonts w:hint="eastAsia"/>
                      <w:color w:val="auto"/>
                      <w:szCs w:val="21"/>
                      <w:highlight w:val="none"/>
                    </w:rPr>
                    <w:t>3</w:t>
                  </w:r>
                </w:p>
              </w:tc>
              <w:tc>
                <w:tcPr>
                  <w:tcW w:w="1777" w:type="dxa"/>
                  <w:vAlign w:val="center"/>
                </w:tcPr>
                <w:p>
                  <w:pPr>
                    <w:widowControl/>
                    <w:spacing w:line="360" w:lineRule="auto"/>
                    <w:jc w:val="center"/>
                    <w:textAlignment w:val="center"/>
                    <w:rPr>
                      <w:rFonts w:ascii="宋体" w:hAnsi="宋体"/>
                      <w:color w:val="auto"/>
                      <w:szCs w:val="21"/>
                      <w:highlight w:val="none"/>
                    </w:rPr>
                  </w:pPr>
                  <w:r>
                    <w:rPr>
                      <w:rFonts w:hint="eastAsia" w:ascii="宋体" w:hAnsi="宋体" w:cs="宋体"/>
                      <w:color w:val="auto"/>
                      <w:kern w:val="0"/>
                      <w:szCs w:val="21"/>
                      <w:highlight w:val="none"/>
                      <w:lang w:bidi="ar"/>
                    </w:rPr>
                    <w:t>铣床</w:t>
                  </w:r>
                </w:p>
              </w:tc>
              <w:tc>
                <w:tcPr>
                  <w:tcW w:w="1890" w:type="dxa"/>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w:t>
                  </w:r>
                </w:p>
              </w:tc>
              <w:tc>
                <w:tcPr>
                  <w:tcW w:w="1545" w:type="dxa"/>
                  <w:vAlign w:val="center"/>
                </w:tcPr>
                <w:p>
                  <w:pPr>
                    <w:widowControl/>
                    <w:spacing w:line="360" w:lineRule="auto"/>
                    <w:jc w:val="center"/>
                    <w:textAlignment w:val="center"/>
                    <w:rPr>
                      <w:color w:val="auto"/>
                      <w:szCs w:val="21"/>
                      <w:highlight w:val="none"/>
                    </w:rPr>
                  </w:pPr>
                  <w:r>
                    <w:rPr>
                      <w:rFonts w:hint="eastAsia"/>
                      <w:color w:val="auto"/>
                      <w:kern w:val="0"/>
                      <w:szCs w:val="21"/>
                      <w:highlight w:val="none"/>
                      <w:lang w:bidi="ar"/>
                    </w:rPr>
                    <w:t>10</w:t>
                  </w:r>
                  <w:r>
                    <w:rPr>
                      <w:rFonts w:hint="eastAsia" w:ascii="宋体" w:hAnsi="宋体"/>
                      <w:color w:val="auto"/>
                      <w:szCs w:val="21"/>
                      <w:highlight w:val="none"/>
                    </w:rPr>
                    <w:t>台</w:t>
                  </w:r>
                </w:p>
              </w:tc>
              <w:tc>
                <w:tcPr>
                  <w:tcW w:w="1605" w:type="dxa"/>
                  <w:vMerge w:val="continue"/>
                  <w:vAlign w:val="center"/>
                </w:tcPr>
                <w:p>
                  <w:pPr>
                    <w:spacing w:line="360" w:lineRule="auto"/>
                    <w:jc w:val="center"/>
                    <w:rPr>
                      <w:rFonts w:ascii="宋体" w:hAnsi="宋体"/>
                      <w:color w:val="auto"/>
                      <w:szCs w:val="21"/>
                      <w:highlight w:val="none"/>
                    </w:rPr>
                  </w:pPr>
                </w:p>
              </w:tc>
              <w:tc>
                <w:tcPr>
                  <w:tcW w:w="1196" w:type="dxa"/>
                  <w:shd w:val="clear" w:color="auto" w:fill="auto"/>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color w:val="auto"/>
                      <w:szCs w:val="21"/>
                      <w:highlight w:val="none"/>
                    </w:rPr>
                  </w:pPr>
                  <w:r>
                    <w:rPr>
                      <w:rFonts w:hint="eastAsia"/>
                      <w:color w:val="auto"/>
                      <w:szCs w:val="21"/>
                      <w:highlight w:val="none"/>
                    </w:rPr>
                    <w:t>4</w:t>
                  </w:r>
                </w:p>
              </w:tc>
              <w:tc>
                <w:tcPr>
                  <w:tcW w:w="1777" w:type="dxa"/>
                  <w:vAlign w:val="center"/>
                </w:tcPr>
                <w:p>
                  <w:pPr>
                    <w:widowControl/>
                    <w:spacing w:line="360" w:lineRule="auto"/>
                    <w:jc w:val="center"/>
                    <w:textAlignment w:val="center"/>
                    <w:rPr>
                      <w:rFonts w:ascii="宋体" w:hAnsi="宋体" w:cs="宋体"/>
                      <w:color w:val="auto"/>
                      <w:kern w:val="0"/>
                      <w:szCs w:val="21"/>
                      <w:highlight w:val="none"/>
                      <w:lang w:bidi="ar"/>
                    </w:rPr>
                  </w:pPr>
                  <w:r>
                    <w:rPr>
                      <w:rFonts w:hint="eastAsia" w:ascii="宋体" w:hAnsi="宋体" w:cs="宋体"/>
                      <w:color w:val="auto"/>
                      <w:kern w:val="0"/>
                      <w:szCs w:val="21"/>
                      <w:highlight w:val="none"/>
                      <w:lang w:bidi="ar"/>
                    </w:rPr>
                    <w:t>混料机</w:t>
                  </w:r>
                </w:p>
              </w:tc>
              <w:tc>
                <w:tcPr>
                  <w:tcW w:w="1890" w:type="dxa"/>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w:t>
                  </w:r>
                </w:p>
              </w:tc>
              <w:tc>
                <w:tcPr>
                  <w:tcW w:w="1545" w:type="dxa"/>
                  <w:vAlign w:val="center"/>
                </w:tcPr>
                <w:p>
                  <w:pPr>
                    <w:widowControl/>
                    <w:spacing w:line="360" w:lineRule="auto"/>
                    <w:jc w:val="center"/>
                    <w:textAlignment w:val="center"/>
                    <w:rPr>
                      <w:color w:val="auto"/>
                      <w:kern w:val="0"/>
                      <w:szCs w:val="21"/>
                      <w:highlight w:val="none"/>
                      <w:lang w:bidi="ar"/>
                    </w:rPr>
                  </w:pPr>
                  <w:r>
                    <w:rPr>
                      <w:rFonts w:hint="eastAsia"/>
                      <w:color w:val="auto"/>
                      <w:kern w:val="0"/>
                      <w:szCs w:val="21"/>
                      <w:highlight w:val="none"/>
                      <w:lang w:bidi="ar"/>
                    </w:rPr>
                    <w:t>2台</w:t>
                  </w:r>
                </w:p>
              </w:tc>
              <w:tc>
                <w:tcPr>
                  <w:tcW w:w="1605" w:type="dxa"/>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混合</w:t>
                  </w:r>
                </w:p>
              </w:tc>
              <w:tc>
                <w:tcPr>
                  <w:tcW w:w="1196" w:type="dxa"/>
                  <w:shd w:val="clear" w:color="auto" w:fill="auto"/>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color w:val="auto"/>
                      <w:szCs w:val="21"/>
                      <w:highlight w:val="none"/>
                    </w:rPr>
                  </w:pPr>
                  <w:r>
                    <w:rPr>
                      <w:rFonts w:hint="eastAsia"/>
                      <w:color w:val="auto"/>
                      <w:szCs w:val="21"/>
                      <w:highlight w:val="none"/>
                    </w:rPr>
                    <w:t>5</w:t>
                  </w:r>
                </w:p>
              </w:tc>
              <w:tc>
                <w:tcPr>
                  <w:tcW w:w="1777" w:type="dxa"/>
                  <w:vAlign w:val="center"/>
                </w:tcPr>
                <w:p>
                  <w:pPr>
                    <w:widowControl/>
                    <w:spacing w:line="360" w:lineRule="auto"/>
                    <w:jc w:val="center"/>
                    <w:textAlignment w:val="center"/>
                    <w:rPr>
                      <w:rFonts w:ascii="宋体" w:hAnsi="宋体" w:cs="宋体"/>
                      <w:color w:val="auto"/>
                      <w:kern w:val="0"/>
                      <w:szCs w:val="21"/>
                      <w:highlight w:val="none"/>
                      <w:lang w:bidi="ar"/>
                    </w:rPr>
                  </w:pPr>
                  <w:r>
                    <w:rPr>
                      <w:rFonts w:hint="eastAsia" w:ascii="宋体" w:hAnsi="宋体" w:cs="宋体"/>
                      <w:color w:val="auto"/>
                      <w:kern w:val="0"/>
                      <w:szCs w:val="21"/>
                      <w:highlight w:val="none"/>
                      <w:lang w:bidi="ar"/>
                    </w:rPr>
                    <w:t>注塑机</w:t>
                  </w:r>
                </w:p>
              </w:tc>
              <w:tc>
                <w:tcPr>
                  <w:tcW w:w="1890" w:type="dxa"/>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w:t>
                  </w:r>
                </w:p>
              </w:tc>
              <w:tc>
                <w:tcPr>
                  <w:tcW w:w="1545" w:type="dxa"/>
                  <w:vAlign w:val="center"/>
                </w:tcPr>
                <w:p>
                  <w:pPr>
                    <w:widowControl/>
                    <w:spacing w:line="360" w:lineRule="auto"/>
                    <w:jc w:val="center"/>
                    <w:textAlignment w:val="center"/>
                    <w:rPr>
                      <w:color w:val="auto"/>
                      <w:kern w:val="0"/>
                      <w:szCs w:val="21"/>
                      <w:highlight w:val="none"/>
                      <w:lang w:bidi="ar"/>
                    </w:rPr>
                  </w:pPr>
                  <w:r>
                    <w:rPr>
                      <w:rFonts w:hint="eastAsia"/>
                      <w:color w:val="auto"/>
                      <w:kern w:val="0"/>
                      <w:szCs w:val="21"/>
                      <w:highlight w:val="none"/>
                      <w:lang w:bidi="ar"/>
                    </w:rPr>
                    <w:t>10台</w:t>
                  </w:r>
                </w:p>
              </w:tc>
              <w:tc>
                <w:tcPr>
                  <w:tcW w:w="1605" w:type="dxa"/>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烘干、注塑</w:t>
                  </w:r>
                </w:p>
              </w:tc>
              <w:tc>
                <w:tcPr>
                  <w:tcW w:w="1196" w:type="dxa"/>
                  <w:shd w:val="clear" w:color="auto" w:fill="auto"/>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color w:val="auto"/>
                      <w:szCs w:val="21"/>
                      <w:highlight w:val="none"/>
                    </w:rPr>
                  </w:pPr>
                  <w:r>
                    <w:rPr>
                      <w:rFonts w:hint="eastAsia"/>
                      <w:color w:val="auto"/>
                      <w:szCs w:val="21"/>
                      <w:highlight w:val="none"/>
                    </w:rPr>
                    <w:t>6</w:t>
                  </w:r>
                </w:p>
              </w:tc>
              <w:tc>
                <w:tcPr>
                  <w:tcW w:w="1777" w:type="dxa"/>
                  <w:vAlign w:val="center"/>
                </w:tcPr>
                <w:p>
                  <w:pPr>
                    <w:widowControl/>
                    <w:spacing w:line="360" w:lineRule="auto"/>
                    <w:jc w:val="center"/>
                    <w:textAlignment w:val="center"/>
                    <w:rPr>
                      <w:rFonts w:ascii="宋体" w:hAnsi="宋体" w:cs="宋体"/>
                      <w:color w:val="auto"/>
                      <w:kern w:val="0"/>
                      <w:szCs w:val="21"/>
                      <w:highlight w:val="none"/>
                      <w:lang w:bidi="ar"/>
                    </w:rPr>
                  </w:pPr>
                  <w:r>
                    <w:rPr>
                      <w:rFonts w:hint="eastAsia" w:ascii="宋体" w:hAnsi="宋体" w:cs="宋体"/>
                      <w:color w:val="auto"/>
                      <w:kern w:val="0"/>
                      <w:szCs w:val="21"/>
                      <w:highlight w:val="none"/>
                      <w:lang w:bidi="ar"/>
                    </w:rPr>
                    <w:t>破碎机</w:t>
                  </w:r>
                </w:p>
              </w:tc>
              <w:tc>
                <w:tcPr>
                  <w:tcW w:w="1890" w:type="dxa"/>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w:t>
                  </w:r>
                </w:p>
              </w:tc>
              <w:tc>
                <w:tcPr>
                  <w:tcW w:w="1545" w:type="dxa"/>
                  <w:vAlign w:val="center"/>
                </w:tcPr>
                <w:p>
                  <w:pPr>
                    <w:widowControl/>
                    <w:spacing w:line="360" w:lineRule="auto"/>
                    <w:jc w:val="center"/>
                    <w:textAlignment w:val="center"/>
                    <w:rPr>
                      <w:color w:val="auto"/>
                      <w:kern w:val="0"/>
                      <w:szCs w:val="21"/>
                      <w:highlight w:val="none"/>
                      <w:lang w:bidi="ar"/>
                    </w:rPr>
                  </w:pPr>
                  <w:r>
                    <w:rPr>
                      <w:rFonts w:hint="eastAsia"/>
                      <w:color w:val="auto"/>
                      <w:kern w:val="0"/>
                      <w:szCs w:val="21"/>
                      <w:highlight w:val="none"/>
                      <w:lang w:bidi="ar"/>
                    </w:rPr>
                    <w:t>2台</w:t>
                  </w:r>
                </w:p>
              </w:tc>
              <w:tc>
                <w:tcPr>
                  <w:tcW w:w="1605" w:type="dxa"/>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破碎</w:t>
                  </w:r>
                </w:p>
              </w:tc>
              <w:tc>
                <w:tcPr>
                  <w:tcW w:w="1196" w:type="dxa"/>
                  <w:shd w:val="clear" w:color="auto" w:fill="auto"/>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1018" w:type="dxa"/>
                  <w:shd w:val="clear" w:color="auto" w:fill="auto"/>
                  <w:vAlign w:val="center"/>
                </w:tcPr>
                <w:p>
                  <w:pPr>
                    <w:spacing w:line="360" w:lineRule="auto"/>
                    <w:jc w:val="center"/>
                    <w:rPr>
                      <w:color w:val="auto"/>
                      <w:szCs w:val="21"/>
                      <w:highlight w:val="none"/>
                    </w:rPr>
                  </w:pPr>
                  <w:r>
                    <w:rPr>
                      <w:rFonts w:hint="eastAsia"/>
                      <w:color w:val="auto"/>
                      <w:szCs w:val="21"/>
                      <w:highlight w:val="none"/>
                    </w:rPr>
                    <w:t>7</w:t>
                  </w:r>
                </w:p>
              </w:tc>
              <w:tc>
                <w:tcPr>
                  <w:tcW w:w="1777" w:type="dxa"/>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空压机</w:t>
                  </w:r>
                </w:p>
              </w:tc>
              <w:tc>
                <w:tcPr>
                  <w:tcW w:w="1890" w:type="dxa"/>
                  <w:vAlign w:val="center"/>
                </w:tcPr>
                <w:p>
                  <w:pPr>
                    <w:spacing w:line="360" w:lineRule="auto"/>
                    <w:jc w:val="center"/>
                    <w:rPr>
                      <w:color w:val="auto"/>
                      <w:szCs w:val="21"/>
                      <w:highlight w:val="none"/>
                    </w:rPr>
                  </w:pPr>
                  <w:r>
                    <w:rPr>
                      <w:rFonts w:hint="eastAsia"/>
                      <w:color w:val="auto"/>
                      <w:szCs w:val="21"/>
                      <w:highlight w:val="none"/>
                    </w:rPr>
                    <w:t>——</w:t>
                  </w:r>
                </w:p>
              </w:tc>
              <w:tc>
                <w:tcPr>
                  <w:tcW w:w="1545" w:type="dxa"/>
                  <w:vAlign w:val="center"/>
                </w:tcPr>
                <w:p>
                  <w:pPr>
                    <w:spacing w:line="360" w:lineRule="auto"/>
                    <w:jc w:val="center"/>
                    <w:rPr>
                      <w:rFonts w:ascii="宋体" w:hAnsi="宋体"/>
                      <w:color w:val="auto"/>
                      <w:szCs w:val="21"/>
                      <w:highlight w:val="none"/>
                    </w:rPr>
                  </w:pPr>
                  <w:r>
                    <w:rPr>
                      <w:rFonts w:hint="eastAsia"/>
                      <w:color w:val="auto"/>
                      <w:szCs w:val="21"/>
                      <w:highlight w:val="none"/>
                    </w:rPr>
                    <w:t>1</w:t>
                  </w:r>
                  <w:r>
                    <w:rPr>
                      <w:rFonts w:hint="eastAsia" w:ascii="宋体" w:hAnsi="宋体"/>
                      <w:color w:val="auto"/>
                      <w:szCs w:val="21"/>
                      <w:highlight w:val="none"/>
                    </w:rPr>
                    <w:t>台</w:t>
                  </w:r>
                </w:p>
              </w:tc>
              <w:tc>
                <w:tcPr>
                  <w:tcW w:w="1605" w:type="dxa"/>
                  <w:vMerge w:val="restart"/>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辅助</w:t>
                  </w:r>
                </w:p>
              </w:tc>
              <w:tc>
                <w:tcPr>
                  <w:tcW w:w="1196" w:type="dxa"/>
                  <w:shd w:val="clear" w:color="auto" w:fill="auto"/>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1018" w:type="dxa"/>
                  <w:shd w:val="clear" w:color="auto" w:fill="auto"/>
                  <w:vAlign w:val="center"/>
                </w:tcPr>
                <w:p>
                  <w:pPr>
                    <w:spacing w:line="360" w:lineRule="auto"/>
                    <w:jc w:val="center"/>
                    <w:rPr>
                      <w:color w:val="auto"/>
                      <w:szCs w:val="21"/>
                      <w:highlight w:val="none"/>
                    </w:rPr>
                  </w:pPr>
                  <w:r>
                    <w:rPr>
                      <w:rFonts w:hint="eastAsia"/>
                      <w:color w:val="auto"/>
                      <w:szCs w:val="21"/>
                      <w:highlight w:val="none"/>
                    </w:rPr>
                    <w:t>8</w:t>
                  </w:r>
                </w:p>
              </w:tc>
              <w:tc>
                <w:tcPr>
                  <w:tcW w:w="1777" w:type="dxa"/>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冷却塔</w:t>
                  </w:r>
                </w:p>
              </w:tc>
              <w:tc>
                <w:tcPr>
                  <w:tcW w:w="1890" w:type="dxa"/>
                  <w:vAlign w:val="center"/>
                </w:tcPr>
                <w:p>
                  <w:pPr>
                    <w:spacing w:line="360" w:lineRule="auto"/>
                    <w:jc w:val="center"/>
                    <w:rPr>
                      <w:color w:val="auto"/>
                      <w:szCs w:val="21"/>
                      <w:highlight w:val="none"/>
                    </w:rPr>
                  </w:pPr>
                  <w:r>
                    <w:rPr>
                      <w:rFonts w:hint="eastAsia"/>
                      <w:color w:val="auto"/>
                      <w:szCs w:val="21"/>
                      <w:highlight w:val="none"/>
                    </w:rPr>
                    <w:t>——</w:t>
                  </w:r>
                </w:p>
              </w:tc>
              <w:tc>
                <w:tcPr>
                  <w:tcW w:w="1545" w:type="dxa"/>
                  <w:vAlign w:val="center"/>
                </w:tcPr>
                <w:p>
                  <w:pPr>
                    <w:spacing w:line="360" w:lineRule="auto"/>
                    <w:jc w:val="center"/>
                    <w:rPr>
                      <w:color w:val="auto"/>
                      <w:szCs w:val="21"/>
                      <w:highlight w:val="none"/>
                    </w:rPr>
                  </w:pPr>
                  <w:r>
                    <w:rPr>
                      <w:rFonts w:hint="eastAsia"/>
                      <w:color w:val="auto"/>
                      <w:szCs w:val="21"/>
                      <w:highlight w:val="none"/>
                    </w:rPr>
                    <w:t>1</w:t>
                  </w:r>
                  <w:r>
                    <w:rPr>
                      <w:rFonts w:hint="eastAsia" w:ascii="宋体" w:hAnsi="宋体"/>
                      <w:color w:val="auto"/>
                      <w:szCs w:val="21"/>
                      <w:highlight w:val="none"/>
                    </w:rPr>
                    <w:t>台</w:t>
                  </w:r>
                </w:p>
              </w:tc>
              <w:tc>
                <w:tcPr>
                  <w:tcW w:w="1605" w:type="dxa"/>
                  <w:vMerge w:val="continue"/>
                  <w:vAlign w:val="center"/>
                </w:tcPr>
                <w:p>
                  <w:pPr>
                    <w:spacing w:line="360" w:lineRule="auto"/>
                    <w:jc w:val="center"/>
                    <w:rPr>
                      <w:rFonts w:ascii="宋体" w:hAnsi="宋体"/>
                      <w:color w:val="auto"/>
                      <w:szCs w:val="21"/>
                      <w:highlight w:val="none"/>
                    </w:rPr>
                  </w:pPr>
                </w:p>
              </w:tc>
              <w:tc>
                <w:tcPr>
                  <w:tcW w:w="1196" w:type="dxa"/>
                  <w:shd w:val="clear" w:color="auto" w:fill="auto"/>
                  <w:vAlign w:val="center"/>
                </w:tcPr>
                <w:p>
                  <w:pPr>
                    <w:spacing w:line="360" w:lineRule="auto"/>
                    <w:jc w:val="center"/>
                    <w:rPr>
                      <w:rFonts w:ascii="宋体" w:hAnsi="宋体"/>
                      <w:color w:val="auto"/>
                      <w:szCs w:val="21"/>
                      <w:highlight w:val="none"/>
                    </w:rPr>
                  </w:pPr>
                  <w:r>
                    <w:rPr>
                      <w:rFonts w:hint="eastAsia" w:ascii="宋体" w:hAnsi="宋体"/>
                      <w:color w:val="auto"/>
                      <w:szCs w:val="21"/>
                      <w:highlight w:val="none"/>
                    </w:rPr>
                    <w:t>——</w:t>
                  </w:r>
                </w:p>
              </w:tc>
            </w:tr>
          </w:tbl>
          <w:p>
            <w:pPr>
              <w:spacing w:line="360" w:lineRule="auto"/>
              <w:ind w:firstLine="422" w:firstLineChars="200"/>
              <w:rPr>
                <w:b/>
                <w:color w:val="auto"/>
                <w:szCs w:val="21"/>
                <w:highlight w:val="none"/>
              </w:rPr>
            </w:pPr>
            <w:r>
              <w:rPr>
                <w:rFonts w:hint="eastAsia"/>
                <w:b/>
                <w:color w:val="auto"/>
                <w:szCs w:val="21"/>
                <w:highlight w:val="none"/>
              </w:rPr>
              <w:t>说明：项目所有设备均使用电能。</w:t>
            </w:r>
          </w:p>
          <w:p>
            <w:pPr>
              <w:spacing w:line="312" w:lineRule="auto"/>
              <w:ind w:firstLine="482"/>
              <w:rPr>
                <w:b/>
                <w:color w:val="auto"/>
                <w:sz w:val="24"/>
                <w:highlight w:val="none"/>
              </w:rPr>
            </w:pPr>
            <w:r>
              <w:rPr>
                <w:b/>
                <w:color w:val="auto"/>
                <w:sz w:val="24"/>
                <w:highlight w:val="none"/>
              </w:rPr>
              <w:t>四、建设项目工程组成</w:t>
            </w:r>
          </w:p>
          <w:p>
            <w:pPr>
              <w:spacing w:line="312" w:lineRule="auto"/>
              <w:ind w:firstLine="480"/>
              <w:rPr>
                <w:color w:val="auto"/>
                <w:sz w:val="24"/>
                <w:highlight w:val="none"/>
              </w:rPr>
            </w:pPr>
            <w:r>
              <w:rPr>
                <w:color w:val="auto"/>
                <w:sz w:val="24"/>
                <w:highlight w:val="none"/>
              </w:rPr>
              <w:t>项目工程内容如下表所示：</w:t>
            </w:r>
          </w:p>
          <w:p>
            <w:pPr>
              <w:pStyle w:val="138"/>
              <w:numPr>
                <w:ilvl w:val="0"/>
                <w:numId w:val="5"/>
              </w:numPr>
              <w:tabs>
                <w:tab w:val="left" w:pos="420"/>
              </w:tabs>
              <w:spacing w:line="312"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工程内容一览表</w:t>
            </w:r>
          </w:p>
          <w:tbl>
            <w:tblPr>
              <w:tblStyle w:val="40"/>
              <w:tblW w:w="8739" w:type="dxa"/>
              <w:jc w:val="center"/>
              <w:tblLayout w:type="fixed"/>
              <w:tblCellMar>
                <w:top w:w="0" w:type="dxa"/>
                <w:left w:w="0" w:type="dxa"/>
                <w:bottom w:w="0" w:type="dxa"/>
                <w:right w:w="0" w:type="dxa"/>
              </w:tblCellMar>
            </w:tblPr>
            <w:tblGrid>
              <w:gridCol w:w="699"/>
              <w:gridCol w:w="780"/>
              <w:gridCol w:w="1639"/>
              <w:gridCol w:w="5621"/>
            </w:tblGrid>
            <w:tr>
              <w:tblPrEx>
                <w:tblCellMar>
                  <w:top w:w="0" w:type="dxa"/>
                  <w:left w:w="0" w:type="dxa"/>
                  <w:bottom w:w="0" w:type="dxa"/>
                  <w:right w:w="0" w:type="dxa"/>
                </w:tblCellMar>
              </w:tblPrEx>
              <w:trPr>
                <w:trHeight w:val="322" w:hRule="atLeast"/>
                <w:jc w:val="center"/>
              </w:trPr>
              <w:tc>
                <w:tcPr>
                  <w:tcW w:w="699"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b/>
                      <w:color w:val="auto"/>
                      <w:highlight w:val="none"/>
                    </w:rPr>
                  </w:pPr>
                  <w:r>
                    <w:rPr>
                      <w:b/>
                      <w:color w:val="auto"/>
                      <w:highlight w:val="none"/>
                    </w:rPr>
                    <w:t>序号</w:t>
                  </w:r>
                </w:p>
              </w:tc>
              <w:tc>
                <w:tcPr>
                  <w:tcW w:w="2419" w:type="dxa"/>
                  <w:gridSpan w:val="2"/>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b/>
                      <w:color w:val="auto"/>
                      <w:highlight w:val="none"/>
                    </w:rPr>
                  </w:pPr>
                  <w:r>
                    <w:rPr>
                      <w:b/>
                      <w:color w:val="auto"/>
                      <w:highlight w:val="none"/>
                    </w:rPr>
                    <w:t>建设项目</w:t>
                  </w:r>
                </w:p>
              </w:tc>
              <w:tc>
                <w:tcPr>
                  <w:tcW w:w="5621"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b/>
                      <w:color w:val="auto"/>
                      <w:highlight w:val="none"/>
                    </w:rPr>
                  </w:pPr>
                  <w:r>
                    <w:rPr>
                      <w:b/>
                      <w:color w:val="auto"/>
                      <w:highlight w:val="none"/>
                    </w:rPr>
                    <w:t>备注</w:t>
                  </w:r>
                </w:p>
              </w:tc>
            </w:tr>
            <w:tr>
              <w:tblPrEx>
                <w:tblCellMar>
                  <w:top w:w="0" w:type="dxa"/>
                  <w:left w:w="0" w:type="dxa"/>
                  <w:bottom w:w="0" w:type="dxa"/>
                  <w:right w:w="0" w:type="dxa"/>
                </w:tblCellMar>
              </w:tblPrEx>
              <w:trPr>
                <w:trHeight w:val="805" w:hRule="atLeast"/>
                <w:jc w:val="center"/>
              </w:trPr>
              <w:tc>
                <w:tcPr>
                  <w:tcW w:w="699" w:type="dxa"/>
                  <w:tcBorders>
                    <w:top w:val="single" w:color="000000" w:sz="4" w:space="0"/>
                    <w:left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1</w:t>
                  </w:r>
                </w:p>
              </w:tc>
              <w:tc>
                <w:tcPr>
                  <w:tcW w:w="780" w:type="dxa"/>
                  <w:tcBorders>
                    <w:top w:val="single" w:color="000000" w:sz="4" w:space="0"/>
                    <w:left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主体工程</w:t>
                  </w:r>
                </w:p>
              </w:tc>
              <w:tc>
                <w:tcPr>
                  <w:tcW w:w="1639" w:type="dxa"/>
                  <w:tcBorders>
                    <w:top w:val="single" w:color="000000" w:sz="4" w:space="0"/>
                    <w:left w:val="single" w:color="000000" w:sz="4" w:space="0"/>
                    <w:bottom w:val="single" w:color="auto" w:sz="4" w:space="0"/>
                    <w:right w:val="single" w:color="000000" w:sz="4" w:space="0"/>
                  </w:tcBorders>
                  <w:tcMar>
                    <w:top w:w="0" w:type="dxa"/>
                    <w:left w:w="108" w:type="dxa"/>
                    <w:bottom w:w="0" w:type="dxa"/>
                    <w:right w:w="108" w:type="dxa"/>
                  </w:tcMar>
                  <w:vAlign w:val="center"/>
                </w:tcPr>
                <w:p>
                  <w:pPr>
                    <w:widowControl/>
                    <w:jc w:val="center"/>
                    <w:rPr>
                      <w:color w:val="auto"/>
                      <w:highlight w:val="none"/>
                    </w:rPr>
                  </w:pPr>
                  <w:r>
                    <w:rPr>
                      <w:rFonts w:hint="eastAsia"/>
                      <w:color w:val="auto"/>
                      <w:highlight w:val="none"/>
                    </w:rPr>
                    <w:t>厂房</w:t>
                  </w:r>
                </w:p>
              </w:tc>
              <w:tc>
                <w:tcPr>
                  <w:tcW w:w="5621" w:type="dxa"/>
                  <w:tcBorders>
                    <w:top w:val="single" w:color="000000" w:sz="4" w:space="0"/>
                    <w:left w:val="single" w:color="000000" w:sz="4" w:space="0"/>
                    <w:bottom w:val="single" w:color="auto"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一栋</w:t>
                  </w:r>
                  <w:r>
                    <w:rPr>
                      <w:rFonts w:hint="eastAsia"/>
                      <w:color w:val="auto"/>
                      <w:highlight w:val="none"/>
                    </w:rPr>
                    <w:t>1</w:t>
                  </w:r>
                  <w:r>
                    <w:rPr>
                      <w:color w:val="auto"/>
                      <w:highlight w:val="none"/>
                    </w:rPr>
                    <w:t>层</w:t>
                  </w:r>
                  <w:r>
                    <w:rPr>
                      <w:rFonts w:hint="eastAsia"/>
                      <w:color w:val="auto"/>
                      <w:highlight w:val="none"/>
                    </w:rPr>
                    <w:t>厂房（含办公室）</w:t>
                  </w:r>
                  <w:r>
                    <w:rPr>
                      <w:color w:val="auto"/>
                      <w:highlight w:val="none"/>
                    </w:rPr>
                    <w:t>，</w:t>
                  </w:r>
                  <w:r>
                    <w:rPr>
                      <w:rFonts w:hint="eastAsia"/>
                      <w:color w:val="auto"/>
                      <w:highlight w:val="none"/>
                    </w:rPr>
                    <w:t>占地面积为810.7</w:t>
                  </w:r>
                  <w:r>
                    <w:rPr>
                      <w:color w:val="auto"/>
                      <w:szCs w:val="21"/>
                      <w:highlight w:val="none"/>
                    </w:rPr>
                    <w:t>m</w:t>
                  </w:r>
                  <w:r>
                    <w:rPr>
                      <w:color w:val="auto"/>
                      <w:szCs w:val="21"/>
                      <w:highlight w:val="none"/>
                      <w:vertAlign w:val="superscript"/>
                    </w:rPr>
                    <w:t>2</w:t>
                  </w:r>
                  <w:r>
                    <w:rPr>
                      <w:rFonts w:hint="eastAsia"/>
                      <w:color w:val="auto"/>
                      <w:highlight w:val="none"/>
                    </w:rPr>
                    <w:t>，建筑面积为810.7</w:t>
                  </w:r>
                  <w:r>
                    <w:rPr>
                      <w:color w:val="auto"/>
                      <w:szCs w:val="21"/>
                      <w:highlight w:val="none"/>
                    </w:rPr>
                    <w:t>m</w:t>
                  </w:r>
                  <w:r>
                    <w:rPr>
                      <w:color w:val="auto"/>
                      <w:szCs w:val="21"/>
                      <w:highlight w:val="none"/>
                      <w:vertAlign w:val="superscript"/>
                    </w:rPr>
                    <w:t>2</w:t>
                  </w:r>
                  <w:r>
                    <w:rPr>
                      <w:rFonts w:hint="eastAsia"/>
                      <w:color w:val="auto"/>
                      <w:highlight w:val="none"/>
                    </w:rPr>
                    <w:t>，主要用于卫浴塑料配件的加工生产</w:t>
                  </w:r>
                </w:p>
              </w:tc>
            </w:tr>
            <w:tr>
              <w:tblPrEx>
                <w:tblCellMar>
                  <w:top w:w="0" w:type="dxa"/>
                  <w:left w:w="0" w:type="dxa"/>
                  <w:bottom w:w="0" w:type="dxa"/>
                  <w:right w:w="0" w:type="dxa"/>
                </w:tblCellMar>
              </w:tblPrEx>
              <w:trPr>
                <w:trHeight w:val="352" w:hRule="atLeast"/>
                <w:jc w:val="center"/>
              </w:trPr>
              <w:tc>
                <w:tcPr>
                  <w:tcW w:w="699" w:type="dxa"/>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2</w:t>
                  </w:r>
                </w:p>
              </w:tc>
              <w:tc>
                <w:tcPr>
                  <w:tcW w:w="780" w:type="dxa"/>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公共配套设施</w:t>
                  </w:r>
                </w:p>
              </w:tc>
              <w:tc>
                <w:tcPr>
                  <w:tcW w:w="1639"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供配电</w:t>
                  </w:r>
                </w:p>
              </w:tc>
              <w:tc>
                <w:tcPr>
                  <w:tcW w:w="5621"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用电由市政电网供给，年用电量约为</w:t>
                  </w:r>
                  <w:r>
                    <w:rPr>
                      <w:rFonts w:hint="eastAsia"/>
                      <w:color w:val="auto"/>
                      <w:highlight w:val="none"/>
                    </w:rPr>
                    <w:t>10</w:t>
                  </w:r>
                  <w:r>
                    <w:rPr>
                      <w:color w:val="auto"/>
                      <w:highlight w:val="none"/>
                    </w:rPr>
                    <w:t>万度</w:t>
                  </w:r>
                </w:p>
              </w:tc>
            </w:tr>
            <w:tr>
              <w:tblPrEx>
                <w:tblCellMar>
                  <w:top w:w="0" w:type="dxa"/>
                  <w:left w:w="0" w:type="dxa"/>
                  <w:bottom w:w="0" w:type="dxa"/>
                  <w:right w:w="0" w:type="dxa"/>
                </w:tblCellMar>
              </w:tblPrEx>
              <w:trPr>
                <w:trHeight w:val="960"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p>
              </w:tc>
              <w:tc>
                <w:tcPr>
                  <w:tcW w:w="780"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p>
              </w:tc>
              <w:tc>
                <w:tcPr>
                  <w:tcW w:w="1639"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供排水</w:t>
                  </w:r>
                </w:p>
              </w:tc>
              <w:tc>
                <w:tcPr>
                  <w:tcW w:w="5621"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给水：由市政管网提供</w:t>
                  </w:r>
                  <w:r>
                    <w:rPr>
                      <w:rFonts w:hint="eastAsia"/>
                      <w:color w:val="auto"/>
                      <w:highlight w:val="none"/>
                    </w:rPr>
                    <w:t>；</w:t>
                  </w:r>
                  <w:r>
                    <w:rPr>
                      <w:color w:val="auto"/>
                      <w:highlight w:val="none"/>
                    </w:rPr>
                    <w:t>排水：</w:t>
                  </w:r>
                  <w:r>
                    <w:rPr>
                      <w:rFonts w:hint="eastAsia"/>
                      <w:color w:val="auto"/>
                      <w:highlight w:val="none"/>
                    </w:rPr>
                    <w:t>冷却用水</w:t>
                  </w:r>
                  <w:r>
                    <w:rPr>
                      <w:color w:val="auto"/>
                      <w:highlight w:val="none"/>
                    </w:rPr>
                    <w:t>循环使用，定期补充，不外排</w:t>
                  </w:r>
                  <w:r>
                    <w:rPr>
                      <w:rFonts w:hint="eastAsia"/>
                      <w:color w:val="auto"/>
                      <w:highlight w:val="none"/>
                    </w:rPr>
                    <w:t>；</w:t>
                  </w:r>
                  <w:r>
                    <w:rPr>
                      <w:color w:val="auto"/>
                      <w:highlight w:val="none"/>
                    </w:rPr>
                    <w:t>生活污水经三级化粪池处理后排放到市政污水管网，引至</w:t>
                  </w:r>
                  <w:r>
                    <w:rPr>
                      <w:rFonts w:hint="eastAsia"/>
                      <w:color w:val="auto"/>
                      <w:highlight w:val="none"/>
                    </w:rPr>
                    <w:t>开平市水口</w:t>
                  </w:r>
                  <w:r>
                    <w:rPr>
                      <w:color w:val="auto"/>
                      <w:highlight w:val="none"/>
                    </w:rPr>
                    <w:t>污水处理厂处理</w:t>
                  </w:r>
                </w:p>
              </w:tc>
            </w:tr>
            <w:tr>
              <w:tblPrEx>
                <w:tblCellMar>
                  <w:top w:w="0" w:type="dxa"/>
                  <w:left w:w="0" w:type="dxa"/>
                  <w:bottom w:w="0" w:type="dxa"/>
                  <w:right w:w="0" w:type="dxa"/>
                </w:tblCellMar>
              </w:tblPrEx>
              <w:trPr>
                <w:trHeight w:val="292"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p>
              </w:tc>
              <w:tc>
                <w:tcPr>
                  <w:tcW w:w="780"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p>
              </w:tc>
              <w:tc>
                <w:tcPr>
                  <w:tcW w:w="1639"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厂房通排风</w:t>
                  </w:r>
                </w:p>
              </w:tc>
              <w:tc>
                <w:tcPr>
                  <w:tcW w:w="5621"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通风设备</w:t>
                  </w:r>
                </w:p>
              </w:tc>
            </w:tr>
            <w:tr>
              <w:tblPrEx>
                <w:tblCellMar>
                  <w:top w:w="0" w:type="dxa"/>
                  <w:left w:w="0" w:type="dxa"/>
                  <w:bottom w:w="0" w:type="dxa"/>
                  <w:right w:w="0" w:type="dxa"/>
                </w:tblCellMar>
              </w:tblPrEx>
              <w:trPr>
                <w:trHeight w:val="327"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p>
              </w:tc>
              <w:tc>
                <w:tcPr>
                  <w:tcW w:w="780"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p>
              </w:tc>
              <w:tc>
                <w:tcPr>
                  <w:tcW w:w="1639"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其他</w:t>
                  </w:r>
                </w:p>
              </w:tc>
              <w:tc>
                <w:tcPr>
                  <w:tcW w:w="5621"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固废垃圾收集、储存</w:t>
                  </w:r>
                </w:p>
              </w:tc>
            </w:tr>
            <w:tr>
              <w:tblPrEx>
                <w:tblCellMar>
                  <w:top w:w="0" w:type="dxa"/>
                  <w:left w:w="0" w:type="dxa"/>
                  <w:bottom w:w="0" w:type="dxa"/>
                  <w:right w:w="0" w:type="dxa"/>
                </w:tblCellMar>
              </w:tblPrEx>
              <w:trPr>
                <w:trHeight w:val="911" w:hRule="atLeast"/>
                <w:jc w:val="center"/>
              </w:trPr>
              <w:tc>
                <w:tcPr>
                  <w:tcW w:w="699" w:type="dxa"/>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3</w:t>
                  </w:r>
                </w:p>
                <w:p>
                  <w:pPr>
                    <w:jc w:val="center"/>
                    <w:rPr>
                      <w:color w:val="auto"/>
                      <w:highlight w:val="none"/>
                    </w:rPr>
                  </w:pPr>
                </w:p>
              </w:tc>
              <w:tc>
                <w:tcPr>
                  <w:tcW w:w="780" w:type="dxa"/>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环保设施</w:t>
                  </w:r>
                </w:p>
              </w:tc>
              <w:tc>
                <w:tcPr>
                  <w:tcW w:w="1639"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szCs w:val="21"/>
                      <w:highlight w:val="none"/>
                    </w:rPr>
                  </w:pPr>
                  <w:r>
                    <w:rPr>
                      <w:color w:val="auto"/>
                      <w:szCs w:val="21"/>
                      <w:highlight w:val="none"/>
                    </w:rPr>
                    <w:t>废气治理</w:t>
                  </w:r>
                </w:p>
              </w:tc>
              <w:tc>
                <w:tcPr>
                  <w:tcW w:w="5621"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szCs w:val="21"/>
                      <w:highlight w:val="none"/>
                    </w:rPr>
                  </w:pPr>
                  <w:r>
                    <w:rPr>
                      <w:rFonts w:hint="eastAsia"/>
                      <w:color w:val="auto"/>
                      <w:highlight w:val="none"/>
                    </w:rPr>
                    <w:t>注塑</w:t>
                  </w:r>
                  <w:r>
                    <w:rPr>
                      <w:color w:val="auto"/>
                      <w:highlight w:val="none"/>
                    </w:rPr>
                    <w:t>工序</w:t>
                  </w:r>
                  <w:r>
                    <w:rPr>
                      <w:color w:val="auto"/>
                      <w:szCs w:val="21"/>
                      <w:highlight w:val="none"/>
                    </w:rPr>
                    <w:t>：</w:t>
                  </w:r>
                  <w:r>
                    <w:rPr>
                      <w:rFonts w:hint="eastAsia"/>
                      <w:color w:val="auto"/>
                      <w:szCs w:val="21"/>
                      <w:highlight w:val="none"/>
                    </w:rPr>
                    <w:t>设置集气装置将废气进行收集后采用UV光解+活性炭吸附装置进行</w:t>
                  </w:r>
                  <w:r>
                    <w:rPr>
                      <w:rFonts w:hint="eastAsia"/>
                      <w:color w:val="auto"/>
                      <w:szCs w:val="21"/>
                      <w:highlight w:val="none"/>
                      <w:lang w:eastAsia="zh-CN"/>
                    </w:rPr>
                    <w:t>处理后经15m排气筒高空排放</w:t>
                  </w:r>
                  <w:r>
                    <w:rPr>
                      <w:rFonts w:hint="eastAsia"/>
                      <w:color w:val="auto"/>
                      <w:szCs w:val="21"/>
                      <w:highlight w:val="none"/>
                    </w:rPr>
                    <w:t>；破碎工序：加强车间机械通风措施</w:t>
                  </w:r>
                </w:p>
              </w:tc>
            </w:tr>
            <w:tr>
              <w:tblPrEx>
                <w:tblCellMar>
                  <w:top w:w="0" w:type="dxa"/>
                  <w:left w:w="0" w:type="dxa"/>
                  <w:bottom w:w="0" w:type="dxa"/>
                  <w:right w:w="0" w:type="dxa"/>
                </w:tblCellMar>
              </w:tblPrEx>
              <w:trPr>
                <w:trHeight w:val="23"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p>
              </w:tc>
              <w:tc>
                <w:tcPr>
                  <w:tcW w:w="780"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p>
              </w:tc>
              <w:tc>
                <w:tcPr>
                  <w:tcW w:w="1639"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废水治理</w:t>
                  </w:r>
                </w:p>
              </w:tc>
              <w:tc>
                <w:tcPr>
                  <w:tcW w:w="5621"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rFonts w:hint="eastAsia"/>
                      <w:color w:val="auto"/>
                      <w:highlight w:val="none"/>
                    </w:rPr>
                    <w:t>冷却用水</w:t>
                  </w:r>
                  <w:r>
                    <w:rPr>
                      <w:color w:val="auto"/>
                      <w:highlight w:val="none"/>
                    </w:rPr>
                    <w:t>循环使用，定期补充，不外排</w:t>
                  </w:r>
                  <w:r>
                    <w:rPr>
                      <w:rFonts w:hint="eastAsia"/>
                      <w:color w:val="auto"/>
                      <w:highlight w:val="none"/>
                    </w:rPr>
                    <w:t>；</w:t>
                  </w:r>
                  <w:r>
                    <w:rPr>
                      <w:color w:val="auto"/>
                      <w:highlight w:val="none"/>
                    </w:rPr>
                    <w:t>生活污水经三级化粪池处理后排放到市政污水管网，引至</w:t>
                  </w:r>
                  <w:r>
                    <w:rPr>
                      <w:rFonts w:hint="eastAsia"/>
                      <w:color w:val="auto"/>
                      <w:highlight w:val="none"/>
                    </w:rPr>
                    <w:t>开平市水口</w:t>
                  </w:r>
                  <w:r>
                    <w:rPr>
                      <w:color w:val="auto"/>
                      <w:highlight w:val="none"/>
                    </w:rPr>
                    <w:t>污水处理厂处理</w:t>
                  </w:r>
                </w:p>
              </w:tc>
            </w:tr>
            <w:tr>
              <w:tblPrEx>
                <w:tblCellMar>
                  <w:top w:w="0" w:type="dxa"/>
                  <w:left w:w="0" w:type="dxa"/>
                  <w:bottom w:w="0" w:type="dxa"/>
                  <w:right w:w="0" w:type="dxa"/>
                </w:tblCellMar>
              </w:tblPrEx>
              <w:trPr>
                <w:trHeight w:val="322"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p>
              </w:tc>
              <w:tc>
                <w:tcPr>
                  <w:tcW w:w="780"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p>
              </w:tc>
              <w:tc>
                <w:tcPr>
                  <w:tcW w:w="1639"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噪声治理</w:t>
                  </w:r>
                </w:p>
              </w:tc>
              <w:tc>
                <w:tcPr>
                  <w:tcW w:w="5621"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减震、隔声、降噪</w:t>
                  </w:r>
                </w:p>
              </w:tc>
            </w:tr>
            <w:tr>
              <w:tblPrEx>
                <w:tblCellMar>
                  <w:top w:w="0" w:type="dxa"/>
                  <w:left w:w="0" w:type="dxa"/>
                  <w:bottom w:w="0" w:type="dxa"/>
                  <w:right w:w="0" w:type="dxa"/>
                </w:tblCellMar>
              </w:tblPrEx>
              <w:trPr>
                <w:trHeight w:val="23"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p>
              </w:tc>
              <w:tc>
                <w:tcPr>
                  <w:tcW w:w="780"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p>
              </w:tc>
              <w:tc>
                <w:tcPr>
                  <w:tcW w:w="1639"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固废处置</w:t>
                  </w:r>
                </w:p>
              </w:tc>
              <w:tc>
                <w:tcPr>
                  <w:tcW w:w="5621"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highlight w:val="none"/>
                    </w:rPr>
                  </w:pPr>
                  <w:r>
                    <w:rPr>
                      <w:color w:val="auto"/>
                      <w:highlight w:val="none"/>
                    </w:rPr>
                    <w:t>生活垃圾</w:t>
                  </w:r>
                  <w:r>
                    <w:rPr>
                      <w:color w:val="auto"/>
                      <w:kern w:val="0"/>
                      <w:szCs w:val="21"/>
                      <w:highlight w:val="none"/>
                    </w:rPr>
                    <w:t>交环卫部门处理</w:t>
                  </w:r>
                  <w:r>
                    <w:rPr>
                      <w:color w:val="auto"/>
                      <w:highlight w:val="none"/>
                    </w:rPr>
                    <w:t>；一般固废收集后</w:t>
                  </w:r>
                  <w:r>
                    <w:rPr>
                      <w:color w:val="auto"/>
                      <w:szCs w:val="21"/>
                      <w:highlight w:val="none"/>
                    </w:rPr>
                    <w:t>交专业公司回收处理；危险废物经收集后交给</w:t>
                  </w:r>
                  <w:r>
                    <w:rPr>
                      <w:rFonts w:hint="eastAsia"/>
                      <w:color w:val="auto"/>
                      <w:szCs w:val="21"/>
                      <w:highlight w:val="none"/>
                    </w:rPr>
                    <w:t>有危险废物处置资质单位处置</w:t>
                  </w:r>
                </w:p>
              </w:tc>
            </w:tr>
          </w:tbl>
          <w:p>
            <w:pPr>
              <w:pStyle w:val="25"/>
              <w:tabs>
                <w:tab w:val="left" w:pos="2226"/>
              </w:tabs>
              <w:adjustRightInd w:val="0"/>
              <w:snapToGrid w:val="0"/>
              <w:spacing w:line="336" w:lineRule="auto"/>
              <w:ind w:firstLine="482" w:firstLineChars="200"/>
              <w:rPr>
                <w:b/>
                <w:color w:val="auto"/>
                <w:highlight w:val="none"/>
              </w:rPr>
            </w:pPr>
            <w:r>
              <w:rPr>
                <w:rFonts w:hint="eastAsia"/>
                <w:b/>
                <w:color w:val="auto"/>
                <w:highlight w:val="none"/>
              </w:rPr>
              <w:t>五</w:t>
            </w:r>
            <w:r>
              <w:rPr>
                <w:b/>
                <w:color w:val="auto"/>
                <w:highlight w:val="none"/>
              </w:rPr>
              <w:t>、</w:t>
            </w:r>
            <w:r>
              <w:rPr>
                <w:b/>
                <w:bCs/>
                <w:color w:val="auto"/>
                <w:highlight w:val="none"/>
              </w:rPr>
              <w:t>公用工程</w:t>
            </w:r>
          </w:p>
          <w:p>
            <w:pPr>
              <w:widowControl/>
              <w:adjustRightInd w:val="0"/>
              <w:snapToGrid w:val="0"/>
              <w:spacing w:line="336" w:lineRule="auto"/>
              <w:ind w:firstLine="480" w:firstLineChars="200"/>
              <w:rPr>
                <w:color w:val="auto"/>
                <w:kern w:val="0"/>
                <w:sz w:val="24"/>
                <w:highlight w:val="none"/>
              </w:rPr>
            </w:pPr>
            <w:r>
              <w:rPr>
                <w:color w:val="auto"/>
                <w:kern w:val="0"/>
                <w:sz w:val="24"/>
                <w:highlight w:val="none"/>
              </w:rPr>
              <w:t>（1）给水</w:t>
            </w:r>
            <w:r>
              <w:rPr>
                <w:rFonts w:hint="eastAsia"/>
                <w:color w:val="auto"/>
                <w:kern w:val="0"/>
                <w:sz w:val="24"/>
                <w:highlight w:val="none"/>
              </w:rPr>
              <w:t>系统</w:t>
            </w:r>
          </w:p>
          <w:p>
            <w:pPr>
              <w:adjustRightInd w:val="0"/>
              <w:spacing w:line="336" w:lineRule="auto"/>
              <w:ind w:firstLine="480" w:firstLineChars="200"/>
              <w:rPr>
                <w:color w:val="auto"/>
                <w:sz w:val="24"/>
                <w:highlight w:val="none"/>
              </w:rPr>
            </w:pPr>
            <w:r>
              <w:rPr>
                <w:rFonts w:hint="eastAsia"/>
                <w:color w:val="auto"/>
                <w:sz w:val="24"/>
                <w:highlight w:val="none"/>
              </w:rPr>
              <w:t>本</w:t>
            </w:r>
            <w:r>
              <w:rPr>
                <w:color w:val="auto"/>
                <w:sz w:val="24"/>
                <w:highlight w:val="none"/>
              </w:rPr>
              <w:t>项目</w:t>
            </w:r>
            <w:r>
              <w:rPr>
                <w:rFonts w:hint="eastAsia"/>
                <w:color w:val="auto"/>
                <w:sz w:val="24"/>
                <w:highlight w:val="none"/>
              </w:rPr>
              <w:t>给水系统主要包括注塑冷却用水和生活污水，均</w:t>
            </w:r>
            <w:r>
              <w:rPr>
                <w:color w:val="auto"/>
                <w:sz w:val="24"/>
                <w:highlight w:val="none"/>
              </w:rPr>
              <w:t>由市政管道供给</w:t>
            </w:r>
            <w:r>
              <w:rPr>
                <w:rFonts w:hint="eastAsia"/>
                <w:color w:val="auto"/>
                <w:sz w:val="24"/>
                <w:highlight w:val="none"/>
              </w:rPr>
              <w:t>。</w:t>
            </w:r>
          </w:p>
          <w:p>
            <w:pPr>
              <w:adjustRightInd w:val="0"/>
              <w:spacing w:line="336" w:lineRule="auto"/>
              <w:ind w:firstLine="480" w:firstLineChars="200"/>
              <w:rPr>
                <w:rFonts w:hint="eastAsia" w:hAnsi="宋体" w:eastAsia="宋体"/>
                <w:color w:val="auto"/>
                <w:sz w:val="24"/>
                <w:highlight w:val="none"/>
                <w:lang w:val="en-US" w:eastAsia="zh-CN"/>
              </w:rPr>
            </w:pPr>
            <w:r>
              <w:rPr>
                <w:rFonts w:hint="eastAsia" w:hAnsi="宋体"/>
                <w:bCs/>
                <w:color w:val="auto"/>
                <w:sz w:val="24"/>
                <w:highlight w:val="none"/>
              </w:rPr>
              <w:t>注塑</w:t>
            </w:r>
            <w:r>
              <w:rPr>
                <w:rFonts w:hAnsi="宋体"/>
                <w:bCs/>
                <w:color w:val="auto"/>
                <w:sz w:val="24"/>
                <w:highlight w:val="none"/>
              </w:rPr>
              <w:t>冷却用水：</w:t>
            </w:r>
            <w:r>
              <w:rPr>
                <w:rFonts w:hAnsi="宋体"/>
                <w:color w:val="auto"/>
                <w:sz w:val="24"/>
                <w:highlight w:val="none"/>
              </w:rPr>
              <w:t>项目</w:t>
            </w:r>
            <w:r>
              <w:rPr>
                <w:rFonts w:hint="eastAsia" w:hAnsi="宋体"/>
                <w:color w:val="auto"/>
                <w:sz w:val="24"/>
                <w:highlight w:val="none"/>
              </w:rPr>
              <w:t>注塑</w:t>
            </w:r>
            <w:r>
              <w:rPr>
                <w:rFonts w:hAnsi="宋体"/>
                <w:color w:val="auto"/>
                <w:sz w:val="24"/>
                <w:highlight w:val="none"/>
              </w:rPr>
              <w:t>工序中</w:t>
            </w:r>
            <w:r>
              <w:rPr>
                <w:rFonts w:hint="eastAsia" w:hAnsi="宋体"/>
                <w:color w:val="auto"/>
                <w:sz w:val="24"/>
                <w:highlight w:val="none"/>
              </w:rPr>
              <w:t>需使用冷却塔进行</w:t>
            </w:r>
            <w:r>
              <w:rPr>
                <w:rFonts w:hAnsi="宋体"/>
                <w:color w:val="auto"/>
                <w:sz w:val="24"/>
                <w:highlight w:val="none"/>
              </w:rPr>
              <w:t>冷却，冷却方式为间接冷却，冷却用水为普通的自来水，其中无需添加矿物油、乳化液等冷却剂，根据建设单位提供资料，</w:t>
            </w:r>
            <w:r>
              <w:rPr>
                <w:rFonts w:hint="eastAsia" w:hAnsi="宋体"/>
                <w:color w:val="auto"/>
                <w:sz w:val="24"/>
                <w:highlight w:val="none"/>
              </w:rPr>
              <w:t>项目冷却塔</w:t>
            </w:r>
            <w:r>
              <w:rPr>
                <w:rFonts w:hAnsi="宋体"/>
                <w:color w:val="auto"/>
                <w:sz w:val="24"/>
                <w:highlight w:val="none"/>
              </w:rPr>
              <w:t>循环水量为</w:t>
            </w:r>
            <w:r>
              <w:rPr>
                <w:rStyle w:val="46"/>
                <w:rFonts w:hint="eastAsia"/>
                <w:color w:val="auto"/>
                <w:highlight w:val="none"/>
                <w:lang w:val="en-US" w:eastAsia="zh-CN"/>
              </w:rPr>
              <w:t>2</w:t>
            </w:r>
            <w:r>
              <w:rPr>
                <w:rFonts w:hint="eastAsia"/>
                <w:color w:val="auto"/>
                <w:sz w:val="24"/>
                <w:highlight w:val="none"/>
              </w:rPr>
              <w:t>t</w:t>
            </w:r>
            <w:r>
              <w:rPr>
                <w:rStyle w:val="46"/>
                <w:rFonts w:hint="eastAsia"/>
                <w:color w:val="auto"/>
                <w:highlight w:val="none"/>
                <w:lang w:val="en-US" w:eastAsia="zh-CN"/>
              </w:rPr>
              <w:t>/h</w:t>
            </w:r>
            <w:r>
              <w:rPr>
                <w:rFonts w:hAnsi="宋体"/>
                <w:color w:val="auto"/>
                <w:sz w:val="24"/>
                <w:highlight w:val="none"/>
              </w:rPr>
              <w:t>，该冷却水循环使用，不外排，</w:t>
            </w:r>
            <w:r>
              <w:rPr>
                <w:rFonts w:hint="eastAsia"/>
                <w:color w:val="auto"/>
                <w:sz w:val="24"/>
                <w:highlight w:val="none"/>
              </w:rPr>
              <w:t>因受热等因素损失，需定期补充新鲜水，损耗</w:t>
            </w:r>
            <w:r>
              <w:rPr>
                <w:color w:val="auto"/>
                <w:sz w:val="24"/>
                <w:highlight w:val="none"/>
              </w:rPr>
              <w:t>补充用水约占</w:t>
            </w:r>
            <w:r>
              <w:rPr>
                <w:rFonts w:hint="eastAsia"/>
                <w:color w:val="auto"/>
                <w:sz w:val="24"/>
                <w:highlight w:val="none"/>
              </w:rPr>
              <w:t>循环水量</w:t>
            </w:r>
            <w:r>
              <w:rPr>
                <w:color w:val="auto"/>
                <w:sz w:val="24"/>
                <w:highlight w:val="none"/>
              </w:rPr>
              <w:t>的</w:t>
            </w:r>
            <w:r>
              <w:rPr>
                <w:rFonts w:hint="eastAsia"/>
                <w:color w:val="auto"/>
                <w:sz w:val="24"/>
                <w:highlight w:val="none"/>
              </w:rPr>
              <w:t>2</w:t>
            </w:r>
            <w:r>
              <w:rPr>
                <w:color w:val="auto"/>
                <w:sz w:val="24"/>
                <w:highlight w:val="none"/>
              </w:rPr>
              <w:t>%，</w:t>
            </w:r>
            <w:r>
              <w:rPr>
                <w:rFonts w:hint="eastAsia"/>
                <w:color w:val="auto"/>
                <w:sz w:val="24"/>
                <w:highlight w:val="none"/>
              </w:rPr>
              <w:t>即补充用水量为</w:t>
            </w:r>
            <w:r>
              <w:rPr>
                <w:rFonts w:hint="eastAsia"/>
                <w:color w:val="auto"/>
                <w:sz w:val="24"/>
                <w:highlight w:val="none"/>
                <w:lang w:val="en-US" w:eastAsia="zh-CN"/>
              </w:rPr>
              <w:t>0.04t</w:t>
            </w:r>
            <w:r>
              <w:rPr>
                <w:rFonts w:hint="eastAsia"/>
                <w:color w:val="auto"/>
                <w:sz w:val="24"/>
                <w:highlight w:val="none"/>
              </w:rPr>
              <w:t>/</w:t>
            </w:r>
            <w:r>
              <w:rPr>
                <w:rFonts w:hint="eastAsia"/>
                <w:color w:val="auto"/>
                <w:sz w:val="24"/>
                <w:highlight w:val="none"/>
                <w:lang w:val="en-US" w:eastAsia="zh-CN"/>
              </w:rPr>
              <w:t>h</w:t>
            </w:r>
            <w:r>
              <w:rPr>
                <w:rFonts w:hint="eastAsia"/>
                <w:color w:val="auto"/>
                <w:sz w:val="24"/>
                <w:highlight w:val="none"/>
              </w:rPr>
              <w:t>（</w:t>
            </w:r>
            <w:r>
              <w:rPr>
                <w:rFonts w:hint="eastAsia"/>
                <w:color w:val="auto"/>
                <w:sz w:val="24"/>
                <w:highlight w:val="none"/>
                <w:lang w:val="en-US" w:eastAsia="zh-CN"/>
              </w:rPr>
              <w:t>96t</w:t>
            </w:r>
            <w:r>
              <w:rPr>
                <w:rFonts w:hint="eastAsia"/>
                <w:color w:val="auto"/>
                <w:sz w:val="24"/>
                <w:highlight w:val="none"/>
              </w:rPr>
              <w:t>/a）</w:t>
            </w:r>
            <w:r>
              <w:rPr>
                <w:rFonts w:hint="eastAsia"/>
                <w:color w:val="auto"/>
                <w:sz w:val="24"/>
                <w:highlight w:val="none"/>
                <w:lang w:eastAsia="zh-CN"/>
              </w:rPr>
              <w:t>。</w:t>
            </w:r>
          </w:p>
          <w:p>
            <w:pPr>
              <w:widowControl/>
              <w:adjustRightInd w:val="0"/>
              <w:snapToGrid w:val="0"/>
              <w:spacing w:line="336" w:lineRule="auto"/>
              <w:ind w:firstLine="480" w:firstLineChars="200"/>
              <w:rPr>
                <w:color w:val="auto"/>
                <w:sz w:val="24"/>
                <w:highlight w:val="none"/>
              </w:rPr>
            </w:pPr>
            <w:r>
              <w:rPr>
                <w:rFonts w:hint="eastAsia"/>
                <w:color w:val="auto"/>
                <w:sz w:val="24"/>
                <w:highlight w:val="none"/>
              </w:rPr>
              <w:t>生活用水：</w:t>
            </w:r>
            <w:r>
              <w:rPr>
                <w:color w:val="auto"/>
                <w:sz w:val="24"/>
                <w:highlight w:val="none"/>
              </w:rPr>
              <w:t>项目设有员工及管理人员总数为</w:t>
            </w:r>
            <w:r>
              <w:rPr>
                <w:rFonts w:hint="eastAsia"/>
                <w:color w:val="auto"/>
                <w:sz w:val="24"/>
                <w:highlight w:val="none"/>
              </w:rPr>
              <w:t>10</w:t>
            </w:r>
            <w:r>
              <w:rPr>
                <w:color w:val="auto"/>
                <w:sz w:val="24"/>
                <w:highlight w:val="none"/>
              </w:rPr>
              <w:t>人，</w:t>
            </w:r>
            <w:r>
              <w:rPr>
                <w:rFonts w:hint="eastAsia"/>
                <w:color w:val="auto"/>
                <w:sz w:val="24"/>
                <w:highlight w:val="none"/>
              </w:rPr>
              <w:t>均不在项目内食宿</w:t>
            </w:r>
            <w:r>
              <w:rPr>
                <w:rFonts w:hint="eastAsia"/>
                <w:bCs/>
                <w:color w:val="auto"/>
                <w:sz w:val="24"/>
                <w:highlight w:val="none"/>
              </w:rPr>
              <w:t>，</w:t>
            </w:r>
            <w:r>
              <w:rPr>
                <w:color w:val="auto"/>
                <w:sz w:val="24"/>
                <w:highlight w:val="none"/>
              </w:rPr>
              <w:t>根据《广东省用水定额》（DB44/1461-2014），</w:t>
            </w:r>
            <w:r>
              <w:rPr>
                <w:rFonts w:hint="eastAsia"/>
                <w:color w:val="auto"/>
                <w:sz w:val="24"/>
                <w:highlight w:val="none"/>
              </w:rPr>
              <w:t>则项目一天用水量=0.04t</w:t>
            </w:r>
            <w:r>
              <w:rPr>
                <w:color w:val="auto"/>
                <w:sz w:val="24"/>
                <w:highlight w:val="none"/>
              </w:rPr>
              <w:t>/d</w:t>
            </w:r>
            <w:r>
              <w:rPr>
                <w:rFonts w:hint="eastAsia"/>
                <w:color w:val="auto"/>
                <w:sz w:val="24"/>
                <w:highlight w:val="none"/>
              </w:rPr>
              <w:t>×10=0.4t</w:t>
            </w:r>
            <w:r>
              <w:rPr>
                <w:color w:val="auto"/>
                <w:sz w:val="24"/>
                <w:highlight w:val="none"/>
              </w:rPr>
              <w:t>/d</w:t>
            </w:r>
            <w:r>
              <w:rPr>
                <w:rFonts w:hint="eastAsia"/>
                <w:color w:val="auto"/>
                <w:sz w:val="24"/>
                <w:highlight w:val="none"/>
              </w:rPr>
              <w:t>，</w:t>
            </w:r>
            <w:r>
              <w:rPr>
                <w:color w:val="auto"/>
                <w:sz w:val="24"/>
                <w:highlight w:val="none"/>
              </w:rPr>
              <w:t>一年</w:t>
            </w:r>
            <w:r>
              <w:rPr>
                <w:rFonts w:hint="eastAsia"/>
                <w:color w:val="auto"/>
                <w:sz w:val="24"/>
                <w:highlight w:val="none"/>
              </w:rPr>
              <w:t>300</w:t>
            </w:r>
            <w:r>
              <w:rPr>
                <w:color w:val="auto"/>
                <w:sz w:val="24"/>
                <w:highlight w:val="none"/>
              </w:rPr>
              <w:t>天计算，生活用水</w:t>
            </w:r>
            <w:r>
              <w:rPr>
                <w:rFonts w:hint="eastAsia"/>
                <w:color w:val="auto"/>
                <w:sz w:val="24"/>
                <w:highlight w:val="none"/>
              </w:rPr>
              <w:t>量</w:t>
            </w:r>
            <w:r>
              <w:rPr>
                <w:color w:val="auto"/>
                <w:sz w:val="24"/>
                <w:highlight w:val="none"/>
              </w:rPr>
              <w:t>为</w:t>
            </w:r>
            <w:r>
              <w:rPr>
                <w:rFonts w:hint="eastAsia"/>
                <w:color w:val="auto"/>
                <w:sz w:val="24"/>
                <w:highlight w:val="none"/>
              </w:rPr>
              <w:t>120</w:t>
            </w:r>
            <w:r>
              <w:rPr>
                <w:color w:val="auto"/>
                <w:sz w:val="24"/>
                <w:highlight w:val="none"/>
              </w:rPr>
              <w:t>t/a。</w:t>
            </w:r>
          </w:p>
          <w:p>
            <w:pPr>
              <w:widowControl/>
              <w:adjustRightInd w:val="0"/>
              <w:snapToGrid w:val="0"/>
              <w:spacing w:line="336" w:lineRule="auto"/>
              <w:ind w:firstLine="480" w:firstLineChars="200"/>
              <w:rPr>
                <w:color w:val="auto"/>
                <w:sz w:val="24"/>
                <w:highlight w:val="none"/>
              </w:rPr>
            </w:pPr>
            <w:r>
              <w:rPr>
                <w:rFonts w:hint="eastAsia"/>
                <w:color w:val="auto"/>
                <w:sz w:val="24"/>
                <w:highlight w:val="none"/>
              </w:rPr>
              <w:t>（2）排水系统</w:t>
            </w:r>
          </w:p>
          <w:p>
            <w:pPr>
              <w:widowControl/>
              <w:adjustRightInd w:val="0"/>
              <w:snapToGrid w:val="0"/>
              <w:spacing w:line="336" w:lineRule="auto"/>
              <w:ind w:firstLine="480" w:firstLineChars="200"/>
              <w:rPr>
                <w:color w:val="auto"/>
                <w:sz w:val="24"/>
                <w:highlight w:val="none"/>
              </w:rPr>
            </w:pPr>
            <w:r>
              <w:rPr>
                <w:rFonts w:hint="eastAsia"/>
                <w:color w:val="auto"/>
                <w:sz w:val="24"/>
                <w:highlight w:val="none"/>
              </w:rPr>
              <w:t>项目注塑冷却用水循环使用，定期补充，不外排，无生产废水产生和排放。废水主要为生活污水，</w:t>
            </w:r>
            <w:r>
              <w:rPr>
                <w:color w:val="auto"/>
                <w:sz w:val="24"/>
                <w:highlight w:val="none"/>
              </w:rPr>
              <w:t>排污系数按0.9计算，则生活污水排放量约为</w:t>
            </w:r>
            <w:r>
              <w:rPr>
                <w:rFonts w:hint="eastAsia"/>
                <w:color w:val="auto"/>
                <w:sz w:val="24"/>
                <w:highlight w:val="none"/>
              </w:rPr>
              <w:t>108t</w:t>
            </w:r>
            <w:r>
              <w:rPr>
                <w:color w:val="auto"/>
                <w:sz w:val="24"/>
                <w:highlight w:val="none"/>
              </w:rPr>
              <w:t>/a，</w:t>
            </w:r>
            <w:r>
              <w:rPr>
                <w:rFonts w:hint="eastAsia"/>
                <w:bCs/>
                <w:color w:val="auto"/>
                <w:sz w:val="24"/>
                <w:highlight w:val="none"/>
              </w:rPr>
              <w:t>生活污水经三级化粪池预处理后，达到广东省地方标准《水污染物排放限值》（DB44/26-2001）第二时段三级标准</w:t>
            </w:r>
            <w:r>
              <w:rPr>
                <w:rFonts w:hint="eastAsia"/>
                <w:color w:val="auto"/>
                <w:sz w:val="24"/>
                <w:highlight w:val="none"/>
              </w:rPr>
              <w:t>和</w:t>
            </w:r>
            <w:r>
              <w:rPr>
                <w:rFonts w:hint="eastAsia"/>
                <w:color w:val="auto"/>
                <w:sz w:val="24"/>
                <w:highlight w:val="none"/>
                <w:lang w:eastAsia="zh-CN"/>
              </w:rPr>
              <w:t>《污水排入城镇下水道水质标准》(GB/T31962-2015 )B级标准</w:t>
            </w:r>
            <w:r>
              <w:rPr>
                <w:rFonts w:hint="eastAsia"/>
                <w:color w:val="auto"/>
                <w:sz w:val="24"/>
                <w:highlight w:val="none"/>
              </w:rPr>
              <w:t>较严者</w:t>
            </w:r>
            <w:r>
              <w:rPr>
                <w:rFonts w:hint="eastAsia"/>
                <w:bCs/>
                <w:color w:val="auto"/>
                <w:sz w:val="24"/>
                <w:highlight w:val="none"/>
              </w:rPr>
              <w:t>排放至市政污水管网，</w:t>
            </w:r>
            <w:r>
              <w:rPr>
                <w:rFonts w:hint="eastAsia"/>
                <w:color w:val="auto"/>
                <w:sz w:val="24"/>
                <w:highlight w:val="none"/>
              </w:rPr>
              <w:t>然后</w:t>
            </w:r>
            <w:r>
              <w:rPr>
                <w:rFonts w:hint="eastAsia"/>
                <w:bCs/>
                <w:color w:val="auto"/>
                <w:sz w:val="24"/>
                <w:highlight w:val="none"/>
              </w:rPr>
              <w:t>引</w:t>
            </w:r>
            <w:r>
              <w:rPr>
                <w:rFonts w:hint="eastAsia"/>
                <w:color w:val="auto"/>
                <w:sz w:val="24"/>
                <w:highlight w:val="none"/>
              </w:rPr>
              <w:t>至开平市水口污水处理厂处</w:t>
            </w:r>
            <w:r>
              <w:rPr>
                <w:rFonts w:hint="eastAsia"/>
                <w:bCs/>
                <w:color w:val="auto"/>
                <w:sz w:val="24"/>
                <w:highlight w:val="none"/>
              </w:rPr>
              <w:t>理后达</w:t>
            </w:r>
            <w:r>
              <w:rPr>
                <w:rFonts w:hint="eastAsia"/>
                <w:color w:val="auto"/>
                <w:sz w:val="24"/>
                <w:highlight w:val="none"/>
              </w:rPr>
              <w:t>到《城镇污水处理厂污染物排放标准》（GB18918-2002）中一级A 标准及广东省地方标准《水污染物排放限值》（DB44/26-2001）第二时段一级标准的较严值</w:t>
            </w:r>
            <w:r>
              <w:rPr>
                <w:bCs/>
                <w:color w:val="auto"/>
                <w:sz w:val="24"/>
                <w:highlight w:val="none"/>
              </w:rPr>
              <w:t>后排放</w:t>
            </w:r>
            <w:r>
              <w:rPr>
                <w:rFonts w:hint="eastAsia"/>
                <w:color w:val="auto"/>
                <w:sz w:val="24"/>
                <w:highlight w:val="none"/>
              </w:rPr>
              <w:t>。</w:t>
            </w:r>
          </w:p>
          <w:p>
            <w:pPr>
              <w:widowControl/>
              <w:adjustRightInd w:val="0"/>
              <w:snapToGrid w:val="0"/>
              <w:spacing w:line="336" w:lineRule="auto"/>
              <w:ind w:firstLine="480" w:firstLineChars="200"/>
              <w:rPr>
                <w:color w:val="auto"/>
                <w:kern w:val="0"/>
                <w:sz w:val="24"/>
                <w:highlight w:val="none"/>
              </w:rPr>
            </w:pPr>
            <w:r>
              <w:rPr>
                <w:rFonts w:hint="eastAsia"/>
                <w:color w:val="auto"/>
                <w:kern w:val="0"/>
                <w:sz w:val="24"/>
                <w:highlight w:val="none"/>
              </w:rPr>
              <w:t>项目水平衡图如下图所示：</w:t>
            </w:r>
          </w:p>
          <w:p>
            <w:pPr>
              <w:pStyle w:val="47"/>
              <w:rPr>
                <w:color w:val="auto"/>
                <w:highlight w:val="none"/>
              </w:rPr>
            </w:pPr>
            <w:bookmarkStart w:id="38" w:name="_GoBack"/>
            <w:r>
              <w:rPr>
                <w:color w:val="auto"/>
                <w:highlight w:val="none"/>
              </w:rPr>
              <w:pict>
                <v:group id="_x0000_s1043" o:spid="_x0000_s1043" o:spt="203" style="height:139.35pt;width:461.95pt;" coordsize="58667,17697" editas="canvas">
                  <o:lock v:ext="edit" aspectratio="f"/>
                  <v:shape id="_x0000_s1045" o:spid="_x0000_s1045" o:spt="75" type="#_x0000_t75" style="position:absolute;left:0;top:0;height:17697;width:58667;" filled="f" stroked="f" coordsize="21600,21600">
                    <v:path/>
                    <v:fill on="f" focussize="0,0"/>
                    <v:stroke on="f" joinstyle="miter"/>
                    <v:imagedata o:title=""/>
                    <o:lock v:ext="edit" aspectratio="f"/>
                  </v:shape>
                  <v:shape id="_x0000_s1046" o:spid="_x0000_s1046" o:spt="202" type="#_x0000_t202" style="position:absolute;left:571;top:9226;height:3175;width:8153;" filled="f" stroked="f" coordsize="21600,21600">
                    <v:path/>
                    <v:fill on="f" focussize="0,0"/>
                    <v:stroke on="f"/>
                    <v:imagedata o:title=""/>
                    <o:lock v:ext="edit" aspectratio="f"/>
                    <v:textbox>
                      <w:txbxContent>
                        <w:p>
                          <w:pPr>
                            <w:rPr>
                              <w:rFonts w:eastAsia="等线"/>
                            </w:rPr>
                          </w:pPr>
                          <w:r>
                            <w:rPr>
                              <w:rFonts w:hint="eastAsia"/>
                            </w:rPr>
                            <w:t>市政供水</w:t>
                          </w:r>
                        </w:p>
                      </w:txbxContent>
                    </v:textbox>
                  </v:shape>
                  <v:shape id="_x0000_s1047" o:spid="_x0000_s1047" o:spt="202" type="#_x0000_t202" style="position:absolute;left:14370;top:3130;height:2794;width:7366;" filled="f" stroked="t" coordsize="21600,21600">
                    <v:path/>
                    <v:fill on="f" focussize="0,0"/>
                    <v:stroke color="#000000" joinstyle="miter"/>
                    <v:imagedata o:title=""/>
                    <o:lock v:ext="edit" aspectratio="f"/>
                    <v:textbox>
                      <w:txbxContent>
                        <w:p>
                          <w:pPr>
                            <w:jc w:val="center"/>
                            <w:rPr>
                              <w:rFonts w:ascii="宋体" w:hAnsi="宋体"/>
                            </w:rPr>
                          </w:pPr>
                          <w:r>
                            <w:rPr>
                              <w:rFonts w:hint="eastAsia" w:ascii="宋体" w:hAnsi="宋体"/>
                            </w:rPr>
                            <w:t>生活用水</w:t>
                          </w:r>
                        </w:p>
                      </w:txbxContent>
                    </v:textbox>
                  </v:shape>
                  <v:shape id="_x0000_s1048" o:spid="_x0000_s1048" o:spt="32" type="#_x0000_t32" style="position:absolute;left:21799;top:4845;height:6;width:3207;" filled="f" stroked="t" coordsize="21600,21600">
                    <v:path arrowok="t"/>
                    <v:fill on="f" focussize="0,0"/>
                    <v:stroke color="#000000" endarrow="block"/>
                    <v:imagedata o:title=""/>
                    <o:lock v:ext="edit" aspectratio="f"/>
                  </v:shape>
                  <v:shape id="_x0000_s1049" o:spid="_x0000_s1049" o:spt="202" type="#_x0000_t202" style="position:absolute;left:25038;top:2946;height:2927;width:8921;" filled="f" stroked="t" coordsize="21600,21600">
                    <v:path/>
                    <v:fill on="f" focussize="0,0"/>
                    <v:stroke color="#000000" joinstyle="miter"/>
                    <v:imagedata o:title=""/>
                    <o:lock v:ext="edit" aspectratio="f"/>
                    <v:textbox>
                      <w:txbxContent>
                        <w:p>
                          <w:pPr>
                            <w:jc w:val="center"/>
                            <w:rPr>
                              <w:rFonts w:ascii="宋体" w:hAnsi="宋体"/>
                            </w:rPr>
                          </w:pPr>
                          <w:r>
                            <w:rPr>
                              <w:rFonts w:hint="eastAsia" w:ascii="宋体" w:hAnsi="宋体"/>
                            </w:rPr>
                            <w:t>三级化粪池</w:t>
                          </w:r>
                        </w:p>
                      </w:txbxContent>
                    </v:textbox>
                  </v:shape>
                  <v:shape id="_x0000_s1050" o:spid="_x0000_s1050" o:spt="32" type="#_x0000_t32" style="position:absolute;left:34086;top:4654;height:0;width:3175;" filled="f" stroked="t" coordsize="21600,21600">
                    <v:path arrowok="t"/>
                    <v:fill on="f" focussize="0,0"/>
                    <v:stroke color="#000000" endarrow="block"/>
                    <v:imagedata o:title=""/>
                    <o:lock v:ext="edit" aspectratio="f"/>
                  </v:shape>
                  <v:shape id="_x0000_s1052" o:spid="_x0000_s1052" o:spt="202" type="#_x0000_t202" style="position:absolute;left:37128;top:2838;height:2908;width:15913;" filled="f" stroked="t" coordsize="21600,21600">
                    <v:path/>
                    <v:fill on="f" focussize="0,0"/>
                    <v:stroke color="#000000" joinstyle="miter"/>
                    <v:imagedata o:title=""/>
                    <o:lock v:ext="edit" aspectratio="f"/>
                    <v:textbox>
                      <w:txbxContent>
                        <w:p>
                          <w:pPr>
                            <w:rPr>
                              <w:szCs w:val="21"/>
                            </w:rPr>
                          </w:pPr>
                          <w:r>
                            <w:rPr>
                              <w:rFonts w:hint="eastAsia"/>
                              <w:szCs w:val="21"/>
                            </w:rPr>
                            <w:t>开平市水口</w:t>
                          </w:r>
                          <w:r>
                            <w:rPr>
                              <w:szCs w:val="21"/>
                            </w:rPr>
                            <w:t>污水处理厂</w:t>
                          </w:r>
                        </w:p>
                      </w:txbxContent>
                    </v:textbox>
                  </v:shape>
                  <v:group id="组合 237" o:spid="_x0000_s1053" o:spt="203" style="position:absolute;left:17513;top:1511;height:1524;width:1778;" coordorigin="2851,3304" coordsize="630,624">
                    <o:lock v:ext="edit" aspectratio="f"/>
                    <v:line id="直线 238" o:spid="_x0000_s1056" o:spt="20" style="position:absolute;left:2851;top:3616;flip:y;height:312;width:210;" filled="f" stroked="t" coordsize="21600,21600">
                      <v:path arrowok="t"/>
                      <v:fill on="f" focussize="0,0"/>
                      <v:stroke color="#000000" endarrowwidth="narrow"/>
                      <v:imagedata o:title=""/>
                      <o:lock v:ext="edit" aspectratio="f"/>
                    </v:line>
                    <v:line id="直线 239" o:spid="_x0000_s1065" o:spt="20" style="position:absolute;left:3061;top:3616;height:156;width:105;" filled="f" stroked="t" coordsize="21600,21600">
                      <v:path arrowok="t"/>
                      <v:fill on="f" focussize="0,0"/>
                      <v:stroke color="#000000" endarrowwidth="narrow"/>
                      <v:imagedata o:title=""/>
                      <o:lock v:ext="edit" aspectratio="f"/>
                    </v:line>
                    <v:line id="直线 240" o:spid="_x0000_s1066" o:spt="20" style="position:absolute;left:3166;top:3304;flip:y;height:468;width:315;" filled="f" stroked="t" coordsize="21600,21600">
                      <v:path arrowok="t"/>
                      <v:fill on="f" focussize="0,0"/>
                      <v:stroke color="#000000" endarrow="block" endarrowwidth="narrow"/>
                      <v:imagedata o:title=""/>
                      <o:lock v:ext="edit" aspectratio="f"/>
                    </v:line>
                  </v:group>
                  <v:shape id="_x0000_s1067" o:spid="_x0000_s1067" o:spt="202" type="#_x0000_t202" style="position:absolute;left:18561;top:177;height:3175;width:5969;" filled="f" stroked="f" coordsize="21600,21600">
                    <v:path/>
                    <v:fill on="f" focussize="0,0"/>
                    <v:stroke on="f"/>
                    <v:imagedata o:title=""/>
                    <o:lock v:ext="edit" aspectratio="f"/>
                    <v:textbox>
                      <w:txbxContent>
                        <w:p>
                          <w:pPr>
                            <w:rPr>
                              <w:rFonts w:eastAsia="等线"/>
                            </w:rPr>
                          </w:pPr>
                          <w:r>
                            <w:rPr>
                              <w:rFonts w:hint="eastAsia"/>
                            </w:rPr>
                            <w:t>12</w:t>
                          </w:r>
                        </w:p>
                      </w:txbxContent>
                    </v:textbox>
                  </v:shape>
                  <v:shape id="_x0000_s1068" o:spid="_x0000_s1068" o:spt="202" type="#_x0000_t202" style="position:absolute;left:21228;top:2082;height:3175;width:4826;" filled="f" stroked="f" coordsize="21600,21600">
                    <v:path/>
                    <v:fill on="f" focussize="0,0"/>
                    <v:stroke on="f"/>
                    <v:imagedata o:title=""/>
                    <o:lock v:ext="edit" aspectratio="f"/>
                    <v:textbox>
                      <w:txbxContent>
                        <w:p>
                          <w:pPr>
                            <w:rPr>
                              <w:rFonts w:eastAsia="等线"/>
                            </w:rPr>
                          </w:pPr>
                          <w:r>
                            <w:rPr>
                              <w:rFonts w:hint="eastAsia" w:eastAsia="等线"/>
                            </w:rPr>
                            <w:t>108</w:t>
                          </w:r>
                        </w:p>
                      </w:txbxContent>
                    </v:textbox>
                  </v:shape>
                  <v:shape id="_x0000_s1069" o:spid="_x0000_s1069" o:spt="202" type="#_x0000_t202" style="position:absolute;left:33324;top:2273;height:3175;width:5969;" filled="f" stroked="f" coordsize="21600,21600">
                    <v:path/>
                    <v:fill on="f" focussize="0,0"/>
                    <v:stroke on="f"/>
                    <v:imagedata o:title=""/>
                    <o:lock v:ext="edit" aspectratio="f"/>
                    <v:textbox>
                      <w:txbxContent>
                        <w:p>
                          <w:pPr>
                            <w:rPr>
                              <w:rFonts w:eastAsia="等线"/>
                            </w:rPr>
                          </w:pPr>
                          <w:r>
                            <w:rPr>
                              <w:rFonts w:hint="eastAsia" w:eastAsia="等线"/>
                            </w:rPr>
                            <w:t>108</w:t>
                          </w:r>
                        </w:p>
                      </w:txbxContent>
                    </v:textbox>
                  </v:shape>
                  <v:shape id="_x0000_s1070" o:spid="_x0000_s1070" o:spt="202" type="#_x0000_t202" style="position:absolute;left:10560;top:1987;height:3175;width:5969;" filled="f" stroked="f" coordsize="21600,21600">
                    <v:path/>
                    <v:fill on="f" focussize="0,0"/>
                    <v:stroke on="f"/>
                    <v:imagedata o:title=""/>
                    <o:lock v:ext="edit" aspectratio="f"/>
                    <v:textbox>
                      <w:txbxContent>
                        <w:p>
                          <w:pPr>
                            <w:rPr>
                              <w:rFonts w:eastAsia="等线"/>
                            </w:rPr>
                          </w:pPr>
                          <w:r>
                            <w:rPr>
                              <w:rFonts w:hint="eastAsia" w:eastAsia="等线"/>
                            </w:rPr>
                            <w:t>120</w:t>
                          </w:r>
                        </w:p>
                      </w:txbxContent>
                    </v:textbox>
                  </v:shape>
                  <v:shape id="_x0000_s1071" o:spid="_x0000_s1071" o:spt="202" type="#_x0000_t202" style="position:absolute;left:17322;top:14725;height:3175;width:19742;" filled="f" stroked="f" coordsize="21600,21600">
                    <v:path/>
                    <v:fill on="f" focussize="0,0"/>
                    <v:stroke on="f"/>
                    <v:imagedata o:title=""/>
                    <o:lock v:ext="edit" aspectratio="f"/>
                    <v:textbox>
                      <w:txbxContent>
                        <w:p>
                          <w:pPr>
                            <w:rPr>
                              <w:rFonts w:eastAsia="等线"/>
                            </w:rPr>
                          </w:pPr>
                          <w:r>
                            <w:rPr>
                              <w:rFonts w:hint="eastAsia"/>
                              <w:b/>
                              <w:bCs/>
                            </w:rPr>
                            <w:t>项目水平衡图（单位：t/a）</w:t>
                          </w:r>
                        </w:p>
                      </w:txbxContent>
                    </v:textbox>
                  </v:shape>
                  <v:line id="直线 245" o:spid="_x0000_s1073" o:spt="20" style="position:absolute;left:7321;top:10560;flip:y;height:0;width:3810;" filled="f" stroked="t" coordsize="21600,21600">
                    <v:path arrowok="t"/>
                    <v:fill on="f" focussize="0,0"/>
                    <v:stroke color="#000000" endarrow="block"/>
                    <v:imagedata o:title=""/>
                    <o:lock v:ext="edit" aspectratio="f"/>
                  </v:line>
                  <v:shape id="_x0000_s1074" o:spid="_x0000_s1074" style="position:absolute;left:11226;top:4413;height:8388;width:3334;" filled="f" stroked="t" coordsize="525,1380" path="m495,0l0,0,0,1380,525,1380e">
                    <v:path arrowok="t"/>
                    <v:fill on="f" focussize="0,0"/>
                    <v:stroke color="#000000" startarrow="block" endarrow="block"/>
                    <v:imagedata o:title=""/>
                    <o:lock v:ext="edit" aspectratio="f"/>
                  </v:shape>
                  <v:shape id="_x0000_s1075" o:spid="_x0000_s1075" o:spt="202" type="#_x0000_t202" style="position:absolute;left:6654;top:8178;height:3175;width:7487;" filled="f" stroked="f" coordsize="21600,21600">
                    <v:path/>
                    <v:fill on="f" focussize="0,0"/>
                    <v:stroke on="f"/>
                    <v:imagedata o:title=""/>
                    <o:lock v:ext="edit" aspectratio="f"/>
                    <v:textbox>
                      <w:txbxContent>
                        <w:p>
                          <w:pPr>
                            <w:rPr>
                              <w:rFonts w:hint="default" w:eastAsia="等线"/>
                              <w:lang w:val="en-US" w:eastAsia="zh-CN"/>
                            </w:rPr>
                          </w:pPr>
                          <w:r>
                            <w:rPr>
                              <w:rFonts w:hint="eastAsia" w:eastAsia="等线"/>
                              <w:lang w:val="en-US" w:eastAsia="zh-CN"/>
                            </w:rPr>
                            <w:t>216</w:t>
                          </w:r>
                        </w:p>
                      </w:txbxContent>
                    </v:textbox>
                  </v:shape>
                  <v:shape id="_x0000_s1078" o:spid="_x0000_s1078" o:spt="202" type="#_x0000_t202" style="position:absolute;left:14465;top:11322;height:2794;width:11430;" filled="f" stroked="t" coordsize="21600,21600">
                    <v:path/>
                    <v:fill on="f" focussize="0,0"/>
                    <v:stroke color="#000000" joinstyle="miter"/>
                    <v:imagedata o:title=""/>
                    <o:lock v:ext="edit" aspectratio="f"/>
                    <v:textbox>
                      <w:txbxContent>
                        <w:p>
                          <w:pPr>
                            <w:jc w:val="center"/>
                            <w:rPr>
                              <w:rFonts w:ascii="宋体" w:hAnsi="宋体"/>
                            </w:rPr>
                          </w:pPr>
                          <w:r>
                            <w:rPr>
                              <w:rFonts w:hint="eastAsia" w:ascii="宋体" w:hAnsi="宋体"/>
                            </w:rPr>
                            <w:t>注塑冷却用水</w:t>
                          </w:r>
                        </w:p>
                      </w:txbxContent>
                    </v:textbox>
                  </v:shape>
                  <v:shape id="_x0000_s1079" o:spid="_x0000_s1079" o:spt="202" type="#_x0000_t202" style="position:absolute;left:25800;top:10369;height:3175;width:4165;" filled="f" stroked="f" coordsize="21600,21600">
                    <v:path/>
                    <v:fill on="f" focussize="0,0"/>
                    <v:stroke on="f"/>
                    <v:imagedata o:title=""/>
                    <o:lock v:ext="edit" aspectratio="f"/>
                    <v:textbox>
                      <w:txbxContent>
                        <w:p>
                          <w:pPr>
                            <w:rPr>
                              <w:rFonts w:hint="default" w:eastAsia="等线"/>
                              <w:lang w:val="en-US" w:eastAsia="zh-CN"/>
                            </w:rPr>
                          </w:pPr>
                          <w:r>
                            <w:rPr>
                              <w:rFonts w:hint="eastAsia" w:eastAsia="等线"/>
                              <w:lang w:val="en-US" w:eastAsia="zh-CN"/>
                            </w:rPr>
                            <w:t>96</w:t>
                          </w:r>
                        </w:p>
                      </w:txbxContent>
                    </v:textbox>
                  </v:shape>
                  <v:shape id="_x0000_s1080" o:spid="_x0000_s1080" o:spt="202" type="#_x0000_t202" style="position:absolute;left:29419;top:11322;height:2800;width:7499;" filled="f" stroked="t" coordsize="21600,21600">
                    <v:path/>
                    <v:fill on="f" focussize="0,0"/>
                    <v:stroke color="#000000" joinstyle="miter"/>
                    <v:imagedata o:title=""/>
                    <o:lock v:ext="edit" aspectratio="f"/>
                    <v:textbox>
                      <w:txbxContent>
                        <w:p>
                          <w:pPr>
                            <w:rPr>
                              <w:rFonts w:asciiTheme="majorEastAsia" w:hAnsiTheme="majorEastAsia" w:eastAsiaTheme="majorEastAsia" w:cstheme="majorEastAsia"/>
                            </w:rPr>
                          </w:pPr>
                          <w:r>
                            <w:rPr>
                              <w:rFonts w:hint="eastAsia" w:asciiTheme="majorEastAsia" w:hAnsiTheme="majorEastAsia" w:eastAsiaTheme="majorEastAsia" w:cstheme="majorEastAsia"/>
                            </w:rPr>
                            <w:t>挥发损失</w:t>
                          </w:r>
                        </w:p>
                      </w:txbxContent>
                    </v:textbox>
                  </v:shape>
                  <v:shape id="_x0000_s1081" o:spid="_x0000_s1081" o:spt="202" type="#_x0000_t202" style="position:absolute;left:10941;top:10369;height:3175;width:5969;" filled="f" stroked="f" coordsize="21600,21600">
                    <v:path/>
                    <v:fill on="f" focussize="0,0"/>
                    <v:stroke on="f"/>
                    <v:imagedata o:title=""/>
                    <o:lock v:ext="edit" aspectratio="f"/>
                    <v:textbox>
                      <w:txbxContent>
                        <w:p>
                          <w:pPr>
                            <w:rPr>
                              <w:rFonts w:hint="default" w:eastAsia="等线"/>
                              <w:lang w:val="en-US" w:eastAsia="zh-CN"/>
                            </w:rPr>
                          </w:pPr>
                          <w:r>
                            <w:rPr>
                              <w:rFonts w:hint="eastAsia" w:eastAsia="等线"/>
                              <w:lang w:val="en-US" w:eastAsia="zh-CN"/>
                            </w:rPr>
                            <w:t>96</w:t>
                          </w:r>
                        </w:p>
                      </w:txbxContent>
                    </v:textbox>
                  </v:shape>
                  <v:line id="直线 245" o:spid="_x0000_s1083" o:spt="20" style="position:absolute;left:26085;top:12750;flip:y;height:0;width:3175;" filled="f" stroked="t" coordsize="21600,21600">
                    <v:path arrowok="t"/>
                    <v:fill on="f" focussize="0,0"/>
                    <v:stroke color="#000000" endarrow="block"/>
                    <v:imagedata o:title=""/>
                    <o:lock v:ext="edit" aspectratio="f"/>
                  </v:line>
                  <w10:wrap type="none"/>
                  <w10:anchorlock/>
                </v:group>
              </w:pict>
            </w:r>
            <w:bookmarkEnd w:id="38"/>
          </w:p>
          <w:p>
            <w:pPr>
              <w:pStyle w:val="47"/>
              <w:rPr>
                <w:color w:val="auto"/>
                <w:highlight w:val="none"/>
              </w:rPr>
            </w:pPr>
          </w:p>
          <w:p>
            <w:pPr>
              <w:widowControl/>
              <w:adjustRightInd w:val="0"/>
              <w:snapToGrid w:val="0"/>
              <w:spacing w:line="360" w:lineRule="auto"/>
              <w:ind w:firstLine="480" w:firstLineChars="200"/>
              <w:rPr>
                <w:color w:val="auto"/>
                <w:kern w:val="0"/>
                <w:sz w:val="24"/>
                <w:highlight w:val="none"/>
              </w:rPr>
            </w:pPr>
            <w:r>
              <w:rPr>
                <w:color w:val="auto"/>
                <w:kern w:val="0"/>
                <w:sz w:val="24"/>
                <w:highlight w:val="none"/>
              </w:rPr>
              <w:t>（</w:t>
            </w:r>
            <w:r>
              <w:rPr>
                <w:rFonts w:hint="eastAsia"/>
                <w:color w:val="auto"/>
                <w:kern w:val="0"/>
                <w:sz w:val="24"/>
                <w:highlight w:val="none"/>
              </w:rPr>
              <w:t>3</w:t>
            </w:r>
            <w:r>
              <w:rPr>
                <w:color w:val="auto"/>
                <w:kern w:val="0"/>
                <w:sz w:val="24"/>
                <w:highlight w:val="none"/>
              </w:rPr>
              <w:t>）供电</w:t>
            </w:r>
          </w:p>
          <w:p>
            <w:pPr>
              <w:spacing w:line="360" w:lineRule="auto"/>
              <w:ind w:firstLine="480" w:firstLineChars="200"/>
              <w:rPr>
                <w:color w:val="auto"/>
                <w:kern w:val="0"/>
                <w:sz w:val="24"/>
                <w:highlight w:val="none"/>
              </w:rPr>
            </w:pPr>
            <w:r>
              <w:rPr>
                <w:color w:val="auto"/>
                <w:kern w:val="0"/>
                <w:sz w:val="24"/>
                <w:highlight w:val="none"/>
              </w:rPr>
              <w:t>项目用电由市政电网供给，</w:t>
            </w:r>
            <w:r>
              <w:rPr>
                <w:rFonts w:hint="eastAsia"/>
                <w:color w:val="auto"/>
                <w:kern w:val="0"/>
                <w:sz w:val="24"/>
                <w:highlight w:val="none"/>
              </w:rPr>
              <w:t>年</w:t>
            </w:r>
            <w:r>
              <w:rPr>
                <w:color w:val="auto"/>
                <w:kern w:val="0"/>
                <w:sz w:val="24"/>
                <w:highlight w:val="none"/>
              </w:rPr>
              <w:t>用电量约为</w:t>
            </w:r>
            <w:r>
              <w:rPr>
                <w:rFonts w:hint="eastAsia"/>
                <w:color w:val="auto"/>
                <w:kern w:val="0"/>
                <w:sz w:val="24"/>
                <w:highlight w:val="none"/>
              </w:rPr>
              <w:t>10</w:t>
            </w:r>
            <w:r>
              <w:rPr>
                <w:color w:val="auto"/>
                <w:kern w:val="0"/>
                <w:sz w:val="24"/>
                <w:highlight w:val="none"/>
              </w:rPr>
              <w:t>万</w:t>
            </w:r>
            <w:r>
              <w:rPr>
                <w:rFonts w:hint="eastAsia"/>
                <w:color w:val="auto"/>
                <w:kern w:val="0"/>
                <w:sz w:val="24"/>
                <w:highlight w:val="none"/>
              </w:rPr>
              <w:t>度</w:t>
            </w:r>
            <w:r>
              <w:rPr>
                <w:color w:val="auto"/>
                <w:kern w:val="0"/>
                <w:sz w:val="24"/>
                <w:highlight w:val="none"/>
              </w:rPr>
              <w:t>。本项目不设置备用发电机。</w:t>
            </w:r>
          </w:p>
          <w:p>
            <w:pPr>
              <w:spacing w:line="360" w:lineRule="auto"/>
              <w:ind w:firstLine="482" w:firstLineChars="200"/>
              <w:rPr>
                <w:b/>
                <w:color w:val="auto"/>
                <w:sz w:val="24"/>
                <w:highlight w:val="none"/>
              </w:rPr>
            </w:pPr>
            <w:r>
              <w:rPr>
                <w:rFonts w:hint="eastAsia"/>
                <w:b/>
                <w:color w:val="auto"/>
                <w:sz w:val="24"/>
                <w:highlight w:val="none"/>
              </w:rPr>
              <w:t>六</w:t>
            </w:r>
            <w:r>
              <w:rPr>
                <w:b/>
                <w:color w:val="auto"/>
                <w:sz w:val="24"/>
                <w:highlight w:val="none"/>
              </w:rPr>
              <w:t>、工作制度及劳动定员</w:t>
            </w:r>
            <w:r>
              <w:rPr>
                <w:rFonts w:hint="eastAsia"/>
                <w:b/>
                <w:color w:val="auto"/>
                <w:sz w:val="24"/>
                <w:highlight w:val="none"/>
              </w:rPr>
              <w:t>：</w:t>
            </w:r>
          </w:p>
          <w:p>
            <w:pPr>
              <w:pStyle w:val="146"/>
              <w:ind w:firstLine="480" w:firstLineChars="200"/>
              <w:rPr>
                <w:b w:val="0"/>
                <w:bCs w:val="0"/>
                <w:color w:val="auto"/>
                <w:highlight w:val="none"/>
              </w:rPr>
            </w:pPr>
            <w:r>
              <w:rPr>
                <w:b w:val="0"/>
                <w:bCs w:val="0"/>
                <w:color w:val="auto"/>
                <w:highlight w:val="none"/>
              </w:rPr>
              <w:t>全年工作</w:t>
            </w:r>
            <w:r>
              <w:rPr>
                <w:rFonts w:hint="eastAsia"/>
                <w:b w:val="0"/>
                <w:bCs w:val="0"/>
                <w:color w:val="auto"/>
                <w:highlight w:val="none"/>
              </w:rPr>
              <w:t>300</w:t>
            </w:r>
            <w:r>
              <w:rPr>
                <w:b w:val="0"/>
                <w:bCs w:val="0"/>
                <w:color w:val="auto"/>
                <w:highlight w:val="none"/>
              </w:rPr>
              <w:t>天，每天</w:t>
            </w:r>
            <w:r>
              <w:rPr>
                <w:rFonts w:hint="eastAsia"/>
                <w:b w:val="0"/>
                <w:bCs w:val="0"/>
                <w:color w:val="auto"/>
                <w:highlight w:val="none"/>
              </w:rPr>
              <w:t>一</w:t>
            </w:r>
            <w:r>
              <w:rPr>
                <w:b w:val="0"/>
                <w:bCs w:val="0"/>
                <w:color w:val="auto"/>
                <w:highlight w:val="none"/>
              </w:rPr>
              <w:t>班，每班8小时。员工人数</w:t>
            </w:r>
            <w:r>
              <w:rPr>
                <w:rFonts w:hint="eastAsia"/>
                <w:b w:val="0"/>
                <w:bCs w:val="0"/>
                <w:color w:val="auto"/>
                <w:highlight w:val="none"/>
              </w:rPr>
              <w:t>10</w:t>
            </w:r>
            <w:r>
              <w:rPr>
                <w:b w:val="0"/>
                <w:bCs w:val="0"/>
                <w:color w:val="auto"/>
                <w:highlight w:val="none"/>
              </w:rPr>
              <w:t>人，</w:t>
            </w:r>
            <w:r>
              <w:rPr>
                <w:rFonts w:hint="eastAsia"/>
                <w:b w:val="0"/>
                <w:bCs w:val="0"/>
                <w:color w:val="auto"/>
                <w:highlight w:val="none"/>
              </w:rPr>
              <w:t>均不在项目内食宿。</w:t>
            </w:r>
          </w:p>
          <w:p>
            <w:pPr>
              <w:pStyle w:val="146"/>
              <w:ind w:firstLine="482" w:firstLineChars="200"/>
              <w:rPr>
                <w:color w:val="auto"/>
                <w:highlight w:val="none"/>
              </w:rPr>
            </w:pPr>
            <w:r>
              <w:rPr>
                <w:rFonts w:hint="eastAsia"/>
                <w:color w:val="auto"/>
                <w:highlight w:val="none"/>
              </w:rPr>
              <w:t>七、产业政策和用地相符性：</w:t>
            </w:r>
          </w:p>
          <w:p>
            <w:pPr>
              <w:pStyle w:val="147"/>
              <w:ind w:firstLine="480"/>
              <w:rPr>
                <w:color w:val="auto"/>
                <w:highlight w:val="none"/>
              </w:rPr>
            </w:pPr>
            <w:r>
              <w:rPr>
                <w:rFonts w:hint="eastAsia"/>
                <w:color w:val="auto"/>
                <w:highlight w:val="none"/>
              </w:rPr>
              <w:t>1）产业政策相符性</w:t>
            </w:r>
          </w:p>
          <w:p>
            <w:pPr>
              <w:pStyle w:val="147"/>
              <w:ind w:firstLine="480"/>
              <w:rPr>
                <w:color w:val="auto"/>
                <w:highlight w:val="none"/>
              </w:rPr>
            </w:pPr>
            <w:r>
              <w:rPr>
                <w:rFonts w:hint="eastAsia"/>
                <w:color w:val="auto"/>
                <w:highlight w:val="none"/>
              </w:rPr>
              <w:t>项目主要从事卫浴塑料配件的加工生产：</w:t>
            </w:r>
          </w:p>
          <w:p>
            <w:pPr>
              <w:pStyle w:val="147"/>
              <w:ind w:firstLine="480"/>
              <w:rPr>
                <w:color w:val="auto"/>
                <w:highlight w:val="none"/>
              </w:rPr>
            </w:pPr>
            <w:r>
              <w:rPr>
                <w:rFonts w:hint="eastAsia"/>
                <w:color w:val="auto"/>
                <w:highlight w:val="none"/>
              </w:rPr>
              <w:t>（1）根据</w:t>
            </w:r>
            <w:r>
              <w:rPr>
                <w:rFonts w:hint="eastAsia"/>
                <w:color w:val="auto"/>
                <w:highlight w:val="none"/>
                <w:lang w:eastAsia="zh-CN"/>
              </w:rPr>
              <w:t>《产业结构调整指导目录（2019年本）》中华人民共和国国家发展和改革委员会令第29号</w:t>
            </w:r>
            <w:r>
              <w:rPr>
                <w:rFonts w:hint="eastAsia"/>
                <w:color w:val="auto"/>
                <w:highlight w:val="none"/>
              </w:rPr>
              <w:t>，项目不属于限制和淘汰类。</w:t>
            </w:r>
          </w:p>
          <w:p>
            <w:pPr>
              <w:pStyle w:val="147"/>
              <w:ind w:firstLine="480"/>
              <w:rPr>
                <w:bCs/>
                <w:color w:val="auto"/>
                <w:highlight w:val="none"/>
              </w:rPr>
            </w:pPr>
            <w:r>
              <w:rPr>
                <w:rFonts w:hint="eastAsia"/>
                <w:color w:val="auto"/>
                <w:highlight w:val="none"/>
              </w:rPr>
              <w:t>（</w:t>
            </w:r>
            <w:r>
              <w:rPr>
                <w:rFonts w:hint="eastAsia"/>
                <w:color w:val="auto"/>
                <w:highlight w:val="none"/>
                <w:lang w:val="en-US" w:eastAsia="zh-CN"/>
              </w:rPr>
              <w:t>2</w:t>
            </w:r>
            <w:r>
              <w:rPr>
                <w:rFonts w:hint="eastAsia"/>
                <w:color w:val="auto"/>
                <w:highlight w:val="none"/>
              </w:rPr>
              <w:t>）项目</w:t>
            </w:r>
            <w:r>
              <w:rPr>
                <w:bCs/>
                <w:color w:val="auto"/>
                <w:highlight w:val="none"/>
              </w:rPr>
              <w:t>不在</w:t>
            </w:r>
            <w:r>
              <w:rPr>
                <w:rFonts w:hint="eastAsia" w:cs="Times New Roman"/>
                <w:bCs/>
                <w:color w:val="auto"/>
                <w:sz w:val="24"/>
                <w:highlight w:val="none"/>
                <w:shd w:val="clear" w:color="auto" w:fill="auto"/>
                <w:lang w:val="en-US" w:eastAsia="zh-CN"/>
              </w:rPr>
              <w:t>《市场准入负面清单（2019年版）》发改体改[2019]1685号</w:t>
            </w:r>
            <w:r>
              <w:rPr>
                <w:rFonts w:hint="default" w:ascii="Times New Roman" w:hAnsi="Times New Roman" w:cs="Times New Roman"/>
                <w:bCs/>
                <w:color w:val="auto"/>
                <w:sz w:val="24"/>
                <w:highlight w:val="none"/>
                <w:shd w:val="clear" w:color="auto" w:fill="auto"/>
                <w:lang w:val="en-US" w:eastAsia="zh-CN"/>
              </w:rPr>
              <w:t>类目</w:t>
            </w:r>
            <w:r>
              <w:rPr>
                <w:rFonts w:hint="eastAsia"/>
                <w:bCs/>
                <w:color w:val="auto"/>
                <w:highlight w:val="none"/>
              </w:rPr>
              <w:t>。</w:t>
            </w:r>
          </w:p>
          <w:p>
            <w:pPr>
              <w:spacing w:line="360" w:lineRule="auto"/>
              <w:ind w:firstLine="480" w:firstLineChars="200"/>
              <w:jc w:val="left"/>
              <w:rPr>
                <w:rFonts w:hint="eastAsia"/>
                <w:b w:val="0"/>
                <w:bCs w:val="0"/>
                <w:color w:val="auto"/>
                <w:sz w:val="24"/>
                <w:szCs w:val="24"/>
                <w:highlight w:val="none"/>
              </w:rPr>
            </w:pPr>
            <w:r>
              <w:rPr>
                <w:rFonts w:hint="eastAsia"/>
                <w:b w:val="0"/>
                <w:bCs w:val="0"/>
                <w:color w:val="auto"/>
                <w:sz w:val="24"/>
                <w:szCs w:val="24"/>
                <w:highlight w:val="none"/>
                <w:lang w:eastAsia="zh-CN"/>
              </w:rPr>
              <w:t>（</w:t>
            </w:r>
            <w:r>
              <w:rPr>
                <w:rFonts w:hint="eastAsia"/>
                <w:b w:val="0"/>
                <w:bCs w:val="0"/>
                <w:color w:val="auto"/>
                <w:sz w:val="24"/>
                <w:szCs w:val="24"/>
                <w:highlight w:val="none"/>
                <w:lang w:val="en-US" w:eastAsia="zh-CN"/>
              </w:rPr>
              <w:t>3</w:t>
            </w:r>
            <w:r>
              <w:rPr>
                <w:rFonts w:hint="eastAsia"/>
                <w:b w:val="0"/>
                <w:bCs w:val="0"/>
                <w:color w:val="auto"/>
                <w:sz w:val="24"/>
                <w:szCs w:val="24"/>
                <w:highlight w:val="none"/>
                <w:lang w:eastAsia="zh-CN"/>
              </w:rPr>
              <w:t>）</w:t>
            </w:r>
            <w:r>
              <w:rPr>
                <w:rFonts w:hint="eastAsia"/>
                <w:b w:val="0"/>
                <w:bCs w:val="0"/>
                <w:color w:val="auto"/>
                <w:sz w:val="24"/>
                <w:szCs w:val="24"/>
                <w:highlight w:val="none"/>
              </w:rPr>
              <w:t>与《广东省挥发性有机物（VOCs）整治与减排工作方案（2018-2020年）》（粤环发〔2018〕6 号）、《江门市挥发性有机物（VOCs）整治与减排工作方案（2018~2020</w:t>
            </w:r>
          </w:p>
          <w:p>
            <w:pPr>
              <w:spacing w:line="360" w:lineRule="auto"/>
              <w:jc w:val="left"/>
              <w:rPr>
                <w:rFonts w:hint="eastAsia"/>
                <w:b w:val="0"/>
                <w:bCs w:val="0"/>
                <w:color w:val="auto"/>
                <w:sz w:val="24"/>
                <w:szCs w:val="24"/>
                <w:highlight w:val="none"/>
                <w:lang w:eastAsia="zh-CN"/>
              </w:rPr>
            </w:pPr>
            <w:r>
              <w:rPr>
                <w:rFonts w:hint="eastAsia"/>
                <w:b w:val="0"/>
                <w:bCs w:val="0"/>
                <w:color w:val="auto"/>
                <w:sz w:val="24"/>
                <w:szCs w:val="24"/>
                <w:highlight w:val="none"/>
              </w:rPr>
              <w:t>年）》、《十三五挥发性有机物污染防治工作方案》相符</w:t>
            </w:r>
            <w:r>
              <w:rPr>
                <w:rFonts w:hint="eastAsia"/>
                <w:b w:val="0"/>
                <w:bCs w:val="0"/>
                <w:color w:val="auto"/>
                <w:sz w:val="24"/>
                <w:szCs w:val="24"/>
                <w:highlight w:val="none"/>
                <w:lang w:eastAsia="zh-CN"/>
              </w:rPr>
              <w:t>性分析</w:t>
            </w:r>
          </w:p>
          <w:p>
            <w:pPr>
              <w:spacing w:line="360" w:lineRule="auto"/>
              <w:ind w:firstLine="480" w:firstLineChars="200"/>
              <w:jc w:val="left"/>
              <w:rPr>
                <w:rFonts w:hint="eastAsia"/>
                <w:b w:val="0"/>
                <w:bCs w:val="0"/>
                <w:color w:val="auto"/>
                <w:sz w:val="24"/>
                <w:szCs w:val="24"/>
                <w:highlight w:val="none"/>
              </w:rPr>
            </w:pPr>
            <w:r>
              <w:rPr>
                <w:rFonts w:hint="eastAsia"/>
                <w:b w:val="0"/>
                <w:bCs w:val="0"/>
                <w:color w:val="auto"/>
                <w:sz w:val="24"/>
                <w:szCs w:val="24"/>
                <w:highlight w:val="none"/>
              </w:rPr>
              <w:t>本项目主要是进行塑料制品生产，同时生产过程中产生的有机废气通过UV 光解+活性炭吸附治理设施治理，符合“全面推进医药、合成树脂、橡胶和塑料制品制造、涂料/油墨/颜料制造等化工行业VOCs减排，通过源头预防、过程控制、末端治理等综合措施，确保实现达标排放”的要求。</w:t>
            </w:r>
          </w:p>
          <w:p>
            <w:pPr>
              <w:pStyle w:val="138"/>
              <w:numPr>
                <w:ilvl w:val="0"/>
                <w:numId w:val="5"/>
              </w:numPr>
              <w:tabs>
                <w:tab w:val="left" w:pos="420"/>
              </w:tabs>
              <w:spacing w:line="360" w:lineRule="auto"/>
              <w:ind w:left="0" w:firstLine="471"/>
              <w:rPr>
                <w:rFonts w:hint="eastAsia" w:eastAsia="宋体" w:cs="Times New Roman"/>
                <w:b/>
                <w:color w:val="auto"/>
                <w:sz w:val="21"/>
                <w:szCs w:val="21"/>
                <w:highlight w:val="none"/>
              </w:rPr>
            </w:pPr>
            <w:r>
              <w:rPr>
                <w:rFonts w:hint="eastAsia" w:eastAsia="宋体" w:cs="Times New Roman"/>
                <w:b/>
                <w:color w:val="auto"/>
                <w:sz w:val="21"/>
                <w:szCs w:val="21"/>
                <w:highlight w:val="none"/>
              </w:rPr>
              <w:t>项目与《工作方案》的相符性分析表</w:t>
            </w:r>
          </w:p>
          <w:tbl>
            <w:tblPr>
              <w:tblStyle w:val="41"/>
              <w:tblW w:w="92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99"/>
              <w:gridCol w:w="3480"/>
              <w:gridCol w:w="1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99" w:type="dxa"/>
                  <w:vAlign w:val="center"/>
                </w:tcPr>
                <w:p>
                  <w:pPr>
                    <w:jc w:val="center"/>
                    <w:rPr>
                      <w:rFonts w:hint="eastAsia"/>
                      <w:b/>
                      <w:bCs/>
                      <w:color w:val="auto"/>
                      <w:highlight w:val="none"/>
                    </w:rPr>
                  </w:pPr>
                  <w:r>
                    <w:rPr>
                      <w:rFonts w:hint="eastAsia"/>
                      <w:b/>
                      <w:bCs/>
                      <w:color w:val="auto"/>
                      <w:highlight w:val="none"/>
                    </w:rPr>
                    <w:t>规范要求</w:t>
                  </w:r>
                </w:p>
              </w:tc>
              <w:tc>
                <w:tcPr>
                  <w:tcW w:w="3480" w:type="dxa"/>
                  <w:vAlign w:val="center"/>
                </w:tcPr>
                <w:p>
                  <w:pPr>
                    <w:jc w:val="center"/>
                    <w:rPr>
                      <w:rFonts w:hint="eastAsia"/>
                      <w:b/>
                      <w:bCs/>
                      <w:color w:val="auto"/>
                      <w:highlight w:val="none"/>
                      <w:lang w:eastAsia="zh-CN"/>
                    </w:rPr>
                  </w:pPr>
                  <w:r>
                    <w:rPr>
                      <w:rFonts w:hint="eastAsia"/>
                      <w:b/>
                      <w:bCs/>
                      <w:color w:val="auto"/>
                      <w:highlight w:val="none"/>
                    </w:rPr>
                    <w:t>本项目情</w:t>
                  </w:r>
                  <w:r>
                    <w:rPr>
                      <w:rFonts w:hint="eastAsia"/>
                      <w:b/>
                      <w:bCs/>
                      <w:color w:val="auto"/>
                      <w:highlight w:val="none"/>
                      <w:lang w:eastAsia="zh-CN"/>
                    </w:rPr>
                    <w:t>况</w:t>
                  </w:r>
                </w:p>
              </w:tc>
              <w:tc>
                <w:tcPr>
                  <w:tcW w:w="1470" w:type="dxa"/>
                  <w:vAlign w:val="center"/>
                </w:tcPr>
                <w:p>
                  <w:pPr>
                    <w:jc w:val="center"/>
                    <w:rPr>
                      <w:rFonts w:hint="eastAsia"/>
                      <w:b/>
                      <w:bCs/>
                      <w:color w:val="auto"/>
                      <w:highlight w:val="none"/>
                    </w:rPr>
                  </w:pPr>
                  <w:r>
                    <w:rPr>
                      <w:rFonts w:hint="eastAsia"/>
                      <w:b/>
                      <w:bCs/>
                      <w:color w:val="auto"/>
                      <w:highlight w:val="none"/>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6" w:hRule="atLeast"/>
                <w:jc w:val="center"/>
              </w:trPr>
              <w:tc>
                <w:tcPr>
                  <w:tcW w:w="4299" w:type="dxa"/>
                  <w:vAlign w:val="center"/>
                </w:tcPr>
                <w:p>
                  <w:pPr>
                    <w:jc w:val="center"/>
                    <w:rPr>
                      <w:rFonts w:hint="eastAsia"/>
                      <w:color w:val="auto"/>
                      <w:highlight w:val="none"/>
                    </w:rPr>
                  </w:pPr>
                  <w:r>
                    <w:rPr>
                      <w:rFonts w:hint="eastAsia"/>
                      <w:color w:val="auto"/>
                      <w:highlight w:val="none"/>
                    </w:rPr>
                    <w:t>严格控制新增污染物排放量。严格限制化工、包装印刷、工业涂装等高VOCs排放建设项目。</w:t>
                  </w:r>
                </w:p>
              </w:tc>
              <w:tc>
                <w:tcPr>
                  <w:tcW w:w="3480" w:type="dxa"/>
                  <w:vAlign w:val="center"/>
                </w:tcPr>
                <w:p>
                  <w:pPr>
                    <w:jc w:val="center"/>
                    <w:rPr>
                      <w:rFonts w:hint="eastAsia" w:eastAsia="宋体"/>
                      <w:color w:val="auto"/>
                      <w:highlight w:val="none"/>
                      <w:lang w:eastAsia="zh-CN"/>
                    </w:rPr>
                  </w:pPr>
                  <w:r>
                    <w:rPr>
                      <w:rFonts w:hint="eastAsia"/>
                      <w:color w:val="auto"/>
                      <w:highlight w:val="none"/>
                    </w:rPr>
                    <w:t>本项目不属于高VOCs排放建设项目</w:t>
                  </w:r>
                  <w:r>
                    <w:rPr>
                      <w:rFonts w:hint="eastAsia"/>
                      <w:color w:val="auto"/>
                      <w:highlight w:val="none"/>
                      <w:lang w:eastAsia="zh-CN"/>
                    </w:rPr>
                    <w:t>，</w:t>
                  </w:r>
                  <w:r>
                    <w:rPr>
                      <w:rFonts w:hint="eastAsia"/>
                      <w:color w:val="auto"/>
                      <w:highlight w:val="none"/>
                    </w:rPr>
                    <w:t>产生的VOCs符合政策要求经过处理设施处理后排放，排放量得到有效控制</w:t>
                  </w:r>
                  <w:r>
                    <w:rPr>
                      <w:rFonts w:hint="eastAsia"/>
                      <w:color w:val="auto"/>
                      <w:highlight w:val="none"/>
                      <w:lang w:eastAsia="zh-CN"/>
                    </w:rPr>
                    <w:t>。</w:t>
                  </w:r>
                </w:p>
              </w:tc>
              <w:tc>
                <w:tcPr>
                  <w:tcW w:w="1470" w:type="dxa"/>
                  <w:vAlign w:val="center"/>
                </w:tcPr>
                <w:p>
                  <w:pPr>
                    <w:jc w:val="center"/>
                    <w:rPr>
                      <w:rFonts w:hint="eastAsia"/>
                      <w:color w:val="auto"/>
                      <w:highlight w:val="none"/>
                    </w:rPr>
                  </w:pPr>
                  <w:r>
                    <w:rPr>
                      <w:rFonts w:hint="eastAsia"/>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299" w:type="dxa"/>
                  <w:vAlign w:val="center"/>
                </w:tcPr>
                <w:p>
                  <w:pPr>
                    <w:jc w:val="center"/>
                    <w:rPr>
                      <w:rFonts w:hint="eastAsia"/>
                      <w:color w:val="auto"/>
                      <w:highlight w:val="none"/>
                    </w:rPr>
                  </w:pPr>
                  <w:r>
                    <w:rPr>
                      <w:rFonts w:hint="eastAsia"/>
                      <w:color w:val="auto"/>
                      <w:highlight w:val="none"/>
                    </w:rPr>
                    <w:t>落实源头控制措施。推广使用低毒、低（无）VOCs含量油墨、胶黏剂、清洗剂、润版剂、洗车水、涂布液等原辅材料。低（无）VOCs含量的原辅材料代替比例不低于60%。</w:t>
                  </w:r>
                </w:p>
              </w:tc>
              <w:tc>
                <w:tcPr>
                  <w:tcW w:w="3480" w:type="dxa"/>
                  <w:vAlign w:val="center"/>
                </w:tcPr>
                <w:p>
                  <w:pPr>
                    <w:jc w:val="center"/>
                    <w:rPr>
                      <w:rFonts w:hint="eastAsia"/>
                      <w:color w:val="auto"/>
                      <w:highlight w:val="none"/>
                    </w:rPr>
                  </w:pPr>
                  <w:r>
                    <w:rPr>
                      <w:rFonts w:hint="eastAsia"/>
                      <w:color w:val="auto"/>
                      <w:highlight w:val="none"/>
                    </w:rPr>
                    <w:t>本项目不涉及油墨、胶黏剂、清洗剂、洗车水、涂布液等原辅材料。</w:t>
                  </w:r>
                </w:p>
              </w:tc>
              <w:tc>
                <w:tcPr>
                  <w:tcW w:w="1470" w:type="dxa"/>
                  <w:vAlign w:val="center"/>
                </w:tcPr>
                <w:p>
                  <w:pPr>
                    <w:jc w:val="center"/>
                    <w:rPr>
                      <w:rFonts w:hint="eastAsia"/>
                      <w:color w:val="auto"/>
                      <w:highlight w:val="none"/>
                    </w:rPr>
                  </w:pPr>
                  <w:r>
                    <w:rPr>
                      <w:rFonts w:hint="eastAsia"/>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4" w:hRule="atLeast"/>
                <w:jc w:val="center"/>
              </w:trPr>
              <w:tc>
                <w:tcPr>
                  <w:tcW w:w="4299" w:type="dxa"/>
                  <w:vAlign w:val="center"/>
                </w:tcPr>
                <w:p>
                  <w:pPr>
                    <w:jc w:val="center"/>
                    <w:rPr>
                      <w:rFonts w:hint="eastAsia"/>
                      <w:color w:val="auto"/>
                      <w:highlight w:val="none"/>
                    </w:rPr>
                  </w:pPr>
                  <w:r>
                    <w:rPr>
                      <w:rFonts w:hint="eastAsia"/>
                      <w:color w:val="auto"/>
                      <w:highlight w:val="none"/>
                    </w:rPr>
                    <w:t>加强废气收集与处理。规范油墨、胶黏剂等有机原辅材料的调配和使用环节，采取车间环境负压改造，安装高集气装置的措施，提高VOCs产生环节的废气收集率。因地制宜采用回收、焚烧等有机废气末端治理技术，确保稳定达标排放</w:t>
                  </w:r>
                </w:p>
              </w:tc>
              <w:tc>
                <w:tcPr>
                  <w:tcW w:w="3480" w:type="dxa"/>
                  <w:vAlign w:val="center"/>
                </w:tcPr>
                <w:p>
                  <w:pPr>
                    <w:jc w:val="center"/>
                    <w:rPr>
                      <w:rFonts w:hint="eastAsia"/>
                      <w:color w:val="auto"/>
                      <w:highlight w:val="none"/>
                    </w:rPr>
                  </w:pPr>
                  <w:r>
                    <w:rPr>
                      <w:rFonts w:hint="eastAsia"/>
                      <w:color w:val="auto"/>
                      <w:highlight w:val="none"/>
                    </w:rPr>
                    <w:t>项目</w:t>
                  </w:r>
                  <w:r>
                    <w:rPr>
                      <w:rFonts w:hint="eastAsia"/>
                      <w:color w:val="auto"/>
                      <w:kern w:val="2"/>
                      <w:szCs w:val="24"/>
                      <w:highlight w:val="none"/>
                      <w:lang w:eastAsia="zh-CN"/>
                    </w:rPr>
                    <w:t>注塑工序</w:t>
                  </w:r>
                  <w:r>
                    <w:rPr>
                      <w:rFonts w:hint="eastAsia"/>
                      <w:color w:val="auto"/>
                      <w:highlight w:val="none"/>
                    </w:rPr>
                    <w:t>在车间内进行；</w:t>
                  </w:r>
                  <w:r>
                    <w:rPr>
                      <w:rFonts w:hint="eastAsia"/>
                      <w:color w:val="auto"/>
                      <w:kern w:val="2"/>
                      <w:szCs w:val="24"/>
                      <w:highlight w:val="none"/>
                      <w:lang w:eastAsia="zh-CN"/>
                    </w:rPr>
                    <w:t>注塑机</w:t>
                  </w:r>
                  <w:r>
                    <w:rPr>
                      <w:rFonts w:hint="eastAsia"/>
                      <w:color w:val="auto"/>
                      <w:highlight w:val="none"/>
                    </w:rPr>
                    <w:t>上方安装集气罩；收集的</w:t>
                  </w:r>
                  <w:r>
                    <w:rPr>
                      <w:rFonts w:hint="eastAsia"/>
                      <w:color w:val="auto"/>
                      <w:highlight w:val="none"/>
                      <w:lang w:eastAsia="zh-CN"/>
                    </w:rPr>
                    <w:t>有机</w:t>
                  </w:r>
                  <w:r>
                    <w:rPr>
                      <w:rFonts w:hint="eastAsia"/>
                      <w:color w:val="auto"/>
                      <w:highlight w:val="none"/>
                    </w:rPr>
                    <w:t>废气经UV光解+活性炭吸附</w:t>
                  </w:r>
                  <w:r>
                    <w:rPr>
                      <w:rFonts w:hint="eastAsia"/>
                      <w:color w:val="auto"/>
                      <w:highlight w:val="none"/>
                      <w:lang w:eastAsia="zh-CN"/>
                    </w:rPr>
                    <w:t>装置</w:t>
                  </w:r>
                  <w:r>
                    <w:rPr>
                      <w:rFonts w:hint="eastAsia"/>
                      <w:color w:val="auto"/>
                      <w:highlight w:val="none"/>
                    </w:rPr>
                    <w:t>处理后通过15米</w:t>
                  </w:r>
                  <w:r>
                    <w:rPr>
                      <w:rFonts w:hint="eastAsia"/>
                      <w:color w:val="auto"/>
                      <w:highlight w:val="none"/>
                      <w:lang w:eastAsia="zh-CN"/>
                    </w:rPr>
                    <w:t>的</w:t>
                  </w:r>
                  <w:r>
                    <w:rPr>
                      <w:rFonts w:hint="eastAsia"/>
                      <w:color w:val="auto"/>
                      <w:highlight w:val="none"/>
                    </w:rPr>
                    <w:t>排气筒高空排放。</w:t>
                  </w:r>
                </w:p>
              </w:tc>
              <w:tc>
                <w:tcPr>
                  <w:tcW w:w="1470" w:type="dxa"/>
                  <w:vAlign w:val="center"/>
                </w:tcPr>
                <w:p>
                  <w:pPr>
                    <w:jc w:val="center"/>
                    <w:rPr>
                      <w:rFonts w:hint="eastAsia"/>
                      <w:color w:val="auto"/>
                      <w:highlight w:val="none"/>
                    </w:rPr>
                  </w:pPr>
                  <w:r>
                    <w:rPr>
                      <w:rFonts w:hint="eastAsia"/>
                      <w:color w:val="auto"/>
                      <w:highlight w:val="none"/>
                    </w:rPr>
                    <w:t>符合</w:t>
                  </w:r>
                </w:p>
              </w:tc>
            </w:tr>
          </w:tbl>
          <w:p>
            <w:pPr>
              <w:pStyle w:val="147"/>
              <w:ind w:firstLine="480"/>
              <w:rPr>
                <w:rFonts w:hint="eastAsia" w:eastAsia="宋体"/>
                <w:color w:val="auto"/>
                <w:sz w:val="24"/>
                <w:szCs w:val="24"/>
                <w:highlight w:val="none"/>
                <w:lang w:eastAsia="zh-CN"/>
              </w:rPr>
            </w:pPr>
            <w:r>
              <w:rPr>
                <w:rFonts w:hint="eastAsia"/>
                <w:color w:val="auto"/>
                <w:sz w:val="24"/>
                <w:szCs w:val="24"/>
                <w:highlight w:val="none"/>
                <w:lang w:eastAsia="zh-CN"/>
              </w:rPr>
              <w:t>（</w:t>
            </w:r>
            <w:r>
              <w:rPr>
                <w:rFonts w:hint="eastAsia"/>
                <w:color w:val="auto"/>
                <w:sz w:val="24"/>
                <w:szCs w:val="24"/>
                <w:highlight w:val="none"/>
                <w:lang w:val="en-US" w:eastAsia="zh-CN"/>
              </w:rPr>
              <w:t>4</w:t>
            </w:r>
            <w:r>
              <w:rPr>
                <w:rFonts w:hint="eastAsia"/>
                <w:color w:val="auto"/>
                <w:sz w:val="24"/>
                <w:szCs w:val="24"/>
                <w:highlight w:val="none"/>
                <w:lang w:eastAsia="zh-CN"/>
              </w:rPr>
              <w:t>）与《广东省人民政府关于印发&lt;广东省打赢蓝天保卫战实施方案（2018-2020年）&gt;的通知》（粤府〔2018〕128号）相符性分析</w:t>
            </w:r>
          </w:p>
          <w:p>
            <w:pPr>
              <w:pStyle w:val="147"/>
              <w:ind w:firstLine="480"/>
              <w:rPr>
                <w:rFonts w:hint="eastAsia"/>
                <w:color w:val="auto"/>
                <w:sz w:val="24"/>
                <w:szCs w:val="24"/>
                <w:highlight w:val="none"/>
              </w:rPr>
            </w:pPr>
            <w:r>
              <w:rPr>
                <w:rFonts w:hint="eastAsia"/>
                <w:color w:val="auto"/>
                <w:sz w:val="24"/>
                <w:szCs w:val="24"/>
                <w:highlight w:val="none"/>
              </w:rPr>
              <w:t>根据《广东省打赢蓝天保卫战实施方案（2018-2020年）》：“指定广东省重点大气污染物（包括SO</w:t>
            </w:r>
            <w:r>
              <w:rPr>
                <w:rFonts w:hint="eastAsia"/>
                <w:color w:val="auto"/>
                <w:sz w:val="24"/>
                <w:szCs w:val="24"/>
                <w:highlight w:val="none"/>
                <w:vertAlign w:val="subscript"/>
              </w:rPr>
              <w:t>2</w:t>
            </w:r>
            <w:r>
              <w:rPr>
                <w:rFonts w:hint="eastAsia"/>
                <w:color w:val="auto"/>
                <w:sz w:val="24"/>
                <w:szCs w:val="24"/>
                <w:highlight w:val="none"/>
              </w:rPr>
              <w:t>、NO</w:t>
            </w:r>
            <w:r>
              <w:rPr>
                <w:rFonts w:hint="eastAsia"/>
                <w:color w:val="auto"/>
                <w:sz w:val="24"/>
                <w:szCs w:val="24"/>
                <w:highlight w:val="none"/>
                <w:vertAlign w:val="subscript"/>
              </w:rPr>
              <w:t>X</w:t>
            </w:r>
            <w:r>
              <w:rPr>
                <w:rFonts w:hint="eastAsia"/>
                <w:color w:val="auto"/>
                <w:sz w:val="24"/>
                <w:szCs w:val="24"/>
                <w:highlight w:val="none"/>
              </w:rPr>
              <w:t>、VOCs）排放总量指标审核及相关管理办法。珠三角地区建设项目实施VOCs排放两倍削减量替代……对VOCs指标实行动态管理，严格控制区域VOCs排放量”。</w:t>
            </w:r>
          </w:p>
          <w:p>
            <w:pPr>
              <w:pStyle w:val="147"/>
              <w:ind w:firstLine="480"/>
              <w:rPr>
                <w:rFonts w:hint="eastAsia"/>
                <w:color w:val="auto"/>
                <w:sz w:val="24"/>
                <w:szCs w:val="24"/>
                <w:highlight w:val="none"/>
              </w:rPr>
            </w:pPr>
            <w:r>
              <w:rPr>
                <w:rFonts w:hint="eastAsia"/>
                <w:color w:val="auto"/>
                <w:sz w:val="24"/>
                <w:szCs w:val="24"/>
                <w:highlight w:val="none"/>
              </w:rPr>
              <w:t>本项目VOCs排放总量采取</w:t>
            </w:r>
            <w:r>
              <w:rPr>
                <w:rFonts w:hint="eastAsia"/>
                <w:color w:val="auto"/>
                <w:sz w:val="24"/>
                <w:szCs w:val="24"/>
                <w:highlight w:val="none"/>
                <w:lang w:eastAsia="zh-CN"/>
              </w:rPr>
              <w:t>开平市水口镇</w:t>
            </w:r>
            <w:r>
              <w:rPr>
                <w:rFonts w:hint="eastAsia"/>
                <w:color w:val="auto"/>
                <w:sz w:val="24"/>
                <w:szCs w:val="24"/>
                <w:highlight w:val="none"/>
              </w:rPr>
              <w:t>内两倍削减量替代方式，因此符合《广东省人民政府关于印发&lt;广东省打赢蓝天保卫战实施方案（2018-2020年）&gt;的通知》（粤府〔2018〕128号）。</w:t>
            </w:r>
          </w:p>
          <w:p>
            <w:pPr>
              <w:pStyle w:val="147"/>
              <w:ind w:firstLine="480"/>
              <w:rPr>
                <w:rFonts w:hint="eastAsia" w:eastAsia="宋体"/>
                <w:color w:val="auto"/>
                <w:sz w:val="24"/>
                <w:szCs w:val="24"/>
                <w:highlight w:val="none"/>
                <w:lang w:val="en-US" w:eastAsia="zh-CN"/>
              </w:rPr>
            </w:pPr>
            <w:r>
              <w:rPr>
                <w:rFonts w:hint="eastAsia"/>
                <w:color w:val="auto"/>
                <w:sz w:val="24"/>
                <w:szCs w:val="24"/>
                <w:highlight w:val="none"/>
              </w:rPr>
              <w:t>根据《广东省打赢蓝天保卫战实施方案（2018-2020年）》：“</w:t>
            </w:r>
            <w:r>
              <w:rPr>
                <w:rFonts w:hint="eastAsia"/>
                <w:color w:val="auto"/>
                <w:sz w:val="24"/>
                <w:szCs w:val="24"/>
                <w:highlight w:val="none"/>
                <w:lang w:eastAsia="zh-CN"/>
              </w:rPr>
              <w:t>出台《低挥发性有机物含量涂料限值》规范产品生产及销售环节。在涂料、胶黏剂、油墨等行业实施原料替代工程。重点推广使用低</w:t>
            </w:r>
            <w:r>
              <w:rPr>
                <w:rFonts w:hint="eastAsia"/>
                <w:color w:val="auto"/>
                <w:sz w:val="24"/>
                <w:szCs w:val="24"/>
                <w:highlight w:val="none"/>
              </w:rPr>
              <w:t>VOCs</w:t>
            </w:r>
            <w:r>
              <w:rPr>
                <w:rFonts w:hint="eastAsia"/>
                <w:color w:val="auto"/>
                <w:sz w:val="24"/>
                <w:szCs w:val="24"/>
                <w:highlight w:val="none"/>
                <w:lang w:eastAsia="zh-CN"/>
              </w:rPr>
              <w:t>含量、低反应活性的原辅材料和产品</w:t>
            </w:r>
            <w:r>
              <w:rPr>
                <w:rFonts w:hint="eastAsia"/>
                <w:color w:val="auto"/>
                <w:sz w:val="24"/>
                <w:szCs w:val="24"/>
                <w:highlight w:val="none"/>
              </w:rPr>
              <w:t>……”。</w:t>
            </w:r>
          </w:p>
          <w:p>
            <w:pPr>
              <w:pStyle w:val="147"/>
              <w:ind w:firstLine="480"/>
              <w:rPr>
                <w:rFonts w:hint="eastAsia"/>
                <w:color w:val="auto"/>
                <w:sz w:val="24"/>
                <w:szCs w:val="24"/>
                <w:highlight w:val="none"/>
              </w:rPr>
            </w:pPr>
            <w:r>
              <w:rPr>
                <w:rFonts w:hint="eastAsia"/>
                <w:color w:val="auto"/>
                <w:highlight w:val="none"/>
              </w:rPr>
              <w:t>本项目不涉及</w:t>
            </w:r>
            <w:r>
              <w:rPr>
                <w:rFonts w:hint="eastAsia"/>
                <w:color w:val="auto"/>
                <w:sz w:val="24"/>
                <w:szCs w:val="24"/>
                <w:highlight w:val="none"/>
                <w:lang w:eastAsia="zh-CN"/>
              </w:rPr>
              <w:t>涂料、胶黏剂、油墨</w:t>
            </w:r>
            <w:r>
              <w:rPr>
                <w:rFonts w:hint="eastAsia"/>
                <w:color w:val="auto"/>
                <w:highlight w:val="none"/>
              </w:rPr>
              <w:t>等原辅材料</w:t>
            </w:r>
            <w:r>
              <w:rPr>
                <w:rFonts w:hint="eastAsia"/>
                <w:color w:val="auto"/>
                <w:highlight w:val="none"/>
                <w:lang w:eastAsia="zh-CN"/>
              </w:rPr>
              <w:t>的使用</w:t>
            </w:r>
            <w:r>
              <w:rPr>
                <w:rFonts w:hint="eastAsia"/>
                <w:color w:val="auto"/>
                <w:highlight w:val="none"/>
              </w:rPr>
              <w:t>。</w:t>
            </w:r>
          </w:p>
          <w:p>
            <w:pPr>
              <w:pStyle w:val="147"/>
              <w:ind w:firstLine="480"/>
              <w:rPr>
                <w:rFonts w:hint="eastAsia"/>
                <w:color w:val="auto"/>
                <w:sz w:val="24"/>
                <w:szCs w:val="24"/>
                <w:highlight w:val="none"/>
              </w:rPr>
            </w:pPr>
            <w:r>
              <w:rPr>
                <w:rFonts w:hint="eastAsia"/>
                <w:color w:val="auto"/>
                <w:sz w:val="24"/>
                <w:szCs w:val="24"/>
                <w:highlight w:val="none"/>
              </w:rPr>
              <w:t>综上所述，项目不属于国家</w:t>
            </w:r>
            <w:r>
              <w:rPr>
                <w:rFonts w:hint="eastAsia"/>
                <w:color w:val="auto"/>
                <w:sz w:val="24"/>
                <w:szCs w:val="24"/>
                <w:highlight w:val="none"/>
                <w:lang w:eastAsia="zh-CN"/>
              </w:rPr>
              <w:t>《产业结构调整指导目录（2019年本）》</w:t>
            </w:r>
            <w:r>
              <w:rPr>
                <w:rFonts w:hint="eastAsia"/>
                <w:color w:val="auto"/>
                <w:highlight w:val="none"/>
                <w:lang w:eastAsia="zh-CN"/>
              </w:rPr>
              <w:t>中华人民共和国国家发展和改革委员会令第29号</w:t>
            </w:r>
            <w:r>
              <w:rPr>
                <w:rFonts w:hint="eastAsia"/>
                <w:color w:val="auto"/>
                <w:sz w:val="24"/>
                <w:szCs w:val="24"/>
                <w:highlight w:val="none"/>
              </w:rPr>
              <w:t>中的限制或淘汰类别，</w:t>
            </w:r>
            <w:r>
              <w:rPr>
                <w:bCs/>
                <w:color w:val="auto"/>
                <w:sz w:val="24"/>
                <w:szCs w:val="24"/>
                <w:highlight w:val="none"/>
              </w:rPr>
              <w:t>不在</w:t>
            </w:r>
            <w:r>
              <w:rPr>
                <w:rFonts w:hint="eastAsia" w:cs="Times New Roman"/>
                <w:bCs/>
                <w:color w:val="auto"/>
                <w:sz w:val="24"/>
                <w:szCs w:val="24"/>
                <w:highlight w:val="none"/>
                <w:shd w:val="clear" w:color="auto" w:fill="auto"/>
                <w:lang w:val="en-US" w:eastAsia="zh-CN"/>
              </w:rPr>
              <w:t>《市场准入负面清单（2019年版）》发改体改[2019]1685号</w:t>
            </w:r>
            <w:r>
              <w:rPr>
                <w:bCs/>
                <w:color w:val="auto"/>
                <w:sz w:val="24"/>
                <w:szCs w:val="24"/>
                <w:highlight w:val="none"/>
              </w:rPr>
              <w:t>类目</w:t>
            </w:r>
            <w:r>
              <w:rPr>
                <w:rFonts w:hint="eastAsia"/>
                <w:bCs/>
                <w:color w:val="auto"/>
                <w:sz w:val="24"/>
                <w:szCs w:val="24"/>
                <w:highlight w:val="none"/>
              </w:rPr>
              <w:t>，</w:t>
            </w:r>
            <w:r>
              <w:rPr>
                <w:rFonts w:hint="eastAsia"/>
                <w:b w:val="0"/>
                <w:bCs w:val="0"/>
                <w:color w:val="auto"/>
                <w:sz w:val="24"/>
                <w:szCs w:val="24"/>
                <w:highlight w:val="none"/>
              </w:rPr>
              <w:t>与《广东省挥发性有机物（VOCs）整治与减排工作方案（2018-2020年）》（粤环发〔2018〕6 号）、《江门市挥发性有机物（VOCs）整治与减排工作方案（2018~2020年）》、《十三五挥发性有机物污染防治工作方案》</w:t>
            </w:r>
            <w:r>
              <w:rPr>
                <w:rFonts w:hint="eastAsia"/>
                <w:b w:val="0"/>
                <w:bCs w:val="0"/>
                <w:color w:val="auto"/>
                <w:sz w:val="24"/>
                <w:szCs w:val="24"/>
                <w:highlight w:val="none"/>
                <w:lang w:eastAsia="zh-CN"/>
              </w:rPr>
              <w:t>、</w:t>
            </w:r>
            <w:r>
              <w:rPr>
                <w:rFonts w:hint="eastAsia"/>
                <w:color w:val="auto"/>
                <w:sz w:val="24"/>
                <w:szCs w:val="24"/>
                <w:highlight w:val="none"/>
                <w:lang w:eastAsia="zh-CN"/>
              </w:rPr>
              <w:t>《广东省人民政府关于印发&lt;广东省打赢蓝天保卫战实施方案（2018-2020年）&gt;的通知》</w:t>
            </w:r>
            <w:r>
              <w:rPr>
                <w:rFonts w:hint="eastAsia"/>
                <w:b w:val="0"/>
                <w:bCs w:val="0"/>
                <w:color w:val="auto"/>
                <w:sz w:val="24"/>
                <w:szCs w:val="24"/>
                <w:highlight w:val="none"/>
              </w:rPr>
              <w:t>相符</w:t>
            </w:r>
            <w:r>
              <w:rPr>
                <w:rFonts w:hint="eastAsia"/>
                <w:b w:val="0"/>
                <w:bCs w:val="0"/>
                <w:color w:val="auto"/>
                <w:sz w:val="24"/>
                <w:szCs w:val="24"/>
                <w:highlight w:val="none"/>
                <w:lang w:eastAsia="zh-CN"/>
              </w:rPr>
              <w:t>，</w:t>
            </w:r>
            <w:r>
              <w:rPr>
                <w:rFonts w:hint="eastAsia"/>
                <w:color w:val="auto"/>
                <w:sz w:val="24"/>
                <w:szCs w:val="24"/>
                <w:highlight w:val="none"/>
              </w:rPr>
              <w:t>因此项目符合国家、广东省的产业政策。</w:t>
            </w:r>
          </w:p>
          <w:p>
            <w:pPr>
              <w:pStyle w:val="147"/>
              <w:ind w:firstLine="480"/>
              <w:rPr>
                <w:color w:val="auto"/>
                <w:highlight w:val="none"/>
              </w:rPr>
            </w:pPr>
            <w:r>
              <w:rPr>
                <w:rFonts w:hint="eastAsia"/>
                <w:color w:val="auto"/>
                <w:highlight w:val="none"/>
              </w:rPr>
              <w:t>2）用地功能相符性</w:t>
            </w:r>
          </w:p>
          <w:p>
            <w:pPr>
              <w:pStyle w:val="147"/>
              <w:ind w:firstLine="480"/>
              <w:rPr>
                <w:color w:val="auto"/>
                <w:highlight w:val="none"/>
              </w:rPr>
            </w:pPr>
            <w:r>
              <w:rPr>
                <w:rFonts w:hint="eastAsia"/>
                <w:color w:val="auto"/>
                <w:highlight w:val="none"/>
              </w:rPr>
              <w:t>本项目位于</w:t>
            </w:r>
            <w:r>
              <w:rPr>
                <w:rFonts w:hint="eastAsia"/>
                <w:bCs/>
                <w:color w:val="auto"/>
                <w:highlight w:val="none"/>
              </w:rPr>
              <w:t>开平市水口镇第一工业园平冈路4号</w:t>
            </w:r>
            <w:r>
              <w:rPr>
                <w:rFonts w:hint="eastAsia"/>
                <w:color w:val="auto"/>
                <w:highlight w:val="none"/>
              </w:rPr>
              <w:t>，根据附件3，属于工业用地，土地功能符合规划要求。</w:t>
            </w:r>
          </w:p>
          <w:p>
            <w:pPr>
              <w:spacing w:line="360" w:lineRule="auto"/>
              <w:ind w:firstLine="482" w:firstLineChars="200"/>
              <w:rPr>
                <w:b/>
                <w:bCs/>
                <w:color w:val="auto"/>
                <w:sz w:val="24"/>
                <w:highlight w:val="none"/>
              </w:rPr>
            </w:pPr>
            <w:r>
              <w:rPr>
                <w:b/>
                <w:bCs/>
                <w:color w:val="auto"/>
                <w:sz w:val="24"/>
                <w:highlight w:val="none"/>
              </w:rPr>
              <w:t>以上全部资料由建设单位提供，如有变动请建设单位编写该项目环境影响报告并向环境保护行政主管部门申报，经环境保护行政主管部门同意后方可进行建设。</w:t>
            </w: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spacing w:line="360" w:lineRule="auto"/>
              <w:ind w:firstLine="482" w:firstLineChars="200"/>
              <w:rPr>
                <w:b/>
                <w:bCs/>
                <w:color w:val="auto"/>
                <w:sz w:val="24"/>
                <w:highlight w:val="none"/>
              </w:rPr>
            </w:pPr>
          </w:p>
          <w:p>
            <w:pPr>
              <w:pStyle w:val="49"/>
              <w:rPr>
                <w:color w:val="auto"/>
                <w:highlight w:val="none"/>
              </w:rPr>
            </w:pPr>
          </w:p>
          <w:p>
            <w:pPr>
              <w:pStyle w:val="47"/>
              <w:rPr>
                <w:b/>
                <w:bCs/>
                <w:color w:val="auto"/>
                <w:highlight w:val="none"/>
              </w:rPr>
            </w:pPr>
          </w:p>
          <w:p>
            <w:pPr>
              <w:pStyle w:val="47"/>
              <w:rPr>
                <w:b/>
                <w:bCs/>
                <w:color w:val="auto"/>
                <w:highlight w:val="none"/>
              </w:rPr>
            </w:pPr>
          </w:p>
          <w:p>
            <w:pPr>
              <w:spacing w:line="360" w:lineRule="auto"/>
              <w:ind w:firstLine="480" w:firstLineChars="200"/>
              <w:rPr>
                <w:color w:val="auto"/>
                <w:sz w:val="24"/>
                <w:highlight w:val="none"/>
              </w:rPr>
            </w:pPr>
          </w:p>
        </w:tc>
      </w:tr>
    </w:tbl>
    <w:p>
      <w:pPr>
        <w:spacing w:line="360" w:lineRule="auto"/>
        <w:rPr>
          <w:b/>
          <w:bCs/>
          <w:color w:val="auto"/>
          <w:sz w:val="28"/>
          <w:szCs w:val="28"/>
          <w:highlight w:val="none"/>
        </w:rPr>
        <w:sectPr>
          <w:footerReference r:id="rId9" w:type="default"/>
          <w:pgSz w:w="11907" w:h="16840"/>
          <w:pgMar w:top="1531" w:right="1134" w:bottom="1134" w:left="1418" w:header="0" w:footer="1078" w:gutter="0"/>
          <w:pgNumType w:start="1"/>
          <w:cols w:space="720" w:num="1"/>
          <w:docGrid w:linePitch="326" w:charSpace="-4916"/>
        </w:sectPr>
      </w:pPr>
    </w:p>
    <w:tbl>
      <w:tblPr>
        <w:tblStyle w:val="40"/>
        <w:tblW w:w="100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1" w:hRule="atLeast"/>
          <w:jc w:val="center"/>
        </w:trPr>
        <w:tc>
          <w:tcPr>
            <w:tcW w:w="10032" w:type="dxa"/>
            <w:tcBorders>
              <w:bottom w:val="single" w:color="auto" w:sz="4" w:space="0"/>
            </w:tcBorders>
            <w:vAlign w:val="center"/>
          </w:tcPr>
          <w:p>
            <w:pPr>
              <w:spacing w:line="360" w:lineRule="auto"/>
              <w:rPr>
                <w:b/>
                <w:bCs/>
                <w:color w:val="auto"/>
                <w:sz w:val="28"/>
                <w:szCs w:val="28"/>
                <w:highlight w:val="none"/>
              </w:rPr>
            </w:pPr>
            <w:r>
              <w:rPr>
                <w:rFonts w:hint="eastAsia"/>
                <w:b/>
                <w:bCs/>
                <w:color w:val="auto"/>
                <w:sz w:val="28"/>
                <w:szCs w:val="28"/>
                <w:highlight w:val="none"/>
              </w:rPr>
              <w:t>与项目有关的原有污染情况及主要环境问题：</w:t>
            </w:r>
          </w:p>
          <w:p>
            <w:pPr>
              <w:spacing w:line="360" w:lineRule="auto"/>
              <w:ind w:firstLine="480" w:firstLineChars="200"/>
              <w:rPr>
                <w:bCs/>
                <w:color w:val="auto"/>
                <w:sz w:val="24"/>
                <w:highlight w:val="none"/>
              </w:rPr>
            </w:pPr>
            <w:r>
              <w:rPr>
                <w:rFonts w:hint="eastAsia"/>
                <w:bCs/>
                <w:color w:val="auto"/>
                <w:sz w:val="24"/>
                <w:highlight w:val="none"/>
              </w:rPr>
              <w:t>项目为新建项目，故不存在原有污染情况。</w:t>
            </w:r>
          </w:p>
          <w:p>
            <w:pPr>
              <w:spacing w:line="360" w:lineRule="auto"/>
              <w:ind w:firstLine="480" w:firstLineChars="200"/>
              <w:rPr>
                <w:color w:val="auto"/>
                <w:sz w:val="24"/>
                <w:highlight w:val="none"/>
              </w:rPr>
            </w:pPr>
            <w:r>
              <w:rPr>
                <w:rFonts w:hint="eastAsia"/>
                <w:bCs/>
                <w:color w:val="auto"/>
                <w:sz w:val="24"/>
                <w:highlight w:val="none"/>
              </w:rPr>
              <w:t>项目位于开平市水口镇第一工业园平冈路4号。</w:t>
            </w:r>
            <w:r>
              <w:rPr>
                <w:rFonts w:hint="eastAsia" w:hAnsi="宋体"/>
                <w:bCs/>
                <w:color w:val="auto"/>
                <w:sz w:val="24"/>
                <w:highlight w:val="none"/>
              </w:rPr>
              <w:t>根据现场勘查，项目所在厂区东面为宜居卫浴厂，南面为工业厂房，西面为合成钢材厂，北面为佳华不锈钢管厂。</w:t>
            </w:r>
            <w:r>
              <w:rPr>
                <w:rFonts w:hint="eastAsia"/>
                <w:color w:val="auto"/>
                <w:sz w:val="24"/>
                <w:highlight w:val="none"/>
              </w:rPr>
              <w:t>项目四至图见附图2。</w:t>
            </w:r>
          </w:p>
          <w:p>
            <w:pPr>
              <w:spacing w:line="360" w:lineRule="auto"/>
              <w:ind w:firstLine="480" w:firstLineChars="200"/>
              <w:rPr>
                <w:bCs/>
                <w:color w:val="auto"/>
                <w:sz w:val="24"/>
                <w:highlight w:val="none"/>
              </w:rPr>
            </w:pPr>
            <w:r>
              <w:rPr>
                <w:rFonts w:hint="eastAsia"/>
                <w:bCs/>
                <w:color w:val="auto"/>
                <w:sz w:val="24"/>
                <w:highlight w:val="none"/>
              </w:rPr>
              <w:t>本项目周边主要环境问题为周边工厂产生的废水、废气、固废、噪声等。项目所在地周围的现有污染源为项目周边生产企业产生的三废等。但从环境现状监测结果可见，项目所在地大气环境质量一般、水环境质量一般、声环境质量现状良好，说明所在区域环境质量一般。</w:t>
            </w:r>
          </w:p>
          <w:p>
            <w:pPr>
              <w:spacing w:line="360" w:lineRule="auto"/>
              <w:ind w:firstLine="480" w:firstLineChars="200"/>
              <w:rPr>
                <w:rFonts w:hAnsi="宋体"/>
                <w:bCs/>
                <w:color w:val="auto"/>
                <w:sz w:val="24"/>
                <w:highlight w:val="none"/>
              </w:rPr>
            </w:pPr>
          </w:p>
          <w:p>
            <w:pPr>
              <w:pStyle w:val="132"/>
              <w:rPr>
                <w:color w:val="auto"/>
                <w:szCs w:val="21"/>
                <w:highlight w:val="none"/>
              </w:rPr>
            </w:pPr>
          </w:p>
          <w:p>
            <w:pPr>
              <w:pStyle w:val="132"/>
              <w:jc w:val="both"/>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p>
            <w:pPr>
              <w:pStyle w:val="132"/>
              <w:rPr>
                <w:color w:val="auto"/>
                <w:szCs w:val="21"/>
                <w:highlight w:val="none"/>
              </w:rPr>
            </w:pPr>
          </w:p>
        </w:tc>
      </w:tr>
    </w:tbl>
    <w:p>
      <w:pPr>
        <w:spacing w:line="480" w:lineRule="auto"/>
        <w:rPr>
          <w:color w:val="auto"/>
          <w:sz w:val="28"/>
          <w:highlight w:val="none"/>
        </w:rPr>
        <w:sectPr>
          <w:pgSz w:w="11907" w:h="16840"/>
          <w:pgMar w:top="1531" w:right="1134" w:bottom="1134" w:left="1418" w:header="0" w:footer="1078" w:gutter="0"/>
          <w:cols w:space="720" w:num="1"/>
          <w:docGrid w:linePitch="326" w:charSpace="-4916"/>
        </w:sectPr>
      </w:pPr>
    </w:p>
    <w:p>
      <w:pPr>
        <w:pStyle w:val="38"/>
        <w:jc w:val="left"/>
        <w:rPr>
          <w:rFonts w:ascii="Times New Roman" w:hAnsi="Times New Roman"/>
          <w:color w:val="auto"/>
          <w:highlight w:val="none"/>
        </w:rPr>
      </w:pPr>
      <w:r>
        <w:rPr>
          <w:rFonts w:ascii="Times New Roman" w:hAnsi="Times New Roman"/>
          <w:color w:val="auto"/>
          <w:highlight w:val="none"/>
        </w:rPr>
        <w:t>建设项目所在地自然环境简况</w:t>
      </w:r>
    </w:p>
    <w:tbl>
      <w:tblPr>
        <w:tblStyle w:val="41"/>
        <w:tblW w:w="95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1" w:type="dxa"/>
          </w:tcPr>
          <w:p>
            <w:pPr>
              <w:spacing w:before="120"/>
              <w:rPr>
                <w:rFonts w:ascii="宋体" w:hAnsi="宋体"/>
                <w:b/>
                <w:bCs/>
                <w:color w:val="auto"/>
                <w:sz w:val="28"/>
                <w:highlight w:val="none"/>
              </w:rPr>
            </w:pPr>
            <w:r>
              <w:rPr>
                <w:rFonts w:hint="eastAsia" w:ascii="宋体" w:hAnsi="宋体"/>
                <w:b/>
                <w:bCs/>
                <w:color w:val="auto"/>
                <w:sz w:val="28"/>
                <w:highlight w:val="none"/>
              </w:rPr>
              <w:t>自然环境简况（地理位置、地质地貌、气象气候、河流水文特征、植被、水生生物等）：</w:t>
            </w:r>
          </w:p>
          <w:p>
            <w:pPr>
              <w:spacing w:line="360" w:lineRule="auto"/>
              <w:ind w:left="50" w:firstLine="480" w:firstLineChars="200"/>
              <w:rPr>
                <w:color w:val="auto"/>
                <w:sz w:val="24"/>
                <w:highlight w:val="none"/>
              </w:rPr>
            </w:pPr>
            <w:r>
              <w:rPr>
                <w:color w:val="auto"/>
                <w:sz w:val="24"/>
                <w:highlight w:val="none"/>
              </w:rPr>
              <w:t>开平市位于广东省中南部，东经 112°13′至 112°48′，北纬 21°56′至 22°39′；东北连新会，正北靠鹤山，东南近台山，西南接恩平，西北邻新兴。濒临南海，靠近港澳，东北距江门市区 46 km，距广州 110km，北扼鹤山之冲，西接恩平之咽，东南有新会为藩篱，西南以台山为屏障。位于江门五邑中心，地理位置优越。全市总面积 1659 平方公里。1649年建县，1993 年 1 月 5 日撤县设市，1995 年被国家定为二类市。现辖 13 个镇和三埠、长沙 2 个办事处。</w:t>
            </w:r>
          </w:p>
          <w:p>
            <w:pPr>
              <w:spacing w:line="360" w:lineRule="auto"/>
              <w:ind w:left="50" w:firstLine="482" w:firstLineChars="200"/>
              <w:rPr>
                <w:b/>
                <w:bCs/>
                <w:color w:val="auto"/>
                <w:sz w:val="24"/>
                <w:highlight w:val="none"/>
              </w:rPr>
            </w:pPr>
            <w:r>
              <w:rPr>
                <w:b/>
                <w:bCs/>
                <w:color w:val="auto"/>
                <w:sz w:val="24"/>
                <w:highlight w:val="none"/>
              </w:rPr>
              <w:t>1、地形地貌</w:t>
            </w:r>
          </w:p>
          <w:p>
            <w:pPr>
              <w:spacing w:line="360" w:lineRule="auto"/>
              <w:ind w:left="50" w:firstLine="480" w:firstLineChars="200"/>
              <w:rPr>
                <w:color w:val="auto"/>
                <w:sz w:val="24"/>
                <w:highlight w:val="none"/>
              </w:rPr>
            </w:pPr>
            <w:r>
              <w:rPr>
                <w:color w:val="auto"/>
                <w:sz w:val="24"/>
                <w:highlight w:val="none"/>
              </w:rPr>
              <w:t>开平市地势自南、北两面向潭江河谷倾斜，东、中部地势低。南部、北部多低山丘陵， 西北部的天露山海拔 1250 米，是江门五邑最高峰；东部、中部多丘陵平原，大部分在海拔 50 米以下，海拔较的有梁金山（456 米）、百立山（394 米）。主要山脉有天露山、梁金山、百立山、罗汉山等。主要矿藏有煤、铁、钨、铜、石英石等。地势自南北两面向潭江河各地带倾斜，海拔 50 米以下的平原面积占全市面积的 69%，丘陵面积占 29%，山地面积占 2%。</w:t>
            </w:r>
          </w:p>
          <w:p>
            <w:pPr>
              <w:spacing w:line="360" w:lineRule="auto"/>
              <w:ind w:left="50" w:firstLine="480" w:firstLineChars="200"/>
              <w:rPr>
                <w:color w:val="auto"/>
                <w:sz w:val="24"/>
                <w:highlight w:val="none"/>
              </w:rPr>
            </w:pPr>
            <w:r>
              <w:rPr>
                <w:color w:val="auto"/>
                <w:sz w:val="24"/>
                <w:highlight w:val="none"/>
              </w:rPr>
              <w:t>开平市的地质大部分为花岗岩和沙页岩结构。有两条断裂带横贯域内。一条是海陵断裂带，南起阳江市南部沿海，经恩平市大槐、恩城、沙湖进入域内马冈、苍城、大罗村， 再过鹤山、花县、河源、和平至江西龙南县；另一条是金鸡至鹤城断裂带（属活性断裂带），南起台山市挪扶，经域内金鸡墟、瓦片坑、蚬冈、赤坎、交流渡、梁金山、月山至鹤城。两条断裂带把市域划分为南、北、中三块。</w:t>
            </w:r>
          </w:p>
          <w:p>
            <w:pPr>
              <w:spacing w:line="360" w:lineRule="auto"/>
              <w:ind w:left="50" w:firstLine="482" w:firstLineChars="200"/>
              <w:rPr>
                <w:rStyle w:val="46"/>
                <w:color w:val="auto"/>
                <w:highlight w:val="none"/>
              </w:rPr>
            </w:pPr>
            <w:r>
              <w:rPr>
                <w:b/>
                <w:bCs/>
                <w:color w:val="auto"/>
                <w:sz w:val="24"/>
                <w:highlight w:val="none"/>
              </w:rPr>
              <w:t>2、气候气象</w:t>
            </w:r>
          </w:p>
          <w:p>
            <w:pPr>
              <w:autoSpaceDE w:val="0"/>
              <w:autoSpaceDN w:val="0"/>
              <w:adjustRightInd w:val="0"/>
              <w:snapToGrid w:val="0"/>
              <w:spacing w:line="360" w:lineRule="auto"/>
              <w:ind w:firstLine="556"/>
              <w:rPr>
                <w:color w:val="auto"/>
                <w:kern w:val="0"/>
                <w:sz w:val="24"/>
                <w:highlight w:val="none"/>
              </w:rPr>
            </w:pPr>
            <w:r>
              <w:rPr>
                <w:rFonts w:hint="eastAsia" w:hAnsi="宋体" w:eastAsia="楷体_GB2312"/>
                <w:b/>
                <w:color w:val="auto"/>
                <w:spacing w:val="2"/>
                <w:position w:val="-40"/>
                <w:sz w:val="24"/>
                <w:szCs w:val="20"/>
                <w:highlight w:val="none"/>
              </w:rPr>
              <w:t xml:space="preserve"> </w:t>
            </w:r>
            <w:r>
              <w:rPr>
                <w:color w:val="auto"/>
                <w:kern w:val="0"/>
                <w:sz w:val="24"/>
                <w:highlight w:val="none"/>
              </w:rPr>
              <w:t>开平市地处北回归线以南，属南亚热带海洋性季风气候，濒临南海，有海洋风调节，常年气候温和湿润，日照充分，雨量充沛。全年主导风向为东北风，其中6～8月份以偏南风为主。全年80%以上的降水出现在4～9月，7～9月是台风活动的频发期。根据开平市最近20年的气象观测资料统计，其主要气象特征见下表。</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开平市气象站近20年主要气候资料统计值（199</w:t>
            </w:r>
            <w:r>
              <w:rPr>
                <w:rFonts w:hint="eastAsia" w:eastAsia="宋体" w:cs="Times New Roman"/>
                <w:b/>
                <w:color w:val="auto"/>
                <w:sz w:val="21"/>
                <w:szCs w:val="21"/>
                <w:highlight w:val="none"/>
              </w:rPr>
              <w:t>8</w:t>
            </w:r>
            <w:r>
              <w:rPr>
                <w:rFonts w:eastAsia="宋体" w:cs="Times New Roman"/>
                <w:b/>
                <w:color w:val="auto"/>
                <w:sz w:val="21"/>
                <w:szCs w:val="21"/>
                <w:highlight w:val="none"/>
              </w:rPr>
              <w:t>-201</w:t>
            </w:r>
            <w:r>
              <w:rPr>
                <w:rFonts w:hint="eastAsia" w:eastAsia="宋体" w:cs="Times New Roman"/>
                <w:b/>
                <w:color w:val="auto"/>
                <w:sz w:val="21"/>
                <w:szCs w:val="21"/>
                <w:highlight w:val="none"/>
              </w:rPr>
              <w:t>8</w:t>
            </w:r>
            <w:r>
              <w:rPr>
                <w:rFonts w:eastAsia="宋体" w:cs="Times New Roman"/>
                <w:b/>
                <w:color w:val="auto"/>
                <w:sz w:val="21"/>
                <w:szCs w:val="21"/>
                <w:highlight w:val="none"/>
              </w:rPr>
              <w:t>）</w:t>
            </w:r>
          </w:p>
          <w:tbl>
            <w:tblPr>
              <w:tblStyle w:val="40"/>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3"/>
              <w:gridCol w:w="4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vAlign w:val="center"/>
                </w:tcPr>
                <w:p>
                  <w:pPr>
                    <w:jc w:val="center"/>
                    <w:rPr>
                      <w:b/>
                      <w:color w:val="auto"/>
                      <w:highlight w:val="none"/>
                    </w:rPr>
                  </w:pPr>
                  <w:r>
                    <w:rPr>
                      <w:b/>
                      <w:color w:val="auto"/>
                      <w:highlight w:val="none"/>
                    </w:rPr>
                    <w:t>项目</w:t>
                  </w:r>
                </w:p>
              </w:tc>
              <w:tc>
                <w:tcPr>
                  <w:tcW w:w="4787" w:type="dxa"/>
                  <w:vAlign w:val="center"/>
                </w:tcPr>
                <w:p>
                  <w:pPr>
                    <w:jc w:val="center"/>
                    <w:rPr>
                      <w:b/>
                      <w:color w:val="auto"/>
                      <w:highlight w:val="none"/>
                    </w:rPr>
                  </w:pPr>
                  <w:r>
                    <w:rPr>
                      <w:b/>
                      <w:color w:val="auto"/>
                      <w:highlight w:val="none"/>
                    </w:rPr>
                    <w:t>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vAlign w:val="center"/>
                </w:tcPr>
                <w:p>
                  <w:pPr>
                    <w:adjustRightInd w:val="0"/>
                    <w:snapToGrid w:val="0"/>
                    <w:jc w:val="center"/>
                    <w:rPr>
                      <w:snapToGrid w:val="0"/>
                      <w:color w:val="auto"/>
                      <w:szCs w:val="21"/>
                      <w:highlight w:val="none"/>
                    </w:rPr>
                  </w:pPr>
                  <w:r>
                    <w:rPr>
                      <w:snapToGrid w:val="0"/>
                      <w:color w:val="auto"/>
                      <w:szCs w:val="21"/>
                      <w:highlight w:val="none"/>
                    </w:rPr>
                    <w:t>年平均风速(m/s)</w:t>
                  </w:r>
                </w:p>
              </w:tc>
              <w:tc>
                <w:tcPr>
                  <w:tcW w:w="4787" w:type="dxa"/>
                  <w:vAlign w:val="center"/>
                </w:tcPr>
                <w:p>
                  <w:pPr>
                    <w:adjustRightInd w:val="0"/>
                    <w:snapToGrid w:val="0"/>
                    <w:jc w:val="center"/>
                    <w:rPr>
                      <w:snapToGrid w:val="0"/>
                      <w:color w:val="auto"/>
                      <w:szCs w:val="21"/>
                      <w:highlight w:val="none"/>
                    </w:rPr>
                  </w:pPr>
                  <w:r>
                    <w:rPr>
                      <w:snapToGrid w:val="0"/>
                      <w:color w:val="auto"/>
                      <w:szCs w:val="21"/>
                      <w:highlight w:val="none"/>
                    </w:rPr>
                    <w:t>1.9</w:t>
                  </w:r>
                  <w:r>
                    <w:rPr>
                      <w:rFonts w:hint="eastAsia"/>
                      <w:snapToGrid w:val="0"/>
                      <w:color w:val="auto"/>
                      <w:szCs w:val="21"/>
                      <w:highlight w:val="non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vAlign w:val="center"/>
                </w:tcPr>
                <w:p>
                  <w:pPr>
                    <w:adjustRightInd w:val="0"/>
                    <w:snapToGrid w:val="0"/>
                    <w:jc w:val="center"/>
                    <w:rPr>
                      <w:snapToGrid w:val="0"/>
                      <w:color w:val="auto"/>
                      <w:szCs w:val="21"/>
                      <w:highlight w:val="none"/>
                    </w:rPr>
                  </w:pPr>
                  <w:r>
                    <w:rPr>
                      <w:snapToGrid w:val="0"/>
                      <w:color w:val="auto"/>
                      <w:szCs w:val="21"/>
                      <w:highlight w:val="none"/>
                    </w:rPr>
                    <w:t>最大风速(m/s)及出现的时间</w:t>
                  </w:r>
                </w:p>
              </w:tc>
              <w:tc>
                <w:tcPr>
                  <w:tcW w:w="4787" w:type="dxa"/>
                  <w:vAlign w:val="center"/>
                </w:tcPr>
                <w:p>
                  <w:pPr>
                    <w:adjustRightInd w:val="0"/>
                    <w:snapToGrid w:val="0"/>
                    <w:jc w:val="center"/>
                    <w:rPr>
                      <w:snapToGrid w:val="0"/>
                      <w:color w:val="auto"/>
                      <w:szCs w:val="21"/>
                      <w:highlight w:val="none"/>
                    </w:rPr>
                  </w:pPr>
                  <w:r>
                    <w:rPr>
                      <w:rFonts w:hint="eastAsia"/>
                      <w:snapToGrid w:val="0"/>
                      <w:color w:val="auto"/>
                      <w:szCs w:val="21"/>
                      <w:highlight w:val="none"/>
                    </w:rPr>
                    <w:t>42.1</w:t>
                  </w:r>
                  <w:r>
                    <w:rPr>
                      <w:snapToGrid w:val="0"/>
                      <w:color w:val="auto"/>
                      <w:szCs w:val="21"/>
                      <w:highlight w:val="none"/>
                    </w:rPr>
                    <w:t>，NE</w:t>
                  </w:r>
                </w:p>
                <w:p>
                  <w:pPr>
                    <w:adjustRightInd w:val="0"/>
                    <w:snapToGrid w:val="0"/>
                    <w:jc w:val="center"/>
                    <w:rPr>
                      <w:snapToGrid w:val="0"/>
                      <w:color w:val="auto"/>
                      <w:szCs w:val="21"/>
                      <w:highlight w:val="none"/>
                    </w:rPr>
                  </w:pPr>
                  <w:r>
                    <w:rPr>
                      <w:snapToGrid w:val="0"/>
                      <w:color w:val="auto"/>
                      <w:szCs w:val="21"/>
                      <w:highlight w:val="none"/>
                    </w:rPr>
                    <w:t>出现时间：201</w:t>
                  </w:r>
                  <w:r>
                    <w:rPr>
                      <w:rFonts w:hint="eastAsia"/>
                      <w:snapToGrid w:val="0"/>
                      <w:color w:val="auto"/>
                      <w:szCs w:val="21"/>
                      <w:highlight w:val="none"/>
                    </w:rPr>
                    <w:t>8</w:t>
                  </w:r>
                  <w:r>
                    <w:rPr>
                      <w:snapToGrid w:val="0"/>
                      <w:color w:val="auto"/>
                      <w:szCs w:val="21"/>
                      <w:highlight w:val="none"/>
                    </w:rPr>
                    <w:t>年</w:t>
                  </w:r>
                  <w:r>
                    <w:rPr>
                      <w:rFonts w:hint="eastAsia"/>
                      <w:snapToGrid w:val="0"/>
                      <w:color w:val="auto"/>
                      <w:szCs w:val="21"/>
                      <w:highlight w:val="none"/>
                    </w:rPr>
                    <w:t>9</w:t>
                  </w:r>
                  <w:r>
                    <w:rPr>
                      <w:snapToGrid w:val="0"/>
                      <w:color w:val="auto"/>
                      <w:szCs w:val="21"/>
                      <w:highlight w:val="none"/>
                    </w:rPr>
                    <w:t>月</w:t>
                  </w:r>
                  <w:r>
                    <w:rPr>
                      <w:rFonts w:hint="eastAsia"/>
                      <w:snapToGrid w:val="0"/>
                      <w:color w:val="auto"/>
                      <w:szCs w:val="21"/>
                      <w:highlight w:val="none"/>
                    </w:rPr>
                    <w:t>16</w:t>
                  </w:r>
                  <w:r>
                    <w:rPr>
                      <w:snapToGrid w:val="0"/>
                      <w:color w:val="auto"/>
                      <w:szCs w:val="21"/>
                      <w:highlight w:val="none"/>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vAlign w:val="center"/>
                </w:tcPr>
                <w:p>
                  <w:pPr>
                    <w:adjustRightInd w:val="0"/>
                    <w:snapToGrid w:val="0"/>
                    <w:jc w:val="center"/>
                    <w:rPr>
                      <w:snapToGrid w:val="0"/>
                      <w:color w:val="auto"/>
                      <w:szCs w:val="21"/>
                      <w:highlight w:val="none"/>
                    </w:rPr>
                  </w:pPr>
                  <w:r>
                    <w:rPr>
                      <w:snapToGrid w:val="0"/>
                      <w:color w:val="auto"/>
                      <w:szCs w:val="21"/>
                      <w:highlight w:val="none"/>
                    </w:rPr>
                    <w:t>年平均气温（</w:t>
                  </w:r>
                  <w:r>
                    <w:rPr>
                      <w:rFonts w:hint="eastAsia"/>
                      <w:snapToGrid w:val="0"/>
                      <w:color w:val="auto"/>
                      <w:szCs w:val="21"/>
                      <w:highlight w:val="none"/>
                    </w:rPr>
                    <w:t>℃</w:t>
                  </w:r>
                  <w:r>
                    <w:rPr>
                      <w:snapToGrid w:val="0"/>
                      <w:color w:val="auto"/>
                      <w:szCs w:val="21"/>
                      <w:highlight w:val="none"/>
                    </w:rPr>
                    <w:t>）</w:t>
                  </w:r>
                </w:p>
              </w:tc>
              <w:tc>
                <w:tcPr>
                  <w:tcW w:w="4787" w:type="dxa"/>
                  <w:vAlign w:val="center"/>
                </w:tcPr>
                <w:p>
                  <w:pPr>
                    <w:adjustRightInd w:val="0"/>
                    <w:snapToGrid w:val="0"/>
                    <w:jc w:val="center"/>
                    <w:rPr>
                      <w:snapToGrid w:val="0"/>
                      <w:color w:val="auto"/>
                      <w:szCs w:val="21"/>
                      <w:highlight w:val="none"/>
                    </w:rPr>
                  </w:pPr>
                  <w:r>
                    <w:rPr>
                      <w:snapToGrid w:val="0"/>
                      <w:color w:val="auto"/>
                      <w:szCs w:val="21"/>
                      <w:highlight w:val="none"/>
                    </w:rPr>
                    <w:t>2</w:t>
                  </w:r>
                  <w:r>
                    <w:rPr>
                      <w:rFonts w:hint="eastAsia"/>
                      <w:snapToGrid w:val="0"/>
                      <w:color w:val="auto"/>
                      <w:szCs w:val="21"/>
                      <w:highlight w:val="none"/>
                    </w:rPr>
                    <w:t>2</w:t>
                  </w:r>
                  <w:r>
                    <w:rPr>
                      <w:snapToGrid w:val="0"/>
                      <w:color w:val="auto"/>
                      <w:szCs w:val="21"/>
                      <w:highlight w:val="none"/>
                    </w:rPr>
                    <w:t>.</w:t>
                  </w:r>
                  <w:r>
                    <w:rPr>
                      <w:rFonts w:hint="eastAsia"/>
                      <w:snapToGrid w:val="0"/>
                      <w:color w:val="auto"/>
                      <w:szCs w:val="21"/>
                      <w:highlight w:val="none"/>
                    </w:rPr>
                    <w:t>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vAlign w:val="center"/>
                </w:tcPr>
                <w:p>
                  <w:pPr>
                    <w:adjustRightInd w:val="0"/>
                    <w:snapToGrid w:val="0"/>
                    <w:jc w:val="center"/>
                    <w:rPr>
                      <w:snapToGrid w:val="0"/>
                      <w:color w:val="auto"/>
                      <w:szCs w:val="21"/>
                      <w:highlight w:val="none"/>
                    </w:rPr>
                  </w:pPr>
                  <w:r>
                    <w:rPr>
                      <w:snapToGrid w:val="0"/>
                      <w:color w:val="auto"/>
                      <w:szCs w:val="21"/>
                      <w:highlight w:val="none"/>
                    </w:rPr>
                    <w:t>极端最高气温（</w:t>
                  </w:r>
                  <w:r>
                    <w:rPr>
                      <w:rFonts w:hint="eastAsia"/>
                      <w:snapToGrid w:val="0"/>
                      <w:color w:val="auto"/>
                      <w:szCs w:val="21"/>
                      <w:highlight w:val="none"/>
                    </w:rPr>
                    <w:t>℃</w:t>
                  </w:r>
                  <w:r>
                    <w:rPr>
                      <w:snapToGrid w:val="0"/>
                      <w:color w:val="auto"/>
                      <w:szCs w:val="21"/>
                      <w:highlight w:val="none"/>
                    </w:rPr>
                    <w:t>）及出现的时间</w:t>
                  </w:r>
                </w:p>
              </w:tc>
              <w:tc>
                <w:tcPr>
                  <w:tcW w:w="4787" w:type="dxa"/>
                  <w:vAlign w:val="center"/>
                </w:tcPr>
                <w:p>
                  <w:pPr>
                    <w:adjustRightInd w:val="0"/>
                    <w:snapToGrid w:val="0"/>
                    <w:jc w:val="center"/>
                    <w:rPr>
                      <w:snapToGrid w:val="0"/>
                      <w:color w:val="auto"/>
                      <w:szCs w:val="21"/>
                      <w:highlight w:val="none"/>
                    </w:rPr>
                  </w:pPr>
                  <w:r>
                    <w:rPr>
                      <w:snapToGrid w:val="0"/>
                      <w:color w:val="auto"/>
                      <w:szCs w:val="21"/>
                      <w:highlight w:val="none"/>
                    </w:rPr>
                    <w:t>39.4</w:t>
                  </w:r>
                </w:p>
                <w:p>
                  <w:pPr>
                    <w:adjustRightInd w:val="0"/>
                    <w:snapToGrid w:val="0"/>
                    <w:jc w:val="center"/>
                    <w:rPr>
                      <w:snapToGrid w:val="0"/>
                      <w:color w:val="auto"/>
                      <w:szCs w:val="21"/>
                      <w:highlight w:val="none"/>
                    </w:rPr>
                  </w:pPr>
                  <w:r>
                    <w:rPr>
                      <w:snapToGrid w:val="0"/>
                      <w:color w:val="auto"/>
                      <w:szCs w:val="21"/>
                      <w:highlight w:val="none"/>
                    </w:rPr>
                    <w:t>出现时间：2004年7月1日、2005年7月19日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vAlign w:val="center"/>
                </w:tcPr>
                <w:p>
                  <w:pPr>
                    <w:adjustRightInd w:val="0"/>
                    <w:snapToGrid w:val="0"/>
                    <w:jc w:val="center"/>
                    <w:rPr>
                      <w:snapToGrid w:val="0"/>
                      <w:color w:val="auto"/>
                      <w:szCs w:val="21"/>
                      <w:highlight w:val="none"/>
                    </w:rPr>
                  </w:pPr>
                  <w:r>
                    <w:rPr>
                      <w:snapToGrid w:val="0"/>
                      <w:color w:val="auto"/>
                      <w:szCs w:val="21"/>
                      <w:highlight w:val="none"/>
                    </w:rPr>
                    <w:t>极端最低气温（</w:t>
                  </w:r>
                  <w:r>
                    <w:rPr>
                      <w:rFonts w:hint="eastAsia"/>
                      <w:snapToGrid w:val="0"/>
                      <w:color w:val="auto"/>
                      <w:szCs w:val="21"/>
                      <w:highlight w:val="none"/>
                    </w:rPr>
                    <w:t>℃</w:t>
                  </w:r>
                  <w:r>
                    <w:rPr>
                      <w:snapToGrid w:val="0"/>
                      <w:color w:val="auto"/>
                      <w:szCs w:val="21"/>
                      <w:highlight w:val="none"/>
                    </w:rPr>
                    <w:t>）及出现的时间</w:t>
                  </w:r>
                </w:p>
              </w:tc>
              <w:tc>
                <w:tcPr>
                  <w:tcW w:w="4787" w:type="dxa"/>
                  <w:vAlign w:val="center"/>
                </w:tcPr>
                <w:p>
                  <w:pPr>
                    <w:adjustRightInd w:val="0"/>
                    <w:snapToGrid w:val="0"/>
                    <w:jc w:val="center"/>
                    <w:rPr>
                      <w:snapToGrid w:val="0"/>
                      <w:color w:val="auto"/>
                      <w:szCs w:val="21"/>
                      <w:highlight w:val="none"/>
                    </w:rPr>
                  </w:pPr>
                  <w:r>
                    <w:rPr>
                      <w:snapToGrid w:val="0"/>
                      <w:color w:val="auto"/>
                      <w:szCs w:val="21"/>
                      <w:highlight w:val="none"/>
                    </w:rPr>
                    <w:t>1.5</w:t>
                  </w:r>
                </w:p>
                <w:p>
                  <w:pPr>
                    <w:adjustRightInd w:val="0"/>
                    <w:snapToGrid w:val="0"/>
                    <w:jc w:val="center"/>
                    <w:rPr>
                      <w:snapToGrid w:val="0"/>
                      <w:color w:val="auto"/>
                      <w:szCs w:val="21"/>
                      <w:highlight w:val="none"/>
                    </w:rPr>
                  </w:pPr>
                  <w:r>
                    <w:rPr>
                      <w:snapToGrid w:val="0"/>
                      <w:color w:val="auto"/>
                      <w:szCs w:val="21"/>
                      <w:highlight w:val="none"/>
                    </w:rPr>
                    <w:t>出现时间：2010年12月17日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vAlign w:val="center"/>
                </w:tcPr>
                <w:p>
                  <w:pPr>
                    <w:adjustRightInd w:val="0"/>
                    <w:snapToGrid w:val="0"/>
                    <w:jc w:val="center"/>
                    <w:rPr>
                      <w:snapToGrid w:val="0"/>
                      <w:color w:val="auto"/>
                      <w:szCs w:val="21"/>
                      <w:highlight w:val="none"/>
                    </w:rPr>
                  </w:pPr>
                  <w:r>
                    <w:rPr>
                      <w:snapToGrid w:val="0"/>
                      <w:color w:val="auto"/>
                      <w:szCs w:val="21"/>
                      <w:highlight w:val="none"/>
                    </w:rPr>
                    <w:t>年平均相对湿度（%）</w:t>
                  </w:r>
                </w:p>
              </w:tc>
              <w:tc>
                <w:tcPr>
                  <w:tcW w:w="4787" w:type="dxa"/>
                  <w:vAlign w:val="center"/>
                </w:tcPr>
                <w:p>
                  <w:pPr>
                    <w:adjustRightInd w:val="0"/>
                    <w:snapToGrid w:val="0"/>
                    <w:jc w:val="center"/>
                    <w:rPr>
                      <w:snapToGrid w:val="0"/>
                      <w:color w:val="auto"/>
                      <w:szCs w:val="21"/>
                      <w:highlight w:val="none"/>
                    </w:rPr>
                  </w:pPr>
                  <w:r>
                    <w:rPr>
                      <w:snapToGrid w:val="0"/>
                      <w:color w:val="auto"/>
                      <w:szCs w:val="21"/>
                      <w:highlight w:val="none"/>
                    </w:rPr>
                    <w:t>77</w:t>
                  </w:r>
                  <w:r>
                    <w:rPr>
                      <w:rFonts w:hint="eastAsia"/>
                      <w:snapToGrid w:val="0"/>
                      <w:color w:val="auto"/>
                      <w:szCs w:val="21"/>
                      <w:highlight w:val="none"/>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vAlign w:val="center"/>
                </w:tcPr>
                <w:p>
                  <w:pPr>
                    <w:adjustRightInd w:val="0"/>
                    <w:snapToGrid w:val="0"/>
                    <w:jc w:val="center"/>
                    <w:rPr>
                      <w:snapToGrid w:val="0"/>
                      <w:color w:val="auto"/>
                      <w:szCs w:val="21"/>
                      <w:highlight w:val="none"/>
                    </w:rPr>
                  </w:pPr>
                  <w:r>
                    <w:rPr>
                      <w:snapToGrid w:val="0"/>
                      <w:color w:val="auto"/>
                      <w:szCs w:val="21"/>
                      <w:highlight w:val="none"/>
                    </w:rPr>
                    <w:t>年均降水量（mm）</w:t>
                  </w:r>
                </w:p>
              </w:tc>
              <w:tc>
                <w:tcPr>
                  <w:tcW w:w="4787" w:type="dxa"/>
                  <w:vAlign w:val="center"/>
                </w:tcPr>
                <w:p>
                  <w:pPr>
                    <w:adjustRightInd w:val="0"/>
                    <w:snapToGrid w:val="0"/>
                    <w:jc w:val="center"/>
                    <w:rPr>
                      <w:snapToGrid w:val="0"/>
                      <w:color w:val="auto"/>
                      <w:szCs w:val="21"/>
                      <w:highlight w:val="none"/>
                    </w:rPr>
                  </w:pPr>
                  <w:r>
                    <w:rPr>
                      <w:snapToGrid w:val="0"/>
                      <w:color w:val="auto"/>
                      <w:szCs w:val="21"/>
                      <w:highlight w:val="none"/>
                    </w:rPr>
                    <w:t>1945.35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vAlign w:val="center"/>
                </w:tcPr>
                <w:p>
                  <w:pPr>
                    <w:adjustRightInd w:val="0"/>
                    <w:snapToGrid w:val="0"/>
                    <w:jc w:val="center"/>
                    <w:rPr>
                      <w:snapToGrid w:val="0"/>
                      <w:color w:val="auto"/>
                      <w:szCs w:val="21"/>
                      <w:highlight w:val="none"/>
                    </w:rPr>
                  </w:pPr>
                  <w:r>
                    <w:rPr>
                      <w:rFonts w:hint="eastAsia"/>
                      <w:snapToGrid w:val="0"/>
                      <w:color w:val="auto"/>
                      <w:szCs w:val="21"/>
                      <w:highlight w:val="none"/>
                    </w:rPr>
                    <w:t>多年平均最大日降水量</w:t>
                  </w:r>
                  <w:r>
                    <w:rPr>
                      <w:snapToGrid w:val="0"/>
                      <w:color w:val="auto"/>
                      <w:szCs w:val="21"/>
                      <w:highlight w:val="none"/>
                    </w:rPr>
                    <w:t>及出现的时间</w:t>
                  </w:r>
                </w:p>
              </w:tc>
              <w:tc>
                <w:tcPr>
                  <w:tcW w:w="4787" w:type="dxa"/>
                  <w:vAlign w:val="center"/>
                </w:tcPr>
                <w:p>
                  <w:pPr>
                    <w:adjustRightInd w:val="0"/>
                    <w:snapToGrid w:val="0"/>
                    <w:jc w:val="center"/>
                    <w:rPr>
                      <w:snapToGrid w:val="0"/>
                      <w:color w:val="auto"/>
                      <w:szCs w:val="21"/>
                      <w:highlight w:val="none"/>
                    </w:rPr>
                  </w:pPr>
                  <w:r>
                    <w:rPr>
                      <w:snapToGrid w:val="0"/>
                      <w:color w:val="auto"/>
                      <w:szCs w:val="21"/>
                      <w:highlight w:val="none"/>
                    </w:rPr>
                    <w:t>最大值：</w:t>
                  </w:r>
                  <w:r>
                    <w:rPr>
                      <w:rFonts w:hint="eastAsia"/>
                      <w:snapToGrid w:val="0"/>
                      <w:color w:val="auto"/>
                      <w:szCs w:val="21"/>
                      <w:highlight w:val="none"/>
                    </w:rPr>
                    <w:t>287</w:t>
                  </w:r>
                  <w:r>
                    <w:rPr>
                      <w:snapToGrid w:val="0"/>
                      <w:color w:val="auto"/>
                      <w:szCs w:val="21"/>
                      <w:highlight w:val="none"/>
                    </w:rPr>
                    <w:t>mm  出现时间：</w:t>
                  </w:r>
                  <w:r>
                    <w:rPr>
                      <w:rFonts w:hint="eastAsia"/>
                      <w:snapToGrid w:val="0"/>
                      <w:color w:val="auto"/>
                      <w:szCs w:val="21"/>
                      <w:highlight w:val="none"/>
                    </w:rPr>
                    <w:t>1999</w:t>
                  </w:r>
                  <w:r>
                    <w:rPr>
                      <w:snapToGrid w:val="0"/>
                      <w:color w:val="auto"/>
                      <w:szCs w:val="21"/>
                      <w:highlight w:val="none"/>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vAlign w:val="center"/>
                </w:tcPr>
                <w:p>
                  <w:pPr>
                    <w:adjustRightInd w:val="0"/>
                    <w:snapToGrid w:val="0"/>
                    <w:jc w:val="center"/>
                    <w:rPr>
                      <w:snapToGrid w:val="0"/>
                      <w:color w:val="auto"/>
                      <w:szCs w:val="21"/>
                      <w:highlight w:val="none"/>
                    </w:rPr>
                  </w:pPr>
                  <w:r>
                    <w:rPr>
                      <w:rFonts w:hint="eastAsia"/>
                      <w:snapToGrid w:val="0"/>
                      <w:color w:val="auto"/>
                      <w:szCs w:val="21"/>
                      <w:highlight w:val="none"/>
                    </w:rPr>
                    <w:t>年平均降水日数（d）</w:t>
                  </w:r>
                </w:p>
              </w:tc>
              <w:tc>
                <w:tcPr>
                  <w:tcW w:w="4787" w:type="dxa"/>
                  <w:vAlign w:val="center"/>
                </w:tcPr>
                <w:p>
                  <w:pPr>
                    <w:adjustRightInd w:val="0"/>
                    <w:snapToGrid w:val="0"/>
                    <w:jc w:val="center"/>
                    <w:rPr>
                      <w:snapToGrid w:val="0"/>
                      <w:color w:val="auto"/>
                      <w:szCs w:val="21"/>
                      <w:highlight w:val="none"/>
                    </w:rPr>
                  </w:pPr>
                  <w:r>
                    <w:rPr>
                      <w:snapToGrid w:val="0"/>
                      <w:color w:val="auto"/>
                      <w:szCs w:val="21"/>
                      <w:highlight w:val="none"/>
                    </w:rPr>
                    <w:t>151.37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vAlign w:val="center"/>
                </w:tcPr>
                <w:p>
                  <w:pPr>
                    <w:adjustRightInd w:val="0"/>
                    <w:snapToGrid w:val="0"/>
                    <w:jc w:val="center"/>
                    <w:rPr>
                      <w:snapToGrid w:val="0"/>
                      <w:color w:val="auto"/>
                      <w:szCs w:val="21"/>
                      <w:highlight w:val="none"/>
                    </w:rPr>
                  </w:pPr>
                  <w:r>
                    <w:rPr>
                      <w:snapToGrid w:val="0"/>
                      <w:color w:val="auto"/>
                      <w:szCs w:val="21"/>
                      <w:highlight w:val="none"/>
                    </w:rPr>
                    <w:t>年平均日照时数（h）</w:t>
                  </w:r>
                </w:p>
              </w:tc>
              <w:tc>
                <w:tcPr>
                  <w:tcW w:w="4787" w:type="dxa"/>
                  <w:vAlign w:val="center"/>
                </w:tcPr>
                <w:p>
                  <w:pPr>
                    <w:adjustRightInd w:val="0"/>
                    <w:snapToGrid w:val="0"/>
                    <w:jc w:val="center"/>
                    <w:rPr>
                      <w:snapToGrid w:val="0"/>
                      <w:color w:val="auto"/>
                      <w:szCs w:val="21"/>
                      <w:highlight w:val="none"/>
                    </w:rPr>
                  </w:pPr>
                  <w:r>
                    <w:rPr>
                      <w:snapToGrid w:val="0"/>
                      <w:color w:val="auto"/>
                      <w:szCs w:val="21"/>
                      <w:highlight w:val="none"/>
                    </w:rPr>
                    <w:t>1696.7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vAlign w:val="center"/>
                </w:tcPr>
                <w:p>
                  <w:pPr>
                    <w:adjustRightInd w:val="0"/>
                    <w:snapToGrid w:val="0"/>
                    <w:spacing w:line="360" w:lineRule="auto"/>
                    <w:jc w:val="center"/>
                    <w:rPr>
                      <w:snapToGrid w:val="0"/>
                      <w:color w:val="auto"/>
                      <w:szCs w:val="21"/>
                      <w:highlight w:val="none"/>
                    </w:rPr>
                  </w:pPr>
                  <w:r>
                    <w:rPr>
                      <w:rFonts w:hint="eastAsia"/>
                      <w:snapToGrid w:val="0"/>
                      <w:color w:val="auto"/>
                      <w:szCs w:val="21"/>
                      <w:highlight w:val="none"/>
                    </w:rPr>
                    <w:t>近五年（2</w:t>
                  </w:r>
                  <w:r>
                    <w:rPr>
                      <w:snapToGrid w:val="0"/>
                      <w:color w:val="auto"/>
                      <w:szCs w:val="21"/>
                      <w:highlight w:val="none"/>
                    </w:rPr>
                    <w:t>01</w:t>
                  </w:r>
                  <w:r>
                    <w:rPr>
                      <w:rFonts w:hint="eastAsia"/>
                      <w:snapToGrid w:val="0"/>
                      <w:color w:val="auto"/>
                      <w:szCs w:val="21"/>
                      <w:highlight w:val="none"/>
                    </w:rPr>
                    <w:t>3~</w:t>
                  </w:r>
                  <w:r>
                    <w:rPr>
                      <w:snapToGrid w:val="0"/>
                      <w:color w:val="auto"/>
                      <w:szCs w:val="21"/>
                      <w:highlight w:val="none"/>
                    </w:rPr>
                    <w:t>201</w:t>
                  </w:r>
                  <w:r>
                    <w:rPr>
                      <w:rFonts w:hint="eastAsia"/>
                      <w:snapToGrid w:val="0"/>
                      <w:color w:val="auto"/>
                      <w:szCs w:val="21"/>
                      <w:highlight w:val="none"/>
                    </w:rPr>
                    <w:t>8年）平均风速（m/</w:t>
                  </w:r>
                  <w:r>
                    <w:rPr>
                      <w:snapToGrid w:val="0"/>
                      <w:color w:val="auto"/>
                      <w:szCs w:val="21"/>
                      <w:highlight w:val="none"/>
                    </w:rPr>
                    <w:t>s</w:t>
                  </w:r>
                  <w:r>
                    <w:rPr>
                      <w:rFonts w:hint="eastAsia"/>
                      <w:snapToGrid w:val="0"/>
                      <w:color w:val="auto"/>
                      <w:szCs w:val="21"/>
                      <w:highlight w:val="none"/>
                    </w:rPr>
                    <w:t>）</w:t>
                  </w:r>
                </w:p>
              </w:tc>
              <w:tc>
                <w:tcPr>
                  <w:tcW w:w="4787" w:type="dxa"/>
                  <w:vAlign w:val="center"/>
                </w:tcPr>
                <w:p>
                  <w:pPr>
                    <w:adjustRightInd w:val="0"/>
                    <w:snapToGrid w:val="0"/>
                    <w:spacing w:line="360" w:lineRule="auto"/>
                    <w:jc w:val="center"/>
                    <w:rPr>
                      <w:snapToGrid w:val="0"/>
                      <w:color w:val="auto"/>
                      <w:szCs w:val="21"/>
                      <w:highlight w:val="none"/>
                    </w:rPr>
                  </w:pPr>
                  <w:r>
                    <w:rPr>
                      <w:rFonts w:hint="eastAsia"/>
                      <w:snapToGrid w:val="0"/>
                      <w:color w:val="auto"/>
                      <w:szCs w:val="21"/>
                      <w:highlight w:val="none"/>
                    </w:rPr>
                    <w:t>1.95</w:t>
                  </w:r>
                </w:p>
              </w:tc>
            </w:tr>
          </w:tbl>
          <w:p>
            <w:pPr>
              <w:widowControl/>
              <w:adjustRightInd w:val="0"/>
              <w:snapToGrid w:val="0"/>
              <w:spacing w:line="360" w:lineRule="auto"/>
              <w:ind w:firstLine="482" w:firstLineChars="200"/>
              <w:rPr>
                <w:b/>
                <w:bCs/>
                <w:color w:val="auto"/>
                <w:szCs w:val="21"/>
                <w:highlight w:val="none"/>
              </w:rPr>
            </w:pPr>
            <w:r>
              <w:rPr>
                <w:b/>
                <w:bCs/>
                <w:color w:val="auto"/>
                <w:sz w:val="24"/>
                <w:highlight w:val="none"/>
              </w:rPr>
              <w:t>3、</w:t>
            </w:r>
            <w:r>
              <w:rPr>
                <w:rFonts w:hint="eastAsia"/>
                <w:b/>
                <w:bCs/>
                <w:color w:val="auto"/>
                <w:sz w:val="24"/>
                <w:highlight w:val="none"/>
              </w:rPr>
              <w:t>水文水系特征</w:t>
            </w:r>
          </w:p>
          <w:p>
            <w:pPr>
              <w:pStyle w:val="37"/>
              <w:spacing w:before="0" w:beforeAutospacing="0" w:after="0" w:afterAutospacing="0" w:line="360" w:lineRule="auto"/>
              <w:ind w:firstLine="352" w:firstLineChars="147"/>
              <w:rPr>
                <w:rFonts w:ascii="Times New Roman" w:hAnsi="Times New Roman" w:cs="Times New Roman"/>
                <w:color w:val="auto"/>
                <w:szCs w:val="21"/>
                <w:highlight w:val="none"/>
              </w:rPr>
            </w:pPr>
            <w:r>
              <w:rPr>
                <w:rFonts w:ascii="Times New Roman" w:hAnsi="Times New Roman" w:cs="Times New Roman"/>
                <w:color w:val="auto"/>
                <w:szCs w:val="21"/>
                <w:highlight w:val="none"/>
              </w:rPr>
              <w:t>开平市内主要水系为潭江。潭江是珠三角水系的Ⅰ级支流，主流发源于阳江市阳东县牛围岭，与莲塘水汇合入境，经百合、三埠、水口入新会市境，直泻珠江三角河口区，向崖门奔注南海。潭江全长248km，流域面积5068km</w:t>
            </w:r>
            <w:r>
              <w:rPr>
                <w:rFonts w:ascii="Times New Roman" w:hAnsi="Times New Roman" w:cs="Times New Roman"/>
                <w:color w:val="auto"/>
                <w:szCs w:val="21"/>
                <w:highlight w:val="none"/>
                <w:vertAlign w:val="superscript"/>
              </w:rPr>
              <w:t>2</w:t>
            </w:r>
            <w:r>
              <w:rPr>
                <w:rFonts w:ascii="Times New Roman" w:hAnsi="Times New Roman" w:cs="Times New Roman"/>
                <w:color w:val="auto"/>
                <w:szCs w:val="21"/>
                <w:highlight w:val="none"/>
              </w:rPr>
              <w:t>；在开平境内河长56km，流域面积1580km</w:t>
            </w:r>
            <w:r>
              <w:rPr>
                <w:rFonts w:ascii="Times New Roman" w:hAnsi="Times New Roman" w:cs="Times New Roman"/>
                <w:color w:val="auto"/>
                <w:szCs w:val="21"/>
                <w:highlight w:val="none"/>
                <w:vertAlign w:val="superscript"/>
              </w:rPr>
              <w:t>2</w:t>
            </w:r>
            <w:r>
              <w:rPr>
                <w:rFonts w:ascii="Times New Roman" w:hAnsi="Times New Roman" w:cs="Times New Roman"/>
                <w:color w:val="auto"/>
                <w:szCs w:val="21"/>
                <w:highlight w:val="none"/>
              </w:rPr>
              <w:t>，全河平均坡降为0.45％。上游多高山峻岭，坡急流，山林较茂密，植被较好；中下游地势较为平坦开阔，坡度平缓，河道较为弯曲，低水时河沿沙洲毕露，从赤坎到三埠，比较大的江心洲有河南洲、羊咩洲、滘堤洲、祥龙洲、海心洲、长沙洲、沙皇洲等。潭江常年受潮汐影响，属弱径流强潮流的河道。据长沙、石咀、三江口、黄冲四水位站资料统计分析，潭江潮汐作用较强，而径流影响亦不可忽略。四站历年平均潮差依次为，涨潮：2.96m、3.09m、2.94m、2.59m，落潮：2.76m、2.88m、2.85m、2.75m，上游大于下游。</w:t>
            </w:r>
          </w:p>
          <w:p>
            <w:pPr>
              <w:pStyle w:val="37"/>
              <w:spacing w:before="0" w:beforeAutospacing="0" w:after="0" w:afterAutospacing="0" w:line="360" w:lineRule="auto"/>
              <w:ind w:firstLine="352" w:firstLineChars="147"/>
              <w:rPr>
                <w:rFonts w:ascii="Times New Roman" w:hAnsi="Times New Roman" w:cs="Times New Roman"/>
                <w:color w:val="auto"/>
                <w:szCs w:val="21"/>
                <w:highlight w:val="none"/>
              </w:rPr>
            </w:pPr>
            <w:r>
              <w:rPr>
                <w:rFonts w:ascii="Times New Roman" w:hAnsi="Times New Roman" w:cs="Times New Roman"/>
                <w:color w:val="auto"/>
                <w:szCs w:val="21"/>
                <w:highlight w:val="none"/>
              </w:rPr>
              <w:t>潭江地处暴雨区，汛期洪水峰高量大；枯水期则因径流量不大，河床逐年淤积，通航能力较差。三埠镇以下可通航600 吨的机动船，可直通广州、江门、香港和澳门。潭江干流水位变幅一般在2 米到9 米之间。据潢步水文站1956 年到1959 年实测资料统计，多年平均年径流量为21.29 亿m</w:t>
            </w:r>
            <w:r>
              <w:rPr>
                <w:rFonts w:ascii="Times New Roman" w:hAnsi="Times New Roman" w:cs="Times New Roman"/>
                <w:color w:val="auto"/>
                <w:szCs w:val="21"/>
                <w:highlight w:val="none"/>
                <w:vertAlign w:val="superscript"/>
              </w:rPr>
              <w:t>3</w:t>
            </w:r>
            <w:r>
              <w:rPr>
                <w:rFonts w:ascii="Times New Roman" w:hAnsi="Times New Roman" w:cs="Times New Roman"/>
                <w:color w:val="auto"/>
                <w:szCs w:val="21"/>
                <w:highlight w:val="none"/>
              </w:rPr>
              <w:t>，最大洪峰流量2870m</w:t>
            </w:r>
            <w:r>
              <w:rPr>
                <w:rFonts w:ascii="Times New Roman" w:hAnsi="Times New Roman" w:cs="Times New Roman"/>
                <w:color w:val="auto"/>
                <w:szCs w:val="21"/>
                <w:highlight w:val="none"/>
                <w:vertAlign w:val="superscript"/>
              </w:rPr>
              <w:t>3</w:t>
            </w:r>
            <w:r>
              <w:rPr>
                <w:rFonts w:ascii="Times New Roman" w:hAnsi="Times New Roman" w:cs="Times New Roman"/>
                <w:color w:val="auto"/>
                <w:szCs w:val="21"/>
                <w:highlight w:val="none"/>
              </w:rPr>
              <w:t>/s（1968 年5 月）。最小枯水流量为0.003 m</w:t>
            </w:r>
            <w:r>
              <w:rPr>
                <w:rFonts w:ascii="Times New Roman" w:hAnsi="Times New Roman" w:cs="Times New Roman"/>
                <w:color w:val="auto"/>
                <w:szCs w:val="21"/>
                <w:highlight w:val="none"/>
                <w:vertAlign w:val="superscript"/>
              </w:rPr>
              <w:t>3</w:t>
            </w:r>
            <w:r>
              <w:rPr>
                <w:rFonts w:ascii="Times New Roman" w:hAnsi="Times New Roman" w:cs="Times New Roman"/>
                <w:color w:val="auto"/>
                <w:szCs w:val="21"/>
                <w:highlight w:val="none"/>
              </w:rPr>
              <w:t>/s（1960年3 月），多年平均含沙量0.108kg/m</w:t>
            </w:r>
            <w:r>
              <w:rPr>
                <w:rFonts w:ascii="Times New Roman" w:hAnsi="Times New Roman" w:cs="Times New Roman"/>
                <w:color w:val="auto"/>
                <w:szCs w:val="21"/>
                <w:highlight w:val="none"/>
                <w:vertAlign w:val="superscript"/>
              </w:rPr>
              <w:t>3</w:t>
            </w:r>
            <w:r>
              <w:rPr>
                <w:rFonts w:ascii="Times New Roman" w:hAnsi="Times New Roman" w:cs="Times New Roman"/>
                <w:color w:val="auto"/>
                <w:szCs w:val="21"/>
                <w:highlight w:val="none"/>
              </w:rPr>
              <w:t>，多年平均悬移质输沙量23 万吨，多年平均枯水量4.37m</w:t>
            </w:r>
            <w:r>
              <w:rPr>
                <w:rFonts w:ascii="Times New Roman" w:hAnsi="Times New Roman" w:cs="Times New Roman"/>
                <w:color w:val="auto"/>
                <w:szCs w:val="21"/>
                <w:highlight w:val="none"/>
                <w:vertAlign w:val="superscript"/>
              </w:rPr>
              <w:t>3</w:t>
            </w:r>
            <w:r>
              <w:rPr>
                <w:rFonts w:ascii="Times New Roman" w:hAnsi="Times New Roman" w:cs="Times New Roman"/>
                <w:color w:val="auto"/>
                <w:szCs w:val="21"/>
                <w:highlight w:val="none"/>
              </w:rPr>
              <w:t>/s，最高水位9.88m，最低水量0.95m。</w:t>
            </w:r>
          </w:p>
          <w:p>
            <w:pPr>
              <w:pStyle w:val="37"/>
              <w:spacing w:before="0" w:beforeAutospacing="0" w:after="0" w:afterAutospacing="0" w:line="360" w:lineRule="auto"/>
              <w:ind w:firstLine="352" w:firstLineChars="147"/>
              <w:rPr>
                <w:rFonts w:ascii="Times New Roman" w:hAnsi="Times New Roman" w:cs="Times New Roman"/>
                <w:color w:val="auto"/>
                <w:szCs w:val="21"/>
                <w:highlight w:val="none"/>
              </w:rPr>
            </w:pPr>
            <w:r>
              <w:rPr>
                <w:rFonts w:ascii="Times New Roman" w:hAnsi="Times New Roman" w:cs="Times New Roman"/>
                <w:color w:val="auto"/>
                <w:szCs w:val="21"/>
                <w:highlight w:val="none"/>
              </w:rPr>
              <w:t>开平境内潭江的主要支流包括镇海水、新昌水、新桥水、公益水、白沙水和蚬岗水等。</w:t>
            </w:r>
          </w:p>
          <w:p>
            <w:pPr>
              <w:pStyle w:val="37"/>
              <w:spacing w:before="0" w:beforeAutospacing="0" w:after="0" w:afterAutospacing="0" w:line="360" w:lineRule="auto"/>
              <w:ind w:firstLine="354" w:firstLineChars="147"/>
              <w:rPr>
                <w:rFonts w:ascii="Times New Roman" w:hAnsi="Times New Roman" w:cs="Times New Roman"/>
                <w:b/>
                <w:bCs/>
                <w:color w:val="auto"/>
                <w:szCs w:val="21"/>
                <w:highlight w:val="none"/>
              </w:rPr>
            </w:pPr>
            <w:r>
              <w:rPr>
                <w:rFonts w:hint="eastAsia" w:ascii="Times New Roman" w:hAnsi="Times New Roman" w:cs="Times New Roman"/>
                <w:b/>
                <w:bCs/>
                <w:color w:val="auto"/>
                <w:szCs w:val="21"/>
                <w:highlight w:val="none"/>
              </w:rPr>
              <w:t>4、自然资源、土壤与植被</w:t>
            </w:r>
          </w:p>
          <w:p>
            <w:pPr>
              <w:pStyle w:val="37"/>
              <w:spacing w:before="0" w:beforeAutospacing="0" w:after="0" w:afterAutospacing="0" w:line="360" w:lineRule="auto"/>
              <w:ind w:firstLine="352" w:firstLineChars="147"/>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开平市矿产资源丰富，矿产资源已探明和开采的有铁、锰、铜、锡、金、铀、煤、独硅石、耐火石、钾长石等 33 种。</w:t>
            </w:r>
          </w:p>
          <w:p>
            <w:pPr>
              <w:pStyle w:val="37"/>
              <w:spacing w:before="0" w:beforeAutospacing="0" w:after="0" w:afterAutospacing="0" w:line="360" w:lineRule="auto"/>
              <w:ind w:firstLine="352" w:firstLineChars="147"/>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开平市生物资源种类繁多。植物方面有种子植物和蕨类植物，主要代表科有壳斗科、山茶科、木兰科、樟科、桑科、蝶形花科、梧桐科、苏木科、桃金娘科、山龙眼科和芭蕉科等。动物方面主要是鸟、鱼、虫、兽。常见的珍稀动物有穿山甲、大头龟、果子狸、猴面鹰。较多的野生动物有山猪、石蛤、鳖、蛇、鹧鸪、坑螺等。</w:t>
            </w:r>
          </w:p>
          <w:p>
            <w:pPr>
              <w:pStyle w:val="37"/>
              <w:spacing w:before="0" w:beforeAutospacing="0" w:after="0" w:afterAutospacing="0" w:line="360" w:lineRule="auto"/>
              <w:ind w:firstLine="352" w:firstLineChars="147"/>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项目所在区域的土壤属冲积泥沙土壤和冲积黄红壤；周围植被主要为亚热带、热带的树种。乔木主要有松科、杉科、樟科、木麻黄科等。草被以芒萁为主，蕨类次之，常见芒萁群和马尾松、岗松、小叶樟、大叶樟、鸭脚木、乌桕、荷木、桃金娘、野牡丹和算盘子等。</w:t>
            </w: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p>
            <w:pPr>
              <w:pStyle w:val="37"/>
              <w:spacing w:before="0" w:beforeAutospacing="0" w:after="0" w:afterAutospacing="0" w:line="360" w:lineRule="auto"/>
              <w:ind w:firstLine="352" w:firstLineChars="147"/>
              <w:rPr>
                <w:color w:val="auto"/>
                <w:highlight w:val="none"/>
              </w:rPr>
            </w:pPr>
          </w:p>
        </w:tc>
      </w:tr>
    </w:tbl>
    <w:p>
      <w:pPr>
        <w:spacing w:line="300" w:lineRule="auto"/>
        <w:ind w:firstLine="454"/>
        <w:rPr>
          <w:color w:val="auto"/>
          <w:sz w:val="28"/>
          <w:highlight w:val="none"/>
        </w:rPr>
        <w:sectPr>
          <w:headerReference r:id="rId10" w:type="default"/>
          <w:footerReference r:id="rId11" w:type="default"/>
          <w:pgSz w:w="11907" w:h="16840"/>
          <w:pgMar w:top="1531" w:right="1134" w:bottom="1134" w:left="1418" w:header="907" w:footer="907" w:gutter="0"/>
          <w:cols w:space="720" w:num="1"/>
          <w:titlePg/>
          <w:docGrid w:linePitch="326" w:charSpace="-4916"/>
        </w:sectPr>
      </w:pPr>
    </w:p>
    <w:tbl>
      <w:tblPr>
        <w:tblStyle w:val="40"/>
        <w:tblW w:w="9571"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57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155" w:hRule="atLeast"/>
        </w:trPr>
        <w:tc>
          <w:tcPr>
            <w:tcW w:w="9571" w:type="dxa"/>
            <w:tcBorders>
              <w:top w:val="single" w:color="auto" w:sz="4" w:space="0"/>
            </w:tcBorders>
            <w:vAlign w:val="center"/>
          </w:tcPr>
          <w:p>
            <w:pPr>
              <w:tabs>
                <w:tab w:val="left" w:pos="6600"/>
              </w:tabs>
              <w:spacing w:before="120" w:line="300" w:lineRule="auto"/>
              <w:rPr>
                <w:b/>
                <w:bCs/>
                <w:color w:val="auto"/>
                <w:sz w:val="28"/>
                <w:szCs w:val="28"/>
                <w:highlight w:val="none"/>
              </w:rPr>
            </w:pPr>
            <w:r>
              <w:rPr>
                <w:b/>
                <w:color w:val="auto"/>
                <w:sz w:val="28"/>
                <w:szCs w:val="28"/>
                <w:highlight w:val="none"/>
              </w:rPr>
              <w:t>项目所在地环境功能属性如下表所列：</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hint="eastAsia" w:eastAsia="宋体" w:cs="Times New Roman"/>
                <w:b/>
                <w:color w:val="auto"/>
                <w:sz w:val="21"/>
                <w:szCs w:val="21"/>
                <w:highlight w:val="none"/>
              </w:rPr>
              <w:t>建设项目所在地环境功能属性表</w:t>
            </w:r>
          </w:p>
          <w:tbl>
            <w:tblPr>
              <w:tblStyle w:val="40"/>
              <w:tblW w:w="90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8"/>
              <w:gridCol w:w="3038"/>
              <w:gridCol w:w="5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highlight w:val="none"/>
                    </w:rPr>
                  </w:pPr>
                  <w:r>
                    <w:rPr>
                      <w:color w:val="auto"/>
                      <w:szCs w:val="21"/>
                      <w:highlight w:val="none"/>
                    </w:rPr>
                    <w:t>编号</w:t>
                  </w:r>
                </w:p>
              </w:tc>
              <w:tc>
                <w:tcPr>
                  <w:tcW w:w="3038" w:type="dxa"/>
                  <w:vAlign w:val="center"/>
                </w:tcPr>
                <w:p>
                  <w:pPr>
                    <w:pStyle w:val="56"/>
                    <w:spacing w:line="360" w:lineRule="auto"/>
                    <w:rPr>
                      <w:rFonts w:ascii="Times New Roman" w:hAnsi="Times New Roman"/>
                      <w:color w:val="auto"/>
                      <w:kern w:val="2"/>
                      <w:sz w:val="21"/>
                      <w:szCs w:val="21"/>
                      <w:highlight w:val="none"/>
                    </w:rPr>
                  </w:pPr>
                  <w:r>
                    <w:rPr>
                      <w:rFonts w:ascii="Times New Roman" w:hAnsi="Times New Roman"/>
                      <w:color w:val="auto"/>
                      <w:kern w:val="2"/>
                      <w:sz w:val="21"/>
                      <w:szCs w:val="21"/>
                      <w:highlight w:val="none"/>
                    </w:rPr>
                    <w:t>项目</w:t>
                  </w:r>
                </w:p>
              </w:tc>
              <w:tc>
                <w:tcPr>
                  <w:tcW w:w="5325" w:type="dxa"/>
                  <w:vAlign w:val="center"/>
                </w:tcPr>
                <w:p>
                  <w:pPr>
                    <w:pStyle w:val="56"/>
                    <w:spacing w:line="360" w:lineRule="auto"/>
                    <w:ind w:firstLine="360"/>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highlight w:val="none"/>
                    </w:rPr>
                  </w:pPr>
                  <w:r>
                    <w:rPr>
                      <w:color w:val="auto"/>
                      <w:szCs w:val="21"/>
                      <w:highlight w:val="none"/>
                    </w:rPr>
                    <w:t>1</w:t>
                  </w:r>
                </w:p>
              </w:tc>
              <w:tc>
                <w:tcPr>
                  <w:tcW w:w="3038" w:type="dxa"/>
                  <w:vAlign w:val="center"/>
                </w:tcPr>
                <w:p>
                  <w:pPr>
                    <w:pStyle w:val="56"/>
                    <w:spacing w:line="360" w:lineRule="auto"/>
                    <w:rPr>
                      <w:rFonts w:ascii="Times New Roman" w:hAnsi="Times New Roman"/>
                      <w:color w:val="auto"/>
                      <w:kern w:val="2"/>
                      <w:sz w:val="21"/>
                      <w:szCs w:val="21"/>
                      <w:highlight w:val="none"/>
                    </w:rPr>
                  </w:pPr>
                  <w:r>
                    <w:rPr>
                      <w:rFonts w:ascii="Times New Roman" w:hAnsi="Times New Roman"/>
                      <w:color w:val="auto"/>
                      <w:kern w:val="2"/>
                      <w:sz w:val="21"/>
                      <w:szCs w:val="21"/>
                      <w:highlight w:val="none"/>
                    </w:rPr>
                    <w:t>水环境功能区</w:t>
                  </w:r>
                </w:p>
              </w:tc>
              <w:tc>
                <w:tcPr>
                  <w:tcW w:w="5325" w:type="dxa"/>
                  <w:vAlign w:val="center"/>
                </w:tcPr>
                <w:p>
                  <w:pPr>
                    <w:spacing w:line="360" w:lineRule="auto"/>
                    <w:jc w:val="center"/>
                    <w:rPr>
                      <w:color w:val="auto"/>
                      <w:szCs w:val="21"/>
                      <w:highlight w:val="none"/>
                    </w:rPr>
                  </w:pPr>
                  <w:r>
                    <w:rPr>
                      <w:rFonts w:hint="eastAsia"/>
                      <w:color w:val="auto"/>
                      <w:szCs w:val="21"/>
                      <w:highlight w:val="none"/>
                    </w:rPr>
                    <w:t>项目受纳水体为潭江，根据《关于印发&lt;广东省地表水环境功能区划&gt;的通知》（粤环[2011]14号）以及</w:t>
                  </w:r>
                  <w:r>
                    <w:rPr>
                      <w:rFonts w:hint="eastAsia"/>
                      <w:bCs/>
                      <w:color w:val="auto"/>
                      <w:highlight w:val="none"/>
                    </w:rPr>
                    <w:t>《开平市水口污水处理厂提标改造工程项目环境影响评价报告表》与其批复（开环批[2018]168号）</w:t>
                  </w:r>
                  <w:r>
                    <w:rPr>
                      <w:rFonts w:hint="eastAsia"/>
                      <w:color w:val="auto"/>
                      <w:szCs w:val="21"/>
                      <w:highlight w:val="none"/>
                    </w:rPr>
                    <w:t>，潭江执行《地表水环境质量标准》（GB3838-2002）Ⅱ类标准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highlight w:val="none"/>
                    </w:rPr>
                  </w:pPr>
                  <w:r>
                    <w:rPr>
                      <w:color w:val="auto"/>
                      <w:szCs w:val="21"/>
                      <w:highlight w:val="none"/>
                    </w:rPr>
                    <w:t>2</w:t>
                  </w:r>
                </w:p>
              </w:tc>
              <w:tc>
                <w:tcPr>
                  <w:tcW w:w="3038" w:type="dxa"/>
                  <w:vAlign w:val="center"/>
                </w:tcPr>
                <w:p>
                  <w:pPr>
                    <w:pStyle w:val="56"/>
                    <w:spacing w:line="360" w:lineRule="auto"/>
                    <w:rPr>
                      <w:rFonts w:ascii="Times New Roman" w:hAnsi="Times New Roman"/>
                      <w:color w:val="auto"/>
                      <w:kern w:val="2"/>
                      <w:sz w:val="21"/>
                      <w:szCs w:val="21"/>
                      <w:highlight w:val="none"/>
                    </w:rPr>
                  </w:pPr>
                  <w:r>
                    <w:rPr>
                      <w:rFonts w:ascii="Times New Roman" w:hAnsi="Times New Roman"/>
                      <w:color w:val="auto"/>
                      <w:kern w:val="2"/>
                      <w:sz w:val="21"/>
                      <w:szCs w:val="21"/>
                      <w:highlight w:val="none"/>
                    </w:rPr>
                    <w:t>环境空气功能区</w:t>
                  </w:r>
                </w:p>
              </w:tc>
              <w:tc>
                <w:tcPr>
                  <w:tcW w:w="5325" w:type="dxa"/>
                  <w:vAlign w:val="center"/>
                </w:tcPr>
                <w:p>
                  <w:pPr>
                    <w:pStyle w:val="56"/>
                    <w:spacing w:line="360" w:lineRule="auto"/>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根据《江门市环境保护规划》（2006-2020年），项目</w:t>
                  </w:r>
                  <w:r>
                    <w:rPr>
                      <w:rFonts w:ascii="Times New Roman" w:hAnsi="Times New Roman"/>
                      <w:color w:val="auto"/>
                      <w:kern w:val="2"/>
                      <w:sz w:val="21"/>
                      <w:szCs w:val="21"/>
                      <w:highlight w:val="none"/>
                    </w:rPr>
                    <w:t>属二类区域，执行</w:t>
                  </w:r>
                  <w:r>
                    <w:rPr>
                      <w:rFonts w:hint="eastAsia" w:ascii="Times New Roman" w:hAnsi="Times New Roman"/>
                      <w:color w:val="auto"/>
                      <w:kern w:val="2"/>
                      <w:sz w:val="21"/>
                      <w:szCs w:val="21"/>
                      <w:highlight w:val="none"/>
                    </w:rPr>
                    <w:t>《环境空气质量标准》（GB3095-2012）及”2018修改单”二级标准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highlight w:val="none"/>
                    </w:rPr>
                  </w:pPr>
                  <w:r>
                    <w:rPr>
                      <w:color w:val="auto"/>
                      <w:szCs w:val="21"/>
                      <w:highlight w:val="none"/>
                    </w:rPr>
                    <w:t>3</w:t>
                  </w:r>
                </w:p>
              </w:tc>
              <w:tc>
                <w:tcPr>
                  <w:tcW w:w="3038" w:type="dxa"/>
                  <w:vAlign w:val="center"/>
                </w:tcPr>
                <w:p>
                  <w:pPr>
                    <w:pStyle w:val="56"/>
                    <w:spacing w:line="360" w:lineRule="auto"/>
                    <w:rPr>
                      <w:rFonts w:ascii="Times New Roman" w:hAnsi="Times New Roman"/>
                      <w:color w:val="auto"/>
                      <w:kern w:val="2"/>
                      <w:sz w:val="21"/>
                      <w:szCs w:val="21"/>
                      <w:highlight w:val="none"/>
                    </w:rPr>
                  </w:pPr>
                  <w:r>
                    <w:rPr>
                      <w:rFonts w:ascii="Times New Roman" w:hAnsi="Times New Roman"/>
                      <w:color w:val="auto"/>
                      <w:kern w:val="2"/>
                      <w:sz w:val="21"/>
                      <w:szCs w:val="21"/>
                      <w:highlight w:val="none"/>
                    </w:rPr>
                    <w:t>环境噪声功能区</w:t>
                  </w:r>
                </w:p>
              </w:tc>
              <w:tc>
                <w:tcPr>
                  <w:tcW w:w="5325" w:type="dxa"/>
                  <w:vAlign w:val="center"/>
                </w:tcPr>
                <w:p>
                  <w:pPr>
                    <w:pStyle w:val="56"/>
                    <w:spacing w:line="360" w:lineRule="auto"/>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根据《声环境质量标准》（GB3096-2008）、《声环境功能区划分技术规范》（GB/T159190-2014）的相关规定，</w:t>
                  </w:r>
                  <w:r>
                    <w:rPr>
                      <w:rFonts w:hint="eastAsia" w:ascii="Times New Roman" w:hAnsi="Times New Roman"/>
                      <w:color w:val="auto"/>
                      <w:kern w:val="2"/>
                      <w:sz w:val="21"/>
                      <w:szCs w:val="21"/>
                      <w:highlight w:val="none"/>
                      <w:lang w:eastAsia="zh-CN"/>
                    </w:rPr>
                    <w:t>项目北面相邻为道路，</w:t>
                  </w:r>
                  <w:r>
                    <w:rPr>
                      <w:rFonts w:hint="eastAsia" w:ascii="Times New Roman" w:hAnsi="Times New Roman"/>
                      <w:color w:val="auto"/>
                      <w:kern w:val="2"/>
                      <w:sz w:val="21"/>
                      <w:szCs w:val="21"/>
                      <w:highlight w:val="none"/>
                      <w:shd w:val="clear" w:color="auto" w:fill="auto"/>
                      <w:lang w:eastAsia="zh-CN"/>
                    </w:rPr>
                    <w:t>该道路不属于4a类声环境功能区类别，因此</w:t>
                  </w:r>
                  <w:r>
                    <w:rPr>
                      <w:rFonts w:hint="eastAsia" w:ascii="Times New Roman" w:hAnsi="Times New Roman"/>
                      <w:color w:val="auto"/>
                      <w:kern w:val="2"/>
                      <w:sz w:val="21"/>
                      <w:szCs w:val="21"/>
                      <w:highlight w:val="none"/>
                    </w:rPr>
                    <w:t>本项目</w:t>
                  </w:r>
                  <w:r>
                    <w:rPr>
                      <w:rFonts w:ascii="Times New Roman" w:hAnsi="Times New Roman"/>
                      <w:color w:val="auto"/>
                      <w:kern w:val="2"/>
                      <w:sz w:val="21"/>
                      <w:szCs w:val="21"/>
                      <w:highlight w:val="none"/>
                    </w:rPr>
                    <w:t>属</w:t>
                  </w:r>
                  <w:r>
                    <w:rPr>
                      <w:rFonts w:hint="eastAsia" w:ascii="Times New Roman" w:hAnsi="Times New Roman"/>
                      <w:color w:val="auto"/>
                      <w:kern w:val="2"/>
                      <w:sz w:val="21"/>
                      <w:szCs w:val="21"/>
                      <w:highlight w:val="none"/>
                    </w:rPr>
                    <w:t>2类</w:t>
                  </w:r>
                  <w:r>
                    <w:rPr>
                      <w:rFonts w:ascii="Times New Roman" w:hAnsi="Times New Roman"/>
                      <w:color w:val="auto"/>
                      <w:kern w:val="2"/>
                      <w:sz w:val="21"/>
                      <w:szCs w:val="21"/>
                      <w:highlight w:val="none"/>
                    </w:rPr>
                    <w:t>区域，执行《</w:t>
                  </w:r>
                  <w:r>
                    <w:rPr>
                      <w:rFonts w:hint="eastAsia" w:ascii="Times New Roman" w:hAnsi="Times New Roman"/>
                      <w:color w:val="auto"/>
                      <w:kern w:val="2"/>
                      <w:sz w:val="21"/>
                      <w:szCs w:val="21"/>
                      <w:highlight w:val="none"/>
                    </w:rPr>
                    <w:t>声</w:t>
                  </w:r>
                  <w:r>
                    <w:rPr>
                      <w:rFonts w:ascii="Times New Roman" w:hAnsi="Times New Roman"/>
                      <w:color w:val="auto"/>
                      <w:kern w:val="2"/>
                      <w:sz w:val="21"/>
                      <w:szCs w:val="21"/>
                      <w:highlight w:val="none"/>
                    </w:rPr>
                    <w:t>环境</w:t>
                  </w:r>
                  <w:r>
                    <w:rPr>
                      <w:rFonts w:hint="eastAsia" w:ascii="Times New Roman" w:hAnsi="Times New Roman"/>
                      <w:color w:val="auto"/>
                      <w:kern w:val="2"/>
                      <w:sz w:val="21"/>
                      <w:szCs w:val="21"/>
                      <w:highlight w:val="none"/>
                    </w:rPr>
                    <w:t>质量</w:t>
                  </w:r>
                  <w:r>
                    <w:rPr>
                      <w:rFonts w:ascii="Times New Roman" w:hAnsi="Times New Roman"/>
                      <w:color w:val="auto"/>
                      <w:kern w:val="2"/>
                      <w:sz w:val="21"/>
                      <w:szCs w:val="21"/>
                      <w:highlight w:val="none"/>
                    </w:rPr>
                    <w:t>标准》（GB3096-</w:t>
                  </w:r>
                  <w:r>
                    <w:rPr>
                      <w:rFonts w:hint="eastAsia" w:ascii="Times New Roman" w:hAnsi="Times New Roman"/>
                      <w:color w:val="auto"/>
                      <w:kern w:val="2"/>
                      <w:sz w:val="21"/>
                      <w:szCs w:val="21"/>
                      <w:highlight w:val="none"/>
                    </w:rPr>
                    <w:t>2008</w:t>
                  </w:r>
                  <w:r>
                    <w:rPr>
                      <w:rFonts w:ascii="Times New Roman" w:hAnsi="Times New Roman"/>
                      <w:color w:val="auto"/>
                      <w:kern w:val="2"/>
                      <w:sz w:val="21"/>
                      <w:szCs w:val="21"/>
                      <w:highlight w:val="none"/>
                    </w:rPr>
                    <w:t>）</w:t>
                  </w:r>
                  <w:r>
                    <w:rPr>
                      <w:rFonts w:hint="eastAsia" w:ascii="Times New Roman" w:hAnsi="Times New Roman"/>
                      <w:color w:val="auto"/>
                      <w:kern w:val="2"/>
                      <w:sz w:val="21"/>
                      <w:szCs w:val="21"/>
                      <w:highlight w:val="none"/>
                    </w:rPr>
                    <w:t>2类</w:t>
                  </w:r>
                  <w:r>
                    <w:rPr>
                      <w:rFonts w:ascii="Times New Roman" w:hAnsi="Times New Roman"/>
                      <w:color w:val="auto"/>
                      <w:kern w:val="2"/>
                      <w:sz w:val="21"/>
                      <w:szCs w:val="21"/>
                      <w:highlight w:val="none"/>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highlight w:val="none"/>
                    </w:rPr>
                  </w:pPr>
                  <w:r>
                    <w:rPr>
                      <w:color w:val="auto"/>
                      <w:szCs w:val="21"/>
                      <w:highlight w:val="none"/>
                    </w:rPr>
                    <w:t>4</w:t>
                  </w:r>
                </w:p>
              </w:tc>
              <w:tc>
                <w:tcPr>
                  <w:tcW w:w="3038" w:type="dxa"/>
                  <w:vAlign w:val="center"/>
                </w:tcPr>
                <w:p>
                  <w:pPr>
                    <w:pStyle w:val="56"/>
                    <w:spacing w:line="360" w:lineRule="auto"/>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基本农田保护区</w:t>
                  </w:r>
                </w:p>
              </w:tc>
              <w:tc>
                <w:tcPr>
                  <w:tcW w:w="5325" w:type="dxa"/>
                  <w:vAlign w:val="center"/>
                </w:tcPr>
                <w:p>
                  <w:pPr>
                    <w:pStyle w:val="56"/>
                    <w:spacing w:line="360" w:lineRule="auto"/>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highlight w:val="none"/>
                    </w:rPr>
                  </w:pPr>
                  <w:r>
                    <w:rPr>
                      <w:color w:val="auto"/>
                      <w:szCs w:val="21"/>
                      <w:highlight w:val="none"/>
                    </w:rPr>
                    <w:t>5</w:t>
                  </w:r>
                </w:p>
              </w:tc>
              <w:tc>
                <w:tcPr>
                  <w:tcW w:w="3038" w:type="dxa"/>
                  <w:vAlign w:val="center"/>
                </w:tcPr>
                <w:p>
                  <w:pPr>
                    <w:pStyle w:val="56"/>
                    <w:spacing w:line="360" w:lineRule="auto"/>
                    <w:rPr>
                      <w:rFonts w:ascii="Times New Roman" w:hAnsi="Times New Roman"/>
                      <w:color w:val="auto"/>
                      <w:kern w:val="2"/>
                      <w:sz w:val="21"/>
                      <w:szCs w:val="21"/>
                      <w:highlight w:val="none"/>
                    </w:rPr>
                  </w:pPr>
                  <w:r>
                    <w:rPr>
                      <w:rFonts w:ascii="Times New Roman" w:hAnsi="Times New Roman"/>
                      <w:color w:val="auto"/>
                      <w:kern w:val="2"/>
                      <w:sz w:val="21"/>
                      <w:szCs w:val="21"/>
                      <w:highlight w:val="none"/>
                    </w:rPr>
                    <w:t>风景名胜保护区</w:t>
                  </w:r>
                </w:p>
              </w:tc>
              <w:tc>
                <w:tcPr>
                  <w:tcW w:w="5325" w:type="dxa"/>
                  <w:vAlign w:val="center"/>
                </w:tcPr>
                <w:p>
                  <w:pPr>
                    <w:spacing w:line="360" w:lineRule="auto"/>
                    <w:jc w:val="center"/>
                    <w:rPr>
                      <w:color w:val="auto"/>
                      <w:szCs w:val="21"/>
                      <w:highlight w:val="none"/>
                    </w:rPr>
                  </w:pPr>
                  <w:r>
                    <w:rPr>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98" w:type="dxa"/>
                  <w:vAlign w:val="center"/>
                </w:tcPr>
                <w:p>
                  <w:pPr>
                    <w:spacing w:line="360" w:lineRule="auto"/>
                    <w:ind w:right="-3"/>
                    <w:jc w:val="center"/>
                    <w:rPr>
                      <w:color w:val="auto"/>
                      <w:szCs w:val="21"/>
                      <w:highlight w:val="none"/>
                    </w:rPr>
                  </w:pPr>
                  <w:r>
                    <w:rPr>
                      <w:color w:val="auto"/>
                      <w:szCs w:val="21"/>
                      <w:highlight w:val="none"/>
                    </w:rPr>
                    <w:t>6</w:t>
                  </w:r>
                </w:p>
              </w:tc>
              <w:tc>
                <w:tcPr>
                  <w:tcW w:w="3038" w:type="dxa"/>
                  <w:vAlign w:val="center"/>
                </w:tcPr>
                <w:p>
                  <w:pPr>
                    <w:pStyle w:val="56"/>
                    <w:spacing w:line="360" w:lineRule="auto"/>
                    <w:rPr>
                      <w:rFonts w:ascii="Times New Roman" w:hAnsi="Times New Roman"/>
                      <w:color w:val="auto"/>
                      <w:kern w:val="2"/>
                      <w:sz w:val="21"/>
                      <w:szCs w:val="21"/>
                      <w:highlight w:val="none"/>
                    </w:rPr>
                  </w:pPr>
                  <w:r>
                    <w:rPr>
                      <w:rFonts w:ascii="Times New Roman" w:hAnsi="Times New Roman"/>
                      <w:color w:val="auto"/>
                      <w:kern w:val="2"/>
                      <w:sz w:val="21"/>
                      <w:szCs w:val="21"/>
                      <w:highlight w:val="none"/>
                    </w:rPr>
                    <w:t>水库库区</w:t>
                  </w:r>
                </w:p>
              </w:tc>
              <w:tc>
                <w:tcPr>
                  <w:tcW w:w="5325" w:type="dxa"/>
                  <w:vAlign w:val="center"/>
                </w:tcPr>
                <w:p>
                  <w:pPr>
                    <w:spacing w:line="360" w:lineRule="auto"/>
                    <w:jc w:val="center"/>
                    <w:rPr>
                      <w:color w:val="auto"/>
                      <w:szCs w:val="21"/>
                      <w:highlight w:val="none"/>
                    </w:rPr>
                  </w:pPr>
                  <w:r>
                    <w:rPr>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highlight w:val="none"/>
                    </w:rPr>
                  </w:pPr>
                  <w:r>
                    <w:rPr>
                      <w:color w:val="auto"/>
                      <w:szCs w:val="21"/>
                      <w:highlight w:val="none"/>
                    </w:rPr>
                    <w:t>7</w:t>
                  </w:r>
                </w:p>
              </w:tc>
              <w:tc>
                <w:tcPr>
                  <w:tcW w:w="3038" w:type="dxa"/>
                  <w:vAlign w:val="center"/>
                </w:tcPr>
                <w:p>
                  <w:pPr>
                    <w:pStyle w:val="56"/>
                    <w:spacing w:line="360" w:lineRule="auto"/>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是否城镇</w:t>
                  </w:r>
                  <w:r>
                    <w:rPr>
                      <w:rFonts w:ascii="Times New Roman" w:hAnsi="Times New Roman"/>
                      <w:color w:val="auto"/>
                      <w:kern w:val="2"/>
                      <w:sz w:val="21"/>
                      <w:szCs w:val="21"/>
                      <w:highlight w:val="none"/>
                    </w:rPr>
                    <w:t>污水处理厂集水范围</w:t>
                  </w:r>
                </w:p>
              </w:tc>
              <w:tc>
                <w:tcPr>
                  <w:tcW w:w="5325" w:type="dxa"/>
                  <w:vAlign w:val="center"/>
                </w:tcPr>
                <w:p>
                  <w:pPr>
                    <w:spacing w:line="360" w:lineRule="auto"/>
                    <w:jc w:val="center"/>
                    <w:rPr>
                      <w:color w:val="auto"/>
                      <w:szCs w:val="21"/>
                      <w:highlight w:val="none"/>
                    </w:rPr>
                  </w:pPr>
                  <w:r>
                    <w:rPr>
                      <w:rFonts w:hint="eastAsia"/>
                      <w:color w:val="auto"/>
                      <w:szCs w:val="21"/>
                      <w:highlight w:val="none"/>
                    </w:rPr>
                    <w:t>是，属于开平市水口污水处理厂集水范围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highlight w:val="none"/>
                    </w:rPr>
                  </w:pPr>
                  <w:r>
                    <w:rPr>
                      <w:color w:val="auto"/>
                      <w:szCs w:val="21"/>
                      <w:highlight w:val="none"/>
                    </w:rPr>
                    <w:t>8</w:t>
                  </w:r>
                </w:p>
              </w:tc>
              <w:tc>
                <w:tcPr>
                  <w:tcW w:w="3038" w:type="dxa"/>
                  <w:vAlign w:val="center"/>
                </w:tcPr>
                <w:p>
                  <w:pPr>
                    <w:pStyle w:val="56"/>
                    <w:spacing w:line="360" w:lineRule="auto"/>
                    <w:rPr>
                      <w:rFonts w:ascii="Times New Roman" w:hAnsi="Times New Roman"/>
                      <w:color w:val="auto"/>
                      <w:kern w:val="2"/>
                      <w:sz w:val="21"/>
                      <w:szCs w:val="21"/>
                      <w:highlight w:val="none"/>
                    </w:rPr>
                  </w:pPr>
                  <w:r>
                    <w:rPr>
                      <w:rFonts w:ascii="Times New Roman" w:hAnsi="Times New Roman"/>
                      <w:color w:val="auto"/>
                      <w:kern w:val="2"/>
                      <w:sz w:val="21"/>
                      <w:szCs w:val="21"/>
                      <w:highlight w:val="none"/>
                    </w:rPr>
                    <w:t>是否属煤气管道范围</w:t>
                  </w:r>
                </w:p>
              </w:tc>
              <w:tc>
                <w:tcPr>
                  <w:tcW w:w="5325" w:type="dxa"/>
                  <w:vAlign w:val="center"/>
                </w:tcPr>
                <w:p>
                  <w:pPr>
                    <w:pStyle w:val="56"/>
                    <w:spacing w:line="360" w:lineRule="auto"/>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highlight w:val="none"/>
                    </w:rPr>
                  </w:pPr>
                  <w:r>
                    <w:rPr>
                      <w:color w:val="auto"/>
                      <w:szCs w:val="21"/>
                      <w:highlight w:val="none"/>
                    </w:rPr>
                    <w:t>9</w:t>
                  </w:r>
                </w:p>
              </w:tc>
              <w:tc>
                <w:tcPr>
                  <w:tcW w:w="3038" w:type="dxa"/>
                  <w:vAlign w:val="center"/>
                </w:tcPr>
                <w:p>
                  <w:pPr>
                    <w:pStyle w:val="56"/>
                    <w:spacing w:line="360" w:lineRule="auto"/>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可否现场搅拌混凝土</w:t>
                  </w:r>
                </w:p>
              </w:tc>
              <w:tc>
                <w:tcPr>
                  <w:tcW w:w="5325" w:type="dxa"/>
                  <w:vAlign w:val="center"/>
                </w:tcPr>
                <w:p>
                  <w:pPr>
                    <w:pStyle w:val="56"/>
                    <w:spacing w:line="360" w:lineRule="auto"/>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698" w:type="dxa"/>
                  <w:vAlign w:val="center"/>
                </w:tcPr>
                <w:p>
                  <w:pPr>
                    <w:spacing w:line="360" w:lineRule="auto"/>
                    <w:ind w:right="-3"/>
                    <w:jc w:val="center"/>
                    <w:rPr>
                      <w:color w:val="auto"/>
                      <w:szCs w:val="21"/>
                      <w:highlight w:val="none"/>
                    </w:rPr>
                  </w:pPr>
                  <w:r>
                    <w:rPr>
                      <w:color w:val="auto"/>
                      <w:szCs w:val="21"/>
                      <w:highlight w:val="none"/>
                    </w:rPr>
                    <w:t>10</w:t>
                  </w:r>
                </w:p>
              </w:tc>
              <w:tc>
                <w:tcPr>
                  <w:tcW w:w="3038" w:type="dxa"/>
                  <w:vAlign w:val="center"/>
                </w:tcPr>
                <w:p>
                  <w:pPr>
                    <w:pStyle w:val="56"/>
                    <w:spacing w:line="360" w:lineRule="auto"/>
                    <w:rPr>
                      <w:rFonts w:ascii="Times New Roman" w:hAnsi="Times New Roman"/>
                      <w:color w:val="auto"/>
                      <w:kern w:val="2"/>
                      <w:sz w:val="21"/>
                      <w:szCs w:val="21"/>
                      <w:highlight w:val="none"/>
                    </w:rPr>
                  </w:pPr>
                  <w:r>
                    <w:rPr>
                      <w:rFonts w:ascii="Times New Roman" w:hAnsi="Times New Roman"/>
                      <w:color w:val="auto"/>
                      <w:kern w:val="2"/>
                      <w:sz w:val="21"/>
                      <w:szCs w:val="21"/>
                      <w:highlight w:val="none"/>
                    </w:rPr>
                    <w:t>是否环境敏感区</w:t>
                  </w:r>
                </w:p>
              </w:tc>
              <w:tc>
                <w:tcPr>
                  <w:tcW w:w="5325" w:type="dxa"/>
                  <w:vAlign w:val="center"/>
                </w:tcPr>
                <w:p>
                  <w:pPr>
                    <w:pStyle w:val="56"/>
                    <w:spacing w:line="360" w:lineRule="auto"/>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否</w:t>
                  </w:r>
                </w:p>
              </w:tc>
            </w:tr>
          </w:tbl>
          <w:p>
            <w:pPr>
              <w:pStyle w:val="29"/>
              <w:spacing w:line="360" w:lineRule="auto"/>
              <w:ind w:firstLine="480" w:firstLineChars="200"/>
              <w:rPr>
                <w:color w:val="auto"/>
                <w:szCs w:val="24"/>
                <w:highlight w:val="none"/>
              </w:rPr>
            </w:pPr>
            <w:r>
              <w:rPr>
                <w:color w:val="auto"/>
                <w:szCs w:val="24"/>
                <w:highlight w:val="none"/>
              </w:rPr>
              <w:t>根据《建设项目环境影响评价技术导则—地下水环境》（HJ610-2016）附录A地下水环境影响评价行业分类表，本项目属于“</w:t>
            </w:r>
            <w:r>
              <w:rPr>
                <w:rFonts w:hint="eastAsia"/>
                <w:color w:val="auto"/>
                <w:szCs w:val="24"/>
                <w:highlight w:val="none"/>
                <w:lang w:val="en-US" w:eastAsia="zh-CN"/>
              </w:rPr>
              <w:t>116</w:t>
            </w:r>
            <w:r>
              <w:rPr>
                <w:color w:val="auto"/>
                <w:szCs w:val="24"/>
                <w:highlight w:val="none"/>
              </w:rPr>
              <w:t>、</w:t>
            </w:r>
            <w:r>
              <w:rPr>
                <w:rFonts w:hint="eastAsia"/>
                <w:color w:val="auto"/>
                <w:szCs w:val="24"/>
                <w:highlight w:val="none"/>
                <w:lang w:eastAsia="zh-CN"/>
              </w:rPr>
              <w:t>塑料制品制造</w:t>
            </w:r>
            <w:r>
              <w:rPr>
                <w:color w:val="auto"/>
                <w:szCs w:val="24"/>
                <w:highlight w:val="none"/>
              </w:rPr>
              <w:t>”中的报告表类别，对应的是Ⅳ类项目，不开展地下水环境影响评价。</w:t>
            </w:r>
          </w:p>
          <w:p>
            <w:pPr>
              <w:pStyle w:val="29"/>
              <w:ind w:firstLine="0"/>
              <w:rPr>
                <w:b/>
                <w:bCs/>
                <w:color w:val="auto"/>
                <w:sz w:val="28"/>
                <w:highlight w:val="none"/>
              </w:rPr>
            </w:pPr>
          </w:p>
          <w:p>
            <w:pPr>
              <w:pStyle w:val="29"/>
              <w:ind w:firstLine="0"/>
              <w:rPr>
                <w:b/>
                <w:bCs/>
                <w:color w:val="auto"/>
                <w:sz w:val="28"/>
                <w:highlight w:val="none"/>
              </w:rPr>
            </w:pPr>
          </w:p>
          <w:p>
            <w:pPr>
              <w:pStyle w:val="29"/>
              <w:ind w:firstLine="0"/>
              <w:rPr>
                <w:b/>
                <w:bCs/>
                <w:color w:val="auto"/>
                <w:sz w:val="28"/>
                <w:highlight w:val="none"/>
              </w:rPr>
            </w:pPr>
          </w:p>
          <w:p>
            <w:pPr>
              <w:pStyle w:val="29"/>
              <w:ind w:firstLine="0"/>
              <w:rPr>
                <w:b/>
                <w:bCs/>
                <w:color w:val="auto"/>
                <w:sz w:val="28"/>
                <w:highlight w:val="none"/>
              </w:rPr>
            </w:pPr>
          </w:p>
          <w:p>
            <w:pPr>
              <w:pStyle w:val="29"/>
              <w:ind w:firstLine="0"/>
              <w:rPr>
                <w:b/>
                <w:bCs/>
                <w:color w:val="auto"/>
                <w:sz w:val="28"/>
                <w:highlight w:val="none"/>
              </w:rPr>
            </w:pPr>
          </w:p>
          <w:p>
            <w:pPr>
              <w:pStyle w:val="29"/>
              <w:ind w:firstLine="0"/>
              <w:rPr>
                <w:b/>
                <w:bCs/>
                <w:color w:val="auto"/>
                <w:sz w:val="28"/>
                <w:highlight w:val="none"/>
              </w:rPr>
            </w:pPr>
          </w:p>
          <w:p>
            <w:pPr>
              <w:pStyle w:val="29"/>
              <w:ind w:firstLine="0"/>
              <w:rPr>
                <w:b/>
                <w:bCs/>
                <w:color w:val="auto"/>
                <w:sz w:val="28"/>
                <w:highlight w:val="none"/>
              </w:rPr>
            </w:pPr>
          </w:p>
          <w:p>
            <w:pPr>
              <w:pStyle w:val="29"/>
              <w:ind w:firstLine="0"/>
              <w:rPr>
                <w:b/>
                <w:bCs/>
                <w:color w:val="auto"/>
                <w:sz w:val="28"/>
                <w:highlight w:val="none"/>
              </w:rPr>
            </w:pPr>
          </w:p>
          <w:p>
            <w:pPr>
              <w:pStyle w:val="29"/>
              <w:ind w:firstLine="0"/>
              <w:rPr>
                <w:b/>
                <w:bCs/>
                <w:color w:val="auto"/>
                <w:sz w:val="28"/>
                <w:highlight w:val="none"/>
              </w:rPr>
            </w:pPr>
          </w:p>
          <w:p>
            <w:pPr>
              <w:pStyle w:val="29"/>
              <w:ind w:firstLine="0"/>
              <w:rPr>
                <w:b/>
                <w:bCs/>
                <w:color w:val="auto"/>
                <w:sz w:val="28"/>
                <w:highlight w:val="none"/>
              </w:rPr>
            </w:pPr>
          </w:p>
        </w:tc>
      </w:tr>
    </w:tbl>
    <w:p>
      <w:pPr>
        <w:pStyle w:val="38"/>
        <w:jc w:val="left"/>
        <w:rPr>
          <w:rFonts w:ascii="Times New Roman" w:hAnsi="Times New Roman"/>
          <w:color w:val="auto"/>
          <w:highlight w:val="none"/>
        </w:rPr>
      </w:pPr>
      <w:r>
        <w:rPr>
          <w:rFonts w:hint="eastAsia" w:ascii="Times New Roman" w:hAnsi="Times New Roman"/>
          <w:color w:val="auto"/>
          <w:highlight w:val="none"/>
        </w:rPr>
        <w:t>环境质量状况</w:t>
      </w:r>
    </w:p>
    <w:tbl>
      <w:tblPr>
        <w:tblStyle w:val="40"/>
        <w:tblW w:w="9571"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57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825" w:hRule="atLeast"/>
        </w:trPr>
        <w:tc>
          <w:tcPr>
            <w:tcW w:w="9571" w:type="dxa"/>
            <w:tcBorders>
              <w:bottom w:val="single" w:color="auto" w:sz="4" w:space="0"/>
            </w:tcBorders>
          </w:tcPr>
          <w:p>
            <w:pPr>
              <w:spacing w:before="120" w:line="276" w:lineRule="auto"/>
              <w:rPr>
                <w:b/>
                <w:bCs/>
                <w:color w:val="auto"/>
                <w:sz w:val="28"/>
                <w:szCs w:val="28"/>
                <w:highlight w:val="none"/>
              </w:rPr>
            </w:pPr>
            <w:r>
              <w:rPr>
                <w:rFonts w:hint="eastAsia"/>
                <w:b/>
                <w:bCs/>
                <w:color w:val="auto"/>
                <w:sz w:val="28"/>
                <w:szCs w:val="28"/>
                <w:highlight w:val="none"/>
              </w:rPr>
              <w:t>建设项目所在地区域环境质量现状及主要环境问题(环境空气、地面水、地下水、声环境、生态环境等):</w:t>
            </w:r>
          </w:p>
          <w:p>
            <w:pPr>
              <w:pStyle w:val="3"/>
              <w:numPr>
                <w:ilvl w:val="0"/>
                <w:numId w:val="6"/>
              </w:numPr>
              <w:spacing w:before="0" w:after="0" w:line="360" w:lineRule="auto"/>
              <w:ind w:left="418" w:leftChars="199"/>
              <w:rPr>
                <w:rFonts w:ascii="Times New Roman" w:hAnsi="Times New Roman" w:eastAsia="宋体"/>
                <w:color w:val="auto"/>
                <w:highlight w:val="none"/>
              </w:rPr>
            </w:pPr>
            <w:r>
              <w:rPr>
                <w:rFonts w:ascii="Times New Roman" w:hAnsi="Times New Roman" w:eastAsia="宋体"/>
                <w:color w:val="auto"/>
                <w:highlight w:val="none"/>
              </w:rPr>
              <w:t>环境空气质量现状</w:t>
            </w:r>
          </w:p>
          <w:p>
            <w:pPr>
              <w:spacing w:line="360" w:lineRule="auto"/>
              <w:ind w:firstLine="480" w:firstLineChars="200"/>
              <w:jc w:val="left"/>
              <w:rPr>
                <w:color w:val="auto"/>
                <w:sz w:val="24"/>
                <w:highlight w:val="none"/>
              </w:rPr>
            </w:pPr>
            <w:r>
              <w:rPr>
                <w:color w:val="auto"/>
                <w:sz w:val="24"/>
                <w:highlight w:val="none"/>
              </w:rPr>
              <w:t>本项目所在地属环境空气质量二类区域，执行《环境空气质量标准》（GB3095-2012）及”2018 修改单”二级标准。</w:t>
            </w:r>
          </w:p>
          <w:p>
            <w:pPr>
              <w:spacing w:line="360" w:lineRule="auto"/>
              <w:ind w:firstLine="482" w:firstLineChars="200"/>
              <w:jc w:val="left"/>
              <w:rPr>
                <w:b/>
                <w:bCs/>
                <w:color w:val="auto"/>
                <w:sz w:val="24"/>
                <w:highlight w:val="none"/>
              </w:rPr>
            </w:pPr>
            <w:r>
              <w:rPr>
                <w:rFonts w:hint="eastAsia"/>
                <w:b/>
                <w:bCs/>
                <w:color w:val="auto"/>
                <w:sz w:val="24"/>
                <w:highlight w:val="none"/>
              </w:rPr>
              <w:t>（1）空气质量达标区判定</w:t>
            </w:r>
          </w:p>
          <w:p>
            <w:pPr>
              <w:spacing w:line="360" w:lineRule="auto"/>
              <w:ind w:firstLine="480" w:firstLineChars="200"/>
              <w:jc w:val="left"/>
              <w:rPr>
                <w:color w:val="auto"/>
                <w:highlight w:val="none"/>
              </w:rPr>
            </w:pPr>
            <w:r>
              <w:rPr>
                <w:color w:val="auto"/>
                <w:sz w:val="24"/>
                <w:highlight w:val="none"/>
              </w:rPr>
              <w:t>根据江门市环境保护局官网发布的《</w:t>
            </w:r>
            <w:r>
              <w:rPr>
                <w:rFonts w:hint="eastAsia"/>
                <w:color w:val="auto"/>
                <w:sz w:val="24"/>
                <w:highlight w:val="none"/>
              </w:rPr>
              <w:t>2018年度江门市城市空气质量情况排名</w:t>
            </w:r>
            <w:r>
              <w:rPr>
                <w:color w:val="auto"/>
                <w:sz w:val="24"/>
                <w:highlight w:val="none"/>
              </w:rPr>
              <w:t>》，</w:t>
            </w:r>
            <w:r>
              <w:rPr>
                <w:rFonts w:hint="eastAsia"/>
                <w:color w:val="auto"/>
                <w:sz w:val="24"/>
                <w:highlight w:val="none"/>
              </w:rPr>
              <w:t>江门市</w:t>
            </w:r>
            <w:r>
              <w:rPr>
                <w:color w:val="auto"/>
                <w:sz w:val="24"/>
                <w:highlight w:val="none"/>
              </w:rPr>
              <w:t>2018年环境空气质量情况见下表。</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hint="eastAsia" w:eastAsia="宋体" w:cs="Times New Roman"/>
                <w:b/>
                <w:color w:val="auto"/>
                <w:sz w:val="21"/>
                <w:szCs w:val="21"/>
                <w:highlight w:val="none"/>
              </w:rPr>
              <w:t>江门</w:t>
            </w:r>
            <w:r>
              <w:rPr>
                <w:rFonts w:eastAsia="宋体" w:cs="Times New Roman"/>
                <w:b/>
                <w:color w:val="auto"/>
                <w:sz w:val="21"/>
                <w:szCs w:val="21"/>
                <w:highlight w:val="none"/>
              </w:rPr>
              <w:t>市2018年</w:t>
            </w:r>
            <w:r>
              <w:rPr>
                <w:rFonts w:hint="eastAsia" w:eastAsia="宋体" w:cs="Times New Roman"/>
                <w:b/>
                <w:color w:val="auto"/>
                <w:sz w:val="21"/>
                <w:szCs w:val="21"/>
                <w:highlight w:val="none"/>
              </w:rPr>
              <w:t>区域空气质量现状评价表</w:t>
            </w:r>
          </w:p>
          <w:tbl>
            <w:tblPr>
              <w:tblStyle w:val="40"/>
              <w:tblW w:w="92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4"/>
              <w:gridCol w:w="2677"/>
              <w:gridCol w:w="1395"/>
              <w:gridCol w:w="1457"/>
              <w:gridCol w:w="1605"/>
              <w:gridCol w:w="1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vAlign w:val="center"/>
                </w:tcPr>
                <w:p>
                  <w:pPr>
                    <w:spacing w:line="360" w:lineRule="auto"/>
                    <w:jc w:val="center"/>
                    <w:rPr>
                      <w:b/>
                      <w:bCs/>
                      <w:color w:val="auto"/>
                      <w:szCs w:val="21"/>
                      <w:highlight w:val="none"/>
                    </w:rPr>
                  </w:pPr>
                  <w:r>
                    <w:rPr>
                      <w:rFonts w:hint="eastAsia"/>
                      <w:b/>
                      <w:bCs/>
                      <w:color w:val="auto"/>
                      <w:szCs w:val="21"/>
                      <w:highlight w:val="none"/>
                    </w:rPr>
                    <w:t>污染物</w:t>
                  </w:r>
                </w:p>
              </w:tc>
              <w:tc>
                <w:tcPr>
                  <w:tcW w:w="2677" w:type="dxa"/>
                  <w:vAlign w:val="center"/>
                </w:tcPr>
                <w:p>
                  <w:pPr>
                    <w:spacing w:line="360" w:lineRule="auto"/>
                    <w:jc w:val="center"/>
                    <w:rPr>
                      <w:b/>
                      <w:bCs/>
                      <w:color w:val="auto"/>
                      <w:szCs w:val="21"/>
                      <w:highlight w:val="none"/>
                    </w:rPr>
                  </w:pPr>
                  <w:r>
                    <w:rPr>
                      <w:rFonts w:hint="eastAsia"/>
                      <w:b/>
                      <w:bCs/>
                      <w:color w:val="auto"/>
                      <w:szCs w:val="21"/>
                      <w:highlight w:val="none"/>
                    </w:rPr>
                    <w:t>年评价指标</w:t>
                  </w:r>
                </w:p>
              </w:tc>
              <w:tc>
                <w:tcPr>
                  <w:tcW w:w="1395" w:type="dxa"/>
                  <w:vAlign w:val="center"/>
                </w:tcPr>
                <w:p>
                  <w:pPr>
                    <w:jc w:val="center"/>
                    <w:rPr>
                      <w:b/>
                      <w:bCs/>
                      <w:color w:val="auto"/>
                      <w:szCs w:val="21"/>
                      <w:highlight w:val="none"/>
                    </w:rPr>
                  </w:pPr>
                  <w:r>
                    <w:rPr>
                      <w:rFonts w:hint="eastAsia"/>
                      <w:b/>
                      <w:bCs/>
                      <w:color w:val="auto"/>
                      <w:szCs w:val="21"/>
                      <w:highlight w:val="none"/>
                    </w:rPr>
                    <w:t>现状浓度</w:t>
                  </w:r>
                  <w:r>
                    <w:rPr>
                      <w:b/>
                      <w:color w:val="auto"/>
                      <w:szCs w:val="21"/>
                      <w:highlight w:val="none"/>
                    </w:rPr>
                    <w:t>（μg/m³）</w:t>
                  </w:r>
                </w:p>
              </w:tc>
              <w:tc>
                <w:tcPr>
                  <w:tcW w:w="1457" w:type="dxa"/>
                  <w:vAlign w:val="center"/>
                </w:tcPr>
                <w:p>
                  <w:pPr>
                    <w:jc w:val="center"/>
                    <w:rPr>
                      <w:b/>
                      <w:bCs/>
                      <w:color w:val="auto"/>
                      <w:szCs w:val="21"/>
                      <w:highlight w:val="none"/>
                    </w:rPr>
                  </w:pPr>
                  <w:r>
                    <w:rPr>
                      <w:rFonts w:hint="eastAsia"/>
                      <w:b/>
                      <w:bCs/>
                      <w:color w:val="auto"/>
                      <w:szCs w:val="21"/>
                      <w:highlight w:val="none"/>
                    </w:rPr>
                    <w:t>标准值</w:t>
                  </w:r>
                </w:p>
                <w:p>
                  <w:pPr>
                    <w:jc w:val="center"/>
                    <w:rPr>
                      <w:b/>
                      <w:bCs/>
                      <w:color w:val="auto"/>
                      <w:szCs w:val="21"/>
                      <w:highlight w:val="none"/>
                    </w:rPr>
                  </w:pPr>
                  <w:r>
                    <w:rPr>
                      <w:b/>
                      <w:color w:val="auto"/>
                      <w:szCs w:val="21"/>
                      <w:highlight w:val="none"/>
                    </w:rPr>
                    <w:t>（μg/m³）</w:t>
                  </w:r>
                </w:p>
              </w:tc>
              <w:tc>
                <w:tcPr>
                  <w:tcW w:w="1605" w:type="dxa"/>
                  <w:vAlign w:val="center"/>
                </w:tcPr>
                <w:p>
                  <w:pPr>
                    <w:jc w:val="center"/>
                    <w:rPr>
                      <w:b/>
                      <w:bCs/>
                      <w:color w:val="auto"/>
                      <w:szCs w:val="21"/>
                      <w:highlight w:val="none"/>
                    </w:rPr>
                  </w:pPr>
                  <w:r>
                    <w:rPr>
                      <w:rFonts w:hint="eastAsia"/>
                      <w:b/>
                      <w:bCs/>
                      <w:color w:val="auto"/>
                      <w:szCs w:val="21"/>
                      <w:highlight w:val="none"/>
                    </w:rPr>
                    <w:t>占标率</w:t>
                  </w:r>
                </w:p>
                <w:p>
                  <w:pPr>
                    <w:jc w:val="center"/>
                    <w:rPr>
                      <w:b/>
                      <w:bCs/>
                      <w:color w:val="auto"/>
                      <w:szCs w:val="21"/>
                      <w:highlight w:val="none"/>
                    </w:rPr>
                  </w:pPr>
                  <w:r>
                    <w:rPr>
                      <w:rFonts w:hint="eastAsia"/>
                      <w:b/>
                      <w:bCs/>
                      <w:color w:val="auto"/>
                      <w:szCs w:val="21"/>
                      <w:highlight w:val="none"/>
                    </w:rPr>
                    <w:t>（%）</w:t>
                  </w:r>
                </w:p>
              </w:tc>
              <w:tc>
                <w:tcPr>
                  <w:tcW w:w="1172" w:type="dxa"/>
                  <w:vAlign w:val="center"/>
                </w:tcPr>
                <w:p>
                  <w:pPr>
                    <w:spacing w:line="360" w:lineRule="auto"/>
                    <w:jc w:val="center"/>
                    <w:rPr>
                      <w:b/>
                      <w:bCs/>
                      <w:color w:val="auto"/>
                      <w:szCs w:val="21"/>
                      <w:highlight w:val="none"/>
                    </w:rPr>
                  </w:pPr>
                  <w:r>
                    <w:rPr>
                      <w:b/>
                      <w:bCs/>
                      <w:color w:val="auto"/>
                      <w:szCs w:val="21"/>
                      <w:highlight w:val="none"/>
                    </w:rPr>
                    <w:t>达标</w:t>
                  </w:r>
                  <w:r>
                    <w:rPr>
                      <w:rFonts w:hint="eastAsia"/>
                      <w:b/>
                      <w:bCs/>
                      <w:color w:val="auto"/>
                      <w:szCs w:val="21"/>
                      <w:highlight w:val="none"/>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vAlign w:val="center"/>
                </w:tcPr>
                <w:p>
                  <w:pPr>
                    <w:spacing w:line="360" w:lineRule="auto"/>
                    <w:jc w:val="center"/>
                    <w:rPr>
                      <w:color w:val="auto"/>
                      <w:szCs w:val="21"/>
                      <w:highlight w:val="none"/>
                    </w:rPr>
                  </w:pPr>
                  <w:r>
                    <w:rPr>
                      <w:color w:val="auto"/>
                      <w:szCs w:val="21"/>
                      <w:highlight w:val="none"/>
                    </w:rPr>
                    <w:t>SO</w:t>
                  </w:r>
                  <w:r>
                    <w:rPr>
                      <w:color w:val="auto"/>
                      <w:szCs w:val="21"/>
                      <w:highlight w:val="none"/>
                      <w:vertAlign w:val="subscript"/>
                    </w:rPr>
                    <w:t>2</w:t>
                  </w:r>
                </w:p>
              </w:tc>
              <w:tc>
                <w:tcPr>
                  <w:tcW w:w="2677" w:type="dxa"/>
                  <w:vAlign w:val="center"/>
                </w:tcPr>
                <w:p>
                  <w:pPr>
                    <w:spacing w:line="360" w:lineRule="auto"/>
                    <w:jc w:val="center"/>
                    <w:rPr>
                      <w:color w:val="auto"/>
                      <w:szCs w:val="21"/>
                      <w:highlight w:val="none"/>
                    </w:rPr>
                  </w:pPr>
                  <w:r>
                    <w:rPr>
                      <w:rFonts w:hint="eastAsia"/>
                      <w:color w:val="auto"/>
                      <w:szCs w:val="21"/>
                      <w:highlight w:val="none"/>
                    </w:rPr>
                    <w:t>年平均质量浓度</w:t>
                  </w:r>
                </w:p>
              </w:tc>
              <w:tc>
                <w:tcPr>
                  <w:tcW w:w="1395" w:type="dxa"/>
                  <w:vAlign w:val="center"/>
                </w:tcPr>
                <w:p>
                  <w:pPr>
                    <w:spacing w:line="360" w:lineRule="auto"/>
                    <w:jc w:val="center"/>
                    <w:rPr>
                      <w:color w:val="auto"/>
                      <w:szCs w:val="21"/>
                      <w:highlight w:val="none"/>
                    </w:rPr>
                  </w:pPr>
                  <w:r>
                    <w:rPr>
                      <w:rFonts w:hint="eastAsia"/>
                      <w:color w:val="auto"/>
                      <w:szCs w:val="21"/>
                      <w:highlight w:val="none"/>
                    </w:rPr>
                    <w:t>9</w:t>
                  </w:r>
                </w:p>
              </w:tc>
              <w:tc>
                <w:tcPr>
                  <w:tcW w:w="1457" w:type="dxa"/>
                  <w:vAlign w:val="center"/>
                </w:tcPr>
                <w:p>
                  <w:pPr>
                    <w:spacing w:line="360" w:lineRule="auto"/>
                    <w:jc w:val="center"/>
                    <w:rPr>
                      <w:color w:val="auto"/>
                      <w:szCs w:val="21"/>
                      <w:highlight w:val="none"/>
                    </w:rPr>
                  </w:pPr>
                  <w:r>
                    <w:rPr>
                      <w:color w:val="auto"/>
                      <w:szCs w:val="21"/>
                      <w:highlight w:val="none"/>
                    </w:rPr>
                    <w:t>≤60</w:t>
                  </w:r>
                </w:p>
              </w:tc>
              <w:tc>
                <w:tcPr>
                  <w:tcW w:w="1605" w:type="dxa"/>
                  <w:vAlign w:val="center"/>
                </w:tcPr>
                <w:p>
                  <w:pPr>
                    <w:spacing w:line="360" w:lineRule="auto"/>
                    <w:jc w:val="center"/>
                    <w:rPr>
                      <w:color w:val="auto"/>
                      <w:szCs w:val="21"/>
                      <w:highlight w:val="none"/>
                    </w:rPr>
                  </w:pPr>
                  <w:r>
                    <w:rPr>
                      <w:rFonts w:hint="eastAsia"/>
                      <w:color w:val="auto"/>
                      <w:szCs w:val="21"/>
                      <w:highlight w:val="none"/>
                    </w:rPr>
                    <w:t>0.15</w:t>
                  </w:r>
                </w:p>
              </w:tc>
              <w:tc>
                <w:tcPr>
                  <w:tcW w:w="1172" w:type="dxa"/>
                  <w:vAlign w:val="center"/>
                </w:tcPr>
                <w:p>
                  <w:pPr>
                    <w:spacing w:line="360" w:lineRule="auto"/>
                    <w:jc w:val="center"/>
                    <w:rPr>
                      <w:color w:val="auto"/>
                      <w:szCs w:val="21"/>
                      <w:highlight w:val="none"/>
                    </w:rPr>
                  </w:pPr>
                  <w:r>
                    <w:rPr>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vAlign w:val="center"/>
                </w:tcPr>
                <w:p>
                  <w:pPr>
                    <w:spacing w:line="360" w:lineRule="auto"/>
                    <w:jc w:val="center"/>
                    <w:rPr>
                      <w:color w:val="auto"/>
                      <w:szCs w:val="21"/>
                      <w:highlight w:val="none"/>
                    </w:rPr>
                  </w:pPr>
                  <w:r>
                    <w:rPr>
                      <w:color w:val="auto"/>
                      <w:szCs w:val="21"/>
                      <w:highlight w:val="none"/>
                    </w:rPr>
                    <w:t>NO</w:t>
                  </w:r>
                  <w:r>
                    <w:rPr>
                      <w:color w:val="auto"/>
                      <w:szCs w:val="21"/>
                      <w:highlight w:val="none"/>
                      <w:vertAlign w:val="subscript"/>
                    </w:rPr>
                    <w:t>2</w:t>
                  </w:r>
                </w:p>
              </w:tc>
              <w:tc>
                <w:tcPr>
                  <w:tcW w:w="2677" w:type="dxa"/>
                  <w:vAlign w:val="center"/>
                </w:tcPr>
                <w:p>
                  <w:pPr>
                    <w:spacing w:line="360" w:lineRule="auto"/>
                    <w:jc w:val="center"/>
                    <w:rPr>
                      <w:color w:val="auto"/>
                      <w:szCs w:val="21"/>
                      <w:highlight w:val="none"/>
                    </w:rPr>
                  </w:pPr>
                  <w:r>
                    <w:rPr>
                      <w:rFonts w:hint="eastAsia"/>
                      <w:color w:val="auto"/>
                      <w:szCs w:val="21"/>
                      <w:highlight w:val="none"/>
                    </w:rPr>
                    <w:t>年平均质量浓度</w:t>
                  </w:r>
                </w:p>
              </w:tc>
              <w:tc>
                <w:tcPr>
                  <w:tcW w:w="1395" w:type="dxa"/>
                  <w:vAlign w:val="center"/>
                </w:tcPr>
                <w:p>
                  <w:pPr>
                    <w:spacing w:line="360" w:lineRule="auto"/>
                    <w:jc w:val="center"/>
                    <w:rPr>
                      <w:color w:val="auto"/>
                      <w:szCs w:val="21"/>
                      <w:highlight w:val="none"/>
                    </w:rPr>
                  </w:pPr>
                  <w:r>
                    <w:rPr>
                      <w:rFonts w:hint="eastAsia"/>
                      <w:color w:val="auto"/>
                      <w:szCs w:val="21"/>
                      <w:highlight w:val="none"/>
                    </w:rPr>
                    <w:t>35</w:t>
                  </w:r>
                </w:p>
              </w:tc>
              <w:tc>
                <w:tcPr>
                  <w:tcW w:w="1457" w:type="dxa"/>
                  <w:vAlign w:val="center"/>
                </w:tcPr>
                <w:p>
                  <w:pPr>
                    <w:spacing w:line="360" w:lineRule="auto"/>
                    <w:jc w:val="center"/>
                    <w:rPr>
                      <w:color w:val="auto"/>
                      <w:szCs w:val="21"/>
                      <w:highlight w:val="none"/>
                    </w:rPr>
                  </w:pPr>
                  <w:r>
                    <w:rPr>
                      <w:color w:val="auto"/>
                      <w:szCs w:val="21"/>
                      <w:highlight w:val="none"/>
                    </w:rPr>
                    <w:t>≤40</w:t>
                  </w:r>
                </w:p>
              </w:tc>
              <w:tc>
                <w:tcPr>
                  <w:tcW w:w="1605" w:type="dxa"/>
                  <w:vAlign w:val="center"/>
                </w:tcPr>
                <w:p>
                  <w:pPr>
                    <w:spacing w:line="360" w:lineRule="auto"/>
                    <w:jc w:val="center"/>
                    <w:rPr>
                      <w:color w:val="auto"/>
                      <w:szCs w:val="21"/>
                      <w:highlight w:val="none"/>
                    </w:rPr>
                  </w:pPr>
                  <w:r>
                    <w:rPr>
                      <w:rFonts w:hint="eastAsia"/>
                      <w:color w:val="auto"/>
                      <w:szCs w:val="21"/>
                      <w:highlight w:val="none"/>
                    </w:rPr>
                    <w:t>0.875</w:t>
                  </w:r>
                </w:p>
              </w:tc>
              <w:tc>
                <w:tcPr>
                  <w:tcW w:w="1172" w:type="dxa"/>
                  <w:vAlign w:val="center"/>
                </w:tcPr>
                <w:p>
                  <w:pPr>
                    <w:spacing w:line="360" w:lineRule="auto"/>
                    <w:jc w:val="center"/>
                    <w:rPr>
                      <w:color w:val="auto"/>
                      <w:szCs w:val="21"/>
                      <w:highlight w:val="none"/>
                    </w:rPr>
                  </w:pPr>
                  <w:r>
                    <w:rPr>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vAlign w:val="center"/>
                </w:tcPr>
                <w:p>
                  <w:pPr>
                    <w:spacing w:line="360" w:lineRule="auto"/>
                    <w:jc w:val="center"/>
                    <w:rPr>
                      <w:color w:val="auto"/>
                      <w:szCs w:val="21"/>
                      <w:highlight w:val="none"/>
                    </w:rPr>
                  </w:pPr>
                  <w:r>
                    <w:rPr>
                      <w:color w:val="auto"/>
                      <w:szCs w:val="21"/>
                      <w:highlight w:val="none"/>
                    </w:rPr>
                    <w:t>PM</w:t>
                  </w:r>
                  <w:r>
                    <w:rPr>
                      <w:color w:val="auto"/>
                      <w:szCs w:val="21"/>
                      <w:highlight w:val="none"/>
                      <w:vertAlign w:val="subscript"/>
                    </w:rPr>
                    <w:t>10</w:t>
                  </w:r>
                </w:p>
              </w:tc>
              <w:tc>
                <w:tcPr>
                  <w:tcW w:w="2677" w:type="dxa"/>
                  <w:vAlign w:val="center"/>
                </w:tcPr>
                <w:p>
                  <w:pPr>
                    <w:spacing w:line="360" w:lineRule="auto"/>
                    <w:jc w:val="center"/>
                    <w:rPr>
                      <w:color w:val="auto"/>
                      <w:szCs w:val="21"/>
                      <w:highlight w:val="none"/>
                    </w:rPr>
                  </w:pPr>
                  <w:r>
                    <w:rPr>
                      <w:rFonts w:hint="eastAsia"/>
                      <w:color w:val="auto"/>
                      <w:szCs w:val="21"/>
                      <w:highlight w:val="none"/>
                    </w:rPr>
                    <w:t>年平均质量浓度</w:t>
                  </w:r>
                </w:p>
              </w:tc>
              <w:tc>
                <w:tcPr>
                  <w:tcW w:w="1395" w:type="dxa"/>
                  <w:vAlign w:val="center"/>
                </w:tcPr>
                <w:p>
                  <w:pPr>
                    <w:spacing w:line="360" w:lineRule="auto"/>
                    <w:jc w:val="center"/>
                    <w:rPr>
                      <w:color w:val="auto"/>
                      <w:szCs w:val="21"/>
                      <w:highlight w:val="none"/>
                    </w:rPr>
                  </w:pPr>
                  <w:r>
                    <w:rPr>
                      <w:rFonts w:hint="eastAsia"/>
                      <w:color w:val="auto"/>
                      <w:szCs w:val="21"/>
                      <w:highlight w:val="none"/>
                    </w:rPr>
                    <w:t>56</w:t>
                  </w:r>
                </w:p>
              </w:tc>
              <w:tc>
                <w:tcPr>
                  <w:tcW w:w="1457" w:type="dxa"/>
                  <w:vAlign w:val="center"/>
                </w:tcPr>
                <w:p>
                  <w:pPr>
                    <w:spacing w:line="360" w:lineRule="auto"/>
                    <w:jc w:val="center"/>
                    <w:rPr>
                      <w:color w:val="auto"/>
                      <w:szCs w:val="21"/>
                      <w:highlight w:val="none"/>
                    </w:rPr>
                  </w:pPr>
                  <w:r>
                    <w:rPr>
                      <w:color w:val="auto"/>
                      <w:szCs w:val="21"/>
                      <w:highlight w:val="none"/>
                    </w:rPr>
                    <w:t>≤70</w:t>
                  </w:r>
                </w:p>
              </w:tc>
              <w:tc>
                <w:tcPr>
                  <w:tcW w:w="1605" w:type="dxa"/>
                  <w:vAlign w:val="center"/>
                </w:tcPr>
                <w:p>
                  <w:pPr>
                    <w:spacing w:line="360" w:lineRule="auto"/>
                    <w:jc w:val="center"/>
                    <w:rPr>
                      <w:color w:val="auto"/>
                      <w:szCs w:val="21"/>
                      <w:highlight w:val="none"/>
                    </w:rPr>
                  </w:pPr>
                  <w:r>
                    <w:rPr>
                      <w:rFonts w:hint="eastAsia"/>
                      <w:color w:val="auto"/>
                      <w:szCs w:val="21"/>
                      <w:highlight w:val="none"/>
                    </w:rPr>
                    <w:t>0.8</w:t>
                  </w:r>
                </w:p>
              </w:tc>
              <w:tc>
                <w:tcPr>
                  <w:tcW w:w="1172" w:type="dxa"/>
                  <w:vAlign w:val="center"/>
                </w:tcPr>
                <w:p>
                  <w:pPr>
                    <w:spacing w:line="360" w:lineRule="auto"/>
                    <w:jc w:val="center"/>
                    <w:rPr>
                      <w:color w:val="auto"/>
                      <w:szCs w:val="21"/>
                      <w:highlight w:val="none"/>
                    </w:rPr>
                  </w:pPr>
                  <w:r>
                    <w:rPr>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vAlign w:val="center"/>
                </w:tcPr>
                <w:p>
                  <w:pPr>
                    <w:spacing w:line="360" w:lineRule="auto"/>
                    <w:jc w:val="center"/>
                    <w:rPr>
                      <w:color w:val="auto"/>
                      <w:szCs w:val="21"/>
                      <w:highlight w:val="none"/>
                    </w:rPr>
                  </w:pPr>
                  <w:r>
                    <w:rPr>
                      <w:color w:val="auto"/>
                      <w:szCs w:val="21"/>
                      <w:highlight w:val="none"/>
                    </w:rPr>
                    <w:t>PM</w:t>
                  </w:r>
                  <w:r>
                    <w:rPr>
                      <w:color w:val="auto"/>
                      <w:szCs w:val="21"/>
                      <w:highlight w:val="none"/>
                      <w:vertAlign w:val="subscript"/>
                    </w:rPr>
                    <w:t>2.5</w:t>
                  </w:r>
                </w:p>
              </w:tc>
              <w:tc>
                <w:tcPr>
                  <w:tcW w:w="2677" w:type="dxa"/>
                  <w:vAlign w:val="center"/>
                </w:tcPr>
                <w:p>
                  <w:pPr>
                    <w:spacing w:line="360" w:lineRule="auto"/>
                    <w:jc w:val="center"/>
                    <w:rPr>
                      <w:color w:val="auto"/>
                      <w:szCs w:val="21"/>
                      <w:highlight w:val="none"/>
                    </w:rPr>
                  </w:pPr>
                  <w:r>
                    <w:rPr>
                      <w:rFonts w:hint="eastAsia"/>
                      <w:color w:val="auto"/>
                      <w:szCs w:val="21"/>
                      <w:highlight w:val="none"/>
                    </w:rPr>
                    <w:t>年平均质量浓度</w:t>
                  </w:r>
                </w:p>
              </w:tc>
              <w:tc>
                <w:tcPr>
                  <w:tcW w:w="1395" w:type="dxa"/>
                  <w:vAlign w:val="center"/>
                </w:tcPr>
                <w:p>
                  <w:pPr>
                    <w:spacing w:line="360" w:lineRule="auto"/>
                    <w:jc w:val="center"/>
                    <w:rPr>
                      <w:color w:val="auto"/>
                      <w:szCs w:val="21"/>
                      <w:highlight w:val="none"/>
                    </w:rPr>
                  </w:pPr>
                  <w:r>
                    <w:rPr>
                      <w:rFonts w:hint="eastAsia"/>
                      <w:color w:val="auto"/>
                      <w:szCs w:val="21"/>
                      <w:highlight w:val="none"/>
                    </w:rPr>
                    <w:t>31</w:t>
                  </w:r>
                </w:p>
              </w:tc>
              <w:tc>
                <w:tcPr>
                  <w:tcW w:w="1457" w:type="dxa"/>
                  <w:vAlign w:val="center"/>
                </w:tcPr>
                <w:p>
                  <w:pPr>
                    <w:spacing w:line="360" w:lineRule="auto"/>
                    <w:jc w:val="center"/>
                    <w:rPr>
                      <w:color w:val="auto"/>
                      <w:szCs w:val="21"/>
                      <w:highlight w:val="none"/>
                    </w:rPr>
                  </w:pPr>
                  <w:r>
                    <w:rPr>
                      <w:color w:val="auto"/>
                      <w:szCs w:val="21"/>
                      <w:highlight w:val="none"/>
                    </w:rPr>
                    <w:t>≤35</w:t>
                  </w:r>
                </w:p>
              </w:tc>
              <w:tc>
                <w:tcPr>
                  <w:tcW w:w="1605" w:type="dxa"/>
                  <w:vAlign w:val="center"/>
                </w:tcPr>
                <w:p>
                  <w:pPr>
                    <w:spacing w:line="360" w:lineRule="auto"/>
                    <w:jc w:val="center"/>
                    <w:rPr>
                      <w:color w:val="auto"/>
                      <w:szCs w:val="21"/>
                      <w:highlight w:val="none"/>
                    </w:rPr>
                  </w:pPr>
                  <w:r>
                    <w:rPr>
                      <w:rFonts w:hint="eastAsia"/>
                      <w:color w:val="auto"/>
                      <w:szCs w:val="21"/>
                      <w:highlight w:val="none"/>
                    </w:rPr>
                    <w:t>0.886</w:t>
                  </w:r>
                </w:p>
              </w:tc>
              <w:tc>
                <w:tcPr>
                  <w:tcW w:w="1172" w:type="dxa"/>
                  <w:vAlign w:val="center"/>
                </w:tcPr>
                <w:p>
                  <w:pPr>
                    <w:spacing w:line="360" w:lineRule="auto"/>
                    <w:jc w:val="center"/>
                    <w:rPr>
                      <w:color w:val="auto"/>
                      <w:szCs w:val="21"/>
                      <w:highlight w:val="none"/>
                    </w:rPr>
                  </w:pPr>
                  <w:r>
                    <w:rPr>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vAlign w:val="center"/>
                </w:tcPr>
                <w:p>
                  <w:pPr>
                    <w:spacing w:line="360" w:lineRule="auto"/>
                    <w:jc w:val="center"/>
                    <w:rPr>
                      <w:color w:val="auto"/>
                      <w:szCs w:val="21"/>
                      <w:highlight w:val="none"/>
                    </w:rPr>
                  </w:pPr>
                  <w:r>
                    <w:rPr>
                      <w:color w:val="auto"/>
                      <w:szCs w:val="21"/>
                      <w:highlight w:val="none"/>
                    </w:rPr>
                    <w:t>CO</w:t>
                  </w:r>
                </w:p>
              </w:tc>
              <w:tc>
                <w:tcPr>
                  <w:tcW w:w="2677" w:type="dxa"/>
                  <w:vAlign w:val="center"/>
                </w:tcPr>
                <w:p>
                  <w:pPr>
                    <w:spacing w:line="360" w:lineRule="auto"/>
                    <w:jc w:val="center"/>
                    <w:rPr>
                      <w:color w:val="auto"/>
                      <w:szCs w:val="21"/>
                      <w:highlight w:val="none"/>
                    </w:rPr>
                  </w:pPr>
                  <w:r>
                    <w:rPr>
                      <w:color w:val="auto"/>
                      <w:szCs w:val="21"/>
                      <w:highlight w:val="none"/>
                    </w:rPr>
                    <w:t>日均值第95百分位数浓度</w:t>
                  </w:r>
                </w:p>
              </w:tc>
              <w:tc>
                <w:tcPr>
                  <w:tcW w:w="1395" w:type="dxa"/>
                  <w:vAlign w:val="center"/>
                </w:tcPr>
                <w:p>
                  <w:pPr>
                    <w:spacing w:line="360" w:lineRule="auto"/>
                    <w:jc w:val="center"/>
                    <w:rPr>
                      <w:color w:val="auto"/>
                      <w:szCs w:val="21"/>
                      <w:highlight w:val="none"/>
                    </w:rPr>
                  </w:pPr>
                  <w:r>
                    <w:rPr>
                      <w:rFonts w:hint="eastAsia"/>
                      <w:color w:val="auto"/>
                      <w:szCs w:val="21"/>
                      <w:highlight w:val="none"/>
                    </w:rPr>
                    <w:t>1200</w:t>
                  </w:r>
                </w:p>
              </w:tc>
              <w:tc>
                <w:tcPr>
                  <w:tcW w:w="1457" w:type="dxa"/>
                  <w:vAlign w:val="center"/>
                </w:tcPr>
                <w:p>
                  <w:pPr>
                    <w:spacing w:line="360" w:lineRule="auto"/>
                    <w:jc w:val="center"/>
                    <w:rPr>
                      <w:color w:val="auto"/>
                      <w:szCs w:val="21"/>
                      <w:highlight w:val="none"/>
                    </w:rPr>
                  </w:pPr>
                  <w:r>
                    <w:rPr>
                      <w:color w:val="auto"/>
                      <w:szCs w:val="21"/>
                      <w:highlight w:val="none"/>
                    </w:rPr>
                    <w:t>≤4000</w:t>
                  </w:r>
                </w:p>
              </w:tc>
              <w:tc>
                <w:tcPr>
                  <w:tcW w:w="1605" w:type="dxa"/>
                  <w:vAlign w:val="center"/>
                </w:tcPr>
                <w:p>
                  <w:pPr>
                    <w:spacing w:line="360" w:lineRule="auto"/>
                    <w:jc w:val="center"/>
                    <w:rPr>
                      <w:color w:val="auto"/>
                      <w:szCs w:val="21"/>
                      <w:highlight w:val="none"/>
                    </w:rPr>
                  </w:pPr>
                  <w:r>
                    <w:rPr>
                      <w:rFonts w:hint="eastAsia"/>
                      <w:color w:val="auto"/>
                      <w:szCs w:val="21"/>
                      <w:highlight w:val="none"/>
                    </w:rPr>
                    <w:t>0.3</w:t>
                  </w:r>
                </w:p>
              </w:tc>
              <w:tc>
                <w:tcPr>
                  <w:tcW w:w="1172" w:type="dxa"/>
                  <w:vAlign w:val="center"/>
                </w:tcPr>
                <w:p>
                  <w:pPr>
                    <w:spacing w:line="360" w:lineRule="auto"/>
                    <w:jc w:val="center"/>
                    <w:rPr>
                      <w:color w:val="auto"/>
                      <w:szCs w:val="21"/>
                      <w:highlight w:val="none"/>
                    </w:rPr>
                  </w:pPr>
                  <w:r>
                    <w:rPr>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974" w:type="dxa"/>
                  <w:vAlign w:val="center"/>
                </w:tcPr>
                <w:p>
                  <w:pPr>
                    <w:spacing w:line="360" w:lineRule="auto"/>
                    <w:jc w:val="center"/>
                    <w:rPr>
                      <w:color w:val="auto"/>
                      <w:szCs w:val="21"/>
                      <w:highlight w:val="none"/>
                    </w:rPr>
                  </w:pPr>
                  <w:r>
                    <w:rPr>
                      <w:color w:val="auto"/>
                      <w:szCs w:val="21"/>
                      <w:highlight w:val="none"/>
                    </w:rPr>
                    <w:t>O</w:t>
                  </w:r>
                  <w:r>
                    <w:rPr>
                      <w:color w:val="auto"/>
                      <w:szCs w:val="21"/>
                      <w:highlight w:val="none"/>
                      <w:vertAlign w:val="subscript"/>
                    </w:rPr>
                    <w:t>3</w:t>
                  </w:r>
                </w:p>
              </w:tc>
              <w:tc>
                <w:tcPr>
                  <w:tcW w:w="2677" w:type="dxa"/>
                  <w:vAlign w:val="center"/>
                </w:tcPr>
                <w:p>
                  <w:pPr>
                    <w:jc w:val="center"/>
                    <w:rPr>
                      <w:color w:val="auto"/>
                      <w:szCs w:val="21"/>
                      <w:highlight w:val="none"/>
                    </w:rPr>
                  </w:pPr>
                  <w:r>
                    <w:rPr>
                      <w:color w:val="auto"/>
                      <w:szCs w:val="21"/>
                      <w:highlight w:val="none"/>
                    </w:rPr>
                    <w:t>日最大8小时平均第90百分位数浓度</w:t>
                  </w:r>
                </w:p>
              </w:tc>
              <w:tc>
                <w:tcPr>
                  <w:tcW w:w="1395" w:type="dxa"/>
                  <w:vAlign w:val="center"/>
                </w:tcPr>
                <w:p>
                  <w:pPr>
                    <w:spacing w:line="360" w:lineRule="auto"/>
                    <w:jc w:val="center"/>
                    <w:rPr>
                      <w:color w:val="auto"/>
                      <w:szCs w:val="21"/>
                      <w:highlight w:val="none"/>
                    </w:rPr>
                  </w:pPr>
                  <w:r>
                    <w:rPr>
                      <w:rFonts w:hint="eastAsia"/>
                      <w:color w:val="auto"/>
                      <w:szCs w:val="21"/>
                      <w:highlight w:val="none"/>
                    </w:rPr>
                    <w:t>184</w:t>
                  </w:r>
                </w:p>
              </w:tc>
              <w:tc>
                <w:tcPr>
                  <w:tcW w:w="1457" w:type="dxa"/>
                  <w:vAlign w:val="center"/>
                </w:tcPr>
                <w:p>
                  <w:pPr>
                    <w:spacing w:line="360" w:lineRule="auto"/>
                    <w:jc w:val="center"/>
                    <w:rPr>
                      <w:color w:val="auto"/>
                      <w:szCs w:val="21"/>
                      <w:highlight w:val="none"/>
                    </w:rPr>
                  </w:pPr>
                  <w:r>
                    <w:rPr>
                      <w:color w:val="auto"/>
                      <w:szCs w:val="21"/>
                      <w:highlight w:val="none"/>
                    </w:rPr>
                    <w:t>≤160</w:t>
                  </w:r>
                </w:p>
              </w:tc>
              <w:tc>
                <w:tcPr>
                  <w:tcW w:w="1605" w:type="dxa"/>
                  <w:vAlign w:val="center"/>
                </w:tcPr>
                <w:p>
                  <w:pPr>
                    <w:spacing w:line="360" w:lineRule="auto"/>
                    <w:jc w:val="center"/>
                    <w:rPr>
                      <w:color w:val="auto"/>
                      <w:szCs w:val="21"/>
                      <w:highlight w:val="none"/>
                    </w:rPr>
                  </w:pPr>
                  <w:r>
                    <w:rPr>
                      <w:rFonts w:hint="eastAsia"/>
                      <w:color w:val="auto"/>
                      <w:szCs w:val="21"/>
                      <w:highlight w:val="none"/>
                    </w:rPr>
                    <w:t>1.15</w:t>
                  </w:r>
                </w:p>
              </w:tc>
              <w:tc>
                <w:tcPr>
                  <w:tcW w:w="1172" w:type="dxa"/>
                  <w:vAlign w:val="center"/>
                </w:tcPr>
                <w:p>
                  <w:pPr>
                    <w:spacing w:line="360" w:lineRule="auto"/>
                    <w:jc w:val="center"/>
                    <w:rPr>
                      <w:color w:val="auto"/>
                      <w:szCs w:val="21"/>
                      <w:highlight w:val="none"/>
                    </w:rPr>
                  </w:pPr>
                  <w:r>
                    <w:rPr>
                      <w:rFonts w:hint="eastAsia"/>
                      <w:color w:val="auto"/>
                      <w:szCs w:val="21"/>
                      <w:highlight w:val="none"/>
                    </w:rPr>
                    <w:t>不</w:t>
                  </w:r>
                  <w:r>
                    <w:rPr>
                      <w:color w:val="auto"/>
                      <w:szCs w:val="21"/>
                      <w:highlight w:val="none"/>
                    </w:rPr>
                    <w:t>达标</w:t>
                  </w:r>
                </w:p>
              </w:tc>
            </w:tr>
          </w:tbl>
          <w:p>
            <w:pPr>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由上表可见，该地区</w:t>
            </w:r>
            <w:r>
              <w:rPr>
                <w:rFonts w:hint="default" w:ascii="Times New Roman" w:hAnsi="Times New Roman" w:eastAsia="TimesNewRomanPSMT" w:cs="Times New Roman"/>
                <w:color w:val="auto"/>
                <w:sz w:val="24"/>
                <w:highlight w:val="none"/>
              </w:rPr>
              <w:t>SO</w:t>
            </w:r>
            <w:r>
              <w:rPr>
                <w:rFonts w:hint="default" w:ascii="Times New Roman" w:hAnsi="Times New Roman" w:eastAsia="TimesNewRomanPSMT" w:cs="Times New Roman"/>
                <w:color w:val="auto"/>
                <w:sz w:val="16"/>
                <w:highlight w:val="none"/>
              </w:rPr>
              <w:t>2</w:t>
            </w:r>
            <w:r>
              <w:rPr>
                <w:rFonts w:hint="default" w:ascii="Times New Roman" w:hAnsi="Times New Roman" w:cs="Times New Roman"/>
                <w:color w:val="auto"/>
                <w:sz w:val="24"/>
                <w:highlight w:val="none"/>
              </w:rPr>
              <w:t>、</w:t>
            </w:r>
            <w:r>
              <w:rPr>
                <w:rFonts w:hint="default" w:ascii="Times New Roman" w:hAnsi="Times New Roman" w:eastAsia="TimesNewRomanPSMT" w:cs="Times New Roman"/>
                <w:color w:val="auto"/>
                <w:sz w:val="24"/>
                <w:highlight w:val="none"/>
              </w:rPr>
              <w:t>NO</w:t>
            </w:r>
            <w:r>
              <w:rPr>
                <w:rFonts w:hint="default" w:ascii="Times New Roman" w:hAnsi="Times New Roman" w:eastAsia="TimesNewRomanPSMT" w:cs="Times New Roman"/>
                <w:color w:val="auto"/>
                <w:sz w:val="16"/>
                <w:highlight w:val="none"/>
              </w:rPr>
              <w:t>2</w:t>
            </w:r>
            <w:r>
              <w:rPr>
                <w:rFonts w:hint="default" w:ascii="Times New Roman" w:hAnsi="Times New Roman" w:cs="Times New Roman"/>
                <w:color w:val="auto"/>
                <w:sz w:val="24"/>
                <w:highlight w:val="none"/>
              </w:rPr>
              <w:t>、</w:t>
            </w:r>
            <w:r>
              <w:rPr>
                <w:rFonts w:hint="default" w:ascii="Times New Roman" w:hAnsi="Times New Roman" w:eastAsia="TimesNewRomanPSMT" w:cs="Times New Roman"/>
                <w:color w:val="auto"/>
                <w:sz w:val="24"/>
                <w:highlight w:val="none"/>
              </w:rPr>
              <w:t>PM</w:t>
            </w:r>
            <w:r>
              <w:rPr>
                <w:rFonts w:hint="default" w:ascii="Times New Roman" w:hAnsi="Times New Roman" w:eastAsia="TimesNewRomanPSMT" w:cs="Times New Roman"/>
                <w:color w:val="auto"/>
                <w:sz w:val="16"/>
                <w:highlight w:val="none"/>
              </w:rPr>
              <w:t xml:space="preserve">10 </w:t>
            </w:r>
            <w:r>
              <w:rPr>
                <w:rFonts w:hint="default" w:ascii="Times New Roman" w:hAnsi="Times New Roman" w:cs="Times New Roman"/>
                <w:color w:val="auto"/>
                <w:sz w:val="24"/>
                <w:highlight w:val="none"/>
              </w:rPr>
              <w:t>、</w:t>
            </w:r>
            <w:r>
              <w:rPr>
                <w:rFonts w:hint="default" w:ascii="Times New Roman" w:hAnsi="Times New Roman" w:eastAsia="TimesNewRomanPSMT" w:cs="Times New Roman"/>
                <w:color w:val="auto"/>
                <w:sz w:val="24"/>
                <w:highlight w:val="none"/>
              </w:rPr>
              <w:t>PM</w:t>
            </w:r>
            <w:r>
              <w:rPr>
                <w:rFonts w:hint="default" w:ascii="Times New Roman" w:hAnsi="Times New Roman" w:eastAsia="TimesNewRomanPSMT" w:cs="Times New Roman"/>
                <w:color w:val="auto"/>
                <w:sz w:val="16"/>
                <w:highlight w:val="none"/>
              </w:rPr>
              <w:t xml:space="preserve">2.5 </w:t>
            </w:r>
            <w:r>
              <w:rPr>
                <w:rFonts w:hint="default" w:ascii="Times New Roman" w:hAnsi="Times New Roman" w:cs="Times New Roman"/>
                <w:color w:val="auto"/>
                <w:sz w:val="24"/>
                <w:highlight w:val="none"/>
              </w:rPr>
              <w:t>年平均质量浓度以及</w:t>
            </w:r>
            <w:r>
              <w:rPr>
                <w:rFonts w:hint="default" w:ascii="Times New Roman" w:hAnsi="Times New Roman" w:eastAsia="TimesNewRomanPSMT" w:cs="Times New Roman"/>
                <w:color w:val="auto"/>
                <w:sz w:val="24"/>
                <w:highlight w:val="none"/>
              </w:rPr>
              <w:t>CO日均值第95百分位数浓度</w:t>
            </w:r>
            <w:r>
              <w:rPr>
                <w:rFonts w:hint="default" w:ascii="Times New Roman" w:hAnsi="Times New Roman" w:cs="Times New Roman"/>
                <w:color w:val="auto"/>
                <w:sz w:val="24"/>
                <w:highlight w:val="none"/>
              </w:rPr>
              <w:t>均满足《环境空气质量标准》（</w:t>
            </w:r>
            <w:r>
              <w:rPr>
                <w:rFonts w:hint="default" w:ascii="Times New Roman" w:hAnsi="Times New Roman" w:eastAsia="TimesNewRomanPSMT" w:cs="Times New Roman"/>
                <w:color w:val="auto"/>
                <w:sz w:val="24"/>
                <w:highlight w:val="none"/>
              </w:rPr>
              <w:t>GB3095-2012</w:t>
            </w:r>
            <w:r>
              <w:rPr>
                <w:rFonts w:hint="default" w:ascii="Times New Roman" w:hAnsi="Times New Roman" w:cs="Times New Roman"/>
                <w:color w:val="auto"/>
                <w:sz w:val="24"/>
                <w:highlight w:val="none"/>
              </w:rPr>
              <w:t>）及</w:t>
            </w:r>
            <w:r>
              <w:rPr>
                <w:rFonts w:hint="default" w:ascii="Times New Roman" w:hAnsi="Times New Roman" w:eastAsia="TimesNewRomanPSMT" w:cs="Times New Roman"/>
                <w:color w:val="auto"/>
                <w:sz w:val="24"/>
                <w:highlight w:val="none"/>
              </w:rPr>
              <w:t>”2018</w:t>
            </w:r>
            <w:r>
              <w:rPr>
                <w:rFonts w:hint="default" w:ascii="Times New Roman" w:hAnsi="Times New Roman" w:cs="Times New Roman"/>
                <w:color w:val="auto"/>
                <w:sz w:val="24"/>
                <w:highlight w:val="none"/>
              </w:rPr>
              <w:t>修改单</w:t>
            </w:r>
            <w:r>
              <w:rPr>
                <w:rFonts w:hint="default" w:ascii="Times New Roman" w:hAnsi="Times New Roman" w:eastAsia="TimesNewRomanPSMT" w:cs="Times New Roman"/>
                <w:color w:val="auto"/>
                <w:sz w:val="24"/>
                <w:highlight w:val="none"/>
              </w:rPr>
              <w:t>”</w:t>
            </w:r>
            <w:r>
              <w:rPr>
                <w:rFonts w:hint="default" w:ascii="Times New Roman" w:hAnsi="Times New Roman" w:cs="Times New Roman"/>
                <w:color w:val="auto"/>
                <w:sz w:val="24"/>
                <w:highlight w:val="none"/>
              </w:rPr>
              <w:t>二级标准要求，O</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日最大</w:t>
            </w:r>
            <w:r>
              <w:rPr>
                <w:rFonts w:hint="default" w:ascii="Times New Roman" w:hAnsi="Times New Roman" w:eastAsia="TimesNewRomanPSMT" w:cs="Times New Roman"/>
                <w:color w:val="auto"/>
                <w:sz w:val="24"/>
                <w:highlight w:val="none"/>
              </w:rPr>
              <w:t>8</w:t>
            </w:r>
            <w:r>
              <w:rPr>
                <w:rFonts w:hint="default" w:ascii="Times New Roman" w:hAnsi="Times New Roman" w:cs="Times New Roman"/>
                <w:color w:val="auto"/>
                <w:sz w:val="24"/>
                <w:highlight w:val="none"/>
              </w:rPr>
              <w:t>小时平均第</w:t>
            </w:r>
            <w:r>
              <w:rPr>
                <w:rFonts w:hint="default" w:ascii="Times New Roman" w:hAnsi="Times New Roman" w:eastAsia="TimesNewRomanPSMT" w:cs="Times New Roman"/>
                <w:color w:val="auto"/>
                <w:sz w:val="24"/>
                <w:highlight w:val="none"/>
              </w:rPr>
              <w:t>90</w:t>
            </w:r>
            <w:r>
              <w:rPr>
                <w:rFonts w:hint="default" w:ascii="Times New Roman" w:hAnsi="Times New Roman" w:cs="Times New Roman"/>
                <w:color w:val="auto"/>
                <w:sz w:val="24"/>
                <w:highlight w:val="none"/>
              </w:rPr>
              <w:t>百分位数不能满足《环境空气质量标准》（</w:t>
            </w:r>
            <w:r>
              <w:rPr>
                <w:rFonts w:hint="default" w:ascii="Times New Roman" w:hAnsi="Times New Roman" w:eastAsia="TimesNewRomanPSMT" w:cs="Times New Roman"/>
                <w:color w:val="auto"/>
                <w:sz w:val="24"/>
                <w:highlight w:val="none"/>
              </w:rPr>
              <w:t>GB3095-2012</w:t>
            </w:r>
            <w:r>
              <w:rPr>
                <w:rFonts w:hint="default" w:ascii="Times New Roman" w:hAnsi="Times New Roman" w:cs="Times New Roman"/>
                <w:color w:val="auto"/>
                <w:sz w:val="24"/>
                <w:highlight w:val="none"/>
              </w:rPr>
              <w:t>）及</w:t>
            </w:r>
            <w:r>
              <w:rPr>
                <w:rFonts w:hint="default" w:ascii="Times New Roman" w:hAnsi="Times New Roman" w:eastAsia="TimesNewRomanPSMT" w:cs="Times New Roman"/>
                <w:color w:val="auto"/>
                <w:sz w:val="24"/>
                <w:highlight w:val="none"/>
              </w:rPr>
              <w:t>”2018</w:t>
            </w:r>
            <w:r>
              <w:rPr>
                <w:rFonts w:hint="default" w:ascii="Times New Roman" w:hAnsi="Times New Roman" w:cs="Times New Roman"/>
                <w:color w:val="auto"/>
                <w:sz w:val="24"/>
                <w:highlight w:val="none"/>
              </w:rPr>
              <w:t>修改单</w:t>
            </w:r>
            <w:r>
              <w:rPr>
                <w:rFonts w:hint="default" w:ascii="Times New Roman" w:hAnsi="Times New Roman" w:eastAsia="TimesNewRomanPSMT" w:cs="Times New Roman"/>
                <w:color w:val="auto"/>
                <w:sz w:val="24"/>
                <w:highlight w:val="none"/>
              </w:rPr>
              <w:t>”</w:t>
            </w:r>
            <w:r>
              <w:rPr>
                <w:rFonts w:hint="default" w:ascii="Times New Roman" w:hAnsi="Times New Roman" w:cs="Times New Roman"/>
                <w:color w:val="auto"/>
                <w:sz w:val="24"/>
                <w:highlight w:val="none"/>
              </w:rPr>
              <w:t>二级标准要求，</w:t>
            </w:r>
            <w:r>
              <w:rPr>
                <w:rFonts w:hint="default" w:ascii="Times New Roman" w:hAnsi="Times New Roman" w:cs="Times New Roman"/>
                <w:bCs/>
                <w:color w:val="auto"/>
                <w:sz w:val="24"/>
                <w:highlight w:val="none"/>
              </w:rPr>
              <w:t>故该区域为环境空气质量不达标区域。</w:t>
            </w:r>
          </w:p>
          <w:p>
            <w:pPr>
              <w:pStyle w:val="49"/>
              <w:ind w:firstLine="482" w:firstLineChars="200"/>
              <w:rPr>
                <w:rFonts w:ascii="Times New Roman"/>
                <w:b/>
                <w:bCs/>
                <w:color w:val="auto"/>
                <w:sz w:val="24"/>
                <w:highlight w:val="none"/>
              </w:rPr>
            </w:pPr>
            <w:r>
              <w:rPr>
                <w:rFonts w:hint="eastAsia" w:ascii="Times New Roman"/>
                <w:b/>
                <w:bCs/>
                <w:color w:val="auto"/>
                <w:sz w:val="24"/>
                <w:highlight w:val="none"/>
              </w:rPr>
              <w:t>（2）基本污染物环境质量现状</w:t>
            </w:r>
          </w:p>
          <w:p>
            <w:pPr>
              <w:pStyle w:val="49"/>
              <w:spacing w:line="360" w:lineRule="auto"/>
              <w:ind w:firstLine="480" w:firstLineChars="200"/>
              <w:rPr>
                <w:rFonts w:ascii="Times New Roman"/>
                <w:color w:val="auto"/>
                <w:sz w:val="24"/>
                <w:highlight w:val="none"/>
              </w:rPr>
            </w:pPr>
            <w:r>
              <w:rPr>
                <w:rFonts w:ascii="Times New Roman"/>
                <w:color w:val="auto"/>
                <w:sz w:val="24"/>
                <w:highlight w:val="none"/>
              </w:rPr>
              <w:t>根据江门市环境保护局官网发布的《</w:t>
            </w:r>
            <w:r>
              <w:rPr>
                <w:rFonts w:hint="eastAsia" w:ascii="Times New Roman"/>
                <w:color w:val="auto"/>
                <w:sz w:val="24"/>
                <w:highlight w:val="none"/>
              </w:rPr>
              <w:t>2018年度江门市城市空气质量情况排名</w:t>
            </w:r>
            <w:r>
              <w:rPr>
                <w:rFonts w:ascii="Times New Roman"/>
                <w:color w:val="auto"/>
                <w:sz w:val="24"/>
                <w:highlight w:val="none"/>
              </w:rPr>
              <w:t>》，</w:t>
            </w:r>
            <w:r>
              <w:rPr>
                <w:rFonts w:hint="eastAsia" w:ascii="Times New Roman"/>
                <w:color w:val="auto"/>
                <w:sz w:val="24"/>
                <w:highlight w:val="none"/>
              </w:rPr>
              <w:t>开平市</w:t>
            </w:r>
            <w:r>
              <w:rPr>
                <w:rFonts w:ascii="Times New Roman"/>
                <w:color w:val="auto"/>
                <w:sz w:val="24"/>
                <w:highlight w:val="none"/>
              </w:rPr>
              <w:t>SO</w:t>
            </w:r>
            <w:r>
              <w:rPr>
                <w:rFonts w:ascii="Times New Roman"/>
                <w:color w:val="auto"/>
                <w:sz w:val="24"/>
                <w:highlight w:val="none"/>
                <w:vertAlign w:val="subscript"/>
              </w:rPr>
              <w:t>2</w:t>
            </w:r>
            <w:r>
              <w:rPr>
                <w:rFonts w:ascii="Times New Roman"/>
                <w:color w:val="auto"/>
                <w:sz w:val="24"/>
                <w:highlight w:val="none"/>
              </w:rPr>
              <w:t>、NO</w:t>
            </w:r>
            <w:r>
              <w:rPr>
                <w:rFonts w:ascii="Times New Roman"/>
                <w:color w:val="auto"/>
                <w:sz w:val="24"/>
                <w:highlight w:val="none"/>
                <w:vertAlign w:val="subscript"/>
              </w:rPr>
              <w:t>2</w:t>
            </w:r>
            <w:r>
              <w:rPr>
                <w:rFonts w:ascii="Times New Roman"/>
                <w:color w:val="auto"/>
                <w:sz w:val="24"/>
                <w:highlight w:val="none"/>
              </w:rPr>
              <w:t>、PM</w:t>
            </w:r>
            <w:r>
              <w:rPr>
                <w:rFonts w:ascii="Times New Roman"/>
                <w:color w:val="auto"/>
                <w:sz w:val="24"/>
                <w:highlight w:val="none"/>
                <w:vertAlign w:val="subscript"/>
              </w:rPr>
              <w:t>10</w:t>
            </w:r>
            <w:r>
              <w:rPr>
                <w:rFonts w:ascii="Times New Roman"/>
                <w:color w:val="auto"/>
                <w:sz w:val="24"/>
                <w:highlight w:val="none"/>
              </w:rPr>
              <w:t xml:space="preserve"> 、PM</w:t>
            </w:r>
            <w:r>
              <w:rPr>
                <w:rFonts w:ascii="Times New Roman"/>
                <w:color w:val="auto"/>
                <w:sz w:val="24"/>
                <w:highlight w:val="none"/>
                <w:vertAlign w:val="subscript"/>
              </w:rPr>
              <w:t>2.5</w:t>
            </w:r>
            <w:r>
              <w:rPr>
                <w:rFonts w:ascii="Times New Roman"/>
                <w:color w:val="auto"/>
                <w:sz w:val="24"/>
                <w:highlight w:val="none"/>
              </w:rPr>
              <w:t>、CO和O</w:t>
            </w:r>
            <w:r>
              <w:rPr>
                <w:rFonts w:ascii="Times New Roman"/>
                <w:color w:val="auto"/>
                <w:sz w:val="24"/>
                <w:highlight w:val="none"/>
                <w:vertAlign w:val="subscript"/>
              </w:rPr>
              <w:t>3</w:t>
            </w:r>
            <w:r>
              <w:rPr>
                <w:rFonts w:ascii="Times New Roman"/>
                <w:color w:val="auto"/>
                <w:sz w:val="24"/>
                <w:highlight w:val="none"/>
              </w:rPr>
              <w:t xml:space="preserve"> </w:t>
            </w:r>
            <w:r>
              <w:rPr>
                <w:rFonts w:hint="eastAsia" w:ascii="Times New Roman"/>
                <w:color w:val="auto"/>
                <w:sz w:val="24"/>
                <w:highlight w:val="none"/>
              </w:rPr>
              <w:t>六项基本污染物环境质量现状数据见下表。</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hint="eastAsia" w:eastAsia="宋体" w:cs="Times New Roman"/>
                <w:b/>
                <w:color w:val="auto"/>
                <w:sz w:val="21"/>
                <w:szCs w:val="21"/>
                <w:highlight w:val="none"/>
              </w:rPr>
              <w:t>基本污染物环境质量现状</w:t>
            </w:r>
          </w:p>
          <w:tbl>
            <w:tblPr>
              <w:tblStyle w:val="40"/>
              <w:tblW w:w="93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508"/>
              <w:gridCol w:w="555"/>
              <w:gridCol w:w="934"/>
              <w:gridCol w:w="1391"/>
              <w:gridCol w:w="1140"/>
              <w:gridCol w:w="1058"/>
              <w:gridCol w:w="997"/>
              <w:gridCol w:w="1089"/>
              <w:gridCol w:w="9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666" w:type="dxa"/>
                  <w:vMerge w:val="restart"/>
                  <w:vAlign w:val="center"/>
                </w:tcPr>
                <w:p>
                  <w:pPr>
                    <w:jc w:val="center"/>
                    <w:rPr>
                      <w:b/>
                      <w:bCs/>
                      <w:color w:val="auto"/>
                      <w:szCs w:val="21"/>
                      <w:highlight w:val="none"/>
                    </w:rPr>
                  </w:pPr>
                  <w:r>
                    <w:rPr>
                      <w:rFonts w:hint="eastAsia"/>
                      <w:b/>
                      <w:bCs/>
                      <w:color w:val="auto"/>
                      <w:szCs w:val="21"/>
                      <w:highlight w:val="none"/>
                    </w:rPr>
                    <w:t>监测点名称</w:t>
                  </w:r>
                </w:p>
              </w:tc>
              <w:tc>
                <w:tcPr>
                  <w:tcW w:w="1063" w:type="dxa"/>
                  <w:gridSpan w:val="2"/>
                  <w:vAlign w:val="center"/>
                </w:tcPr>
                <w:p>
                  <w:pPr>
                    <w:jc w:val="center"/>
                    <w:rPr>
                      <w:b/>
                      <w:bCs/>
                      <w:color w:val="auto"/>
                      <w:szCs w:val="21"/>
                      <w:highlight w:val="none"/>
                    </w:rPr>
                  </w:pPr>
                  <w:r>
                    <w:rPr>
                      <w:rFonts w:hint="eastAsia"/>
                      <w:b/>
                      <w:bCs/>
                      <w:color w:val="auto"/>
                      <w:szCs w:val="21"/>
                      <w:highlight w:val="none"/>
                    </w:rPr>
                    <w:t>监测点坐标</w:t>
                  </w:r>
                </w:p>
              </w:tc>
              <w:tc>
                <w:tcPr>
                  <w:tcW w:w="934" w:type="dxa"/>
                  <w:vMerge w:val="restart"/>
                  <w:vAlign w:val="center"/>
                </w:tcPr>
                <w:p>
                  <w:pPr>
                    <w:jc w:val="center"/>
                    <w:rPr>
                      <w:b/>
                      <w:bCs/>
                      <w:color w:val="auto"/>
                      <w:szCs w:val="21"/>
                      <w:highlight w:val="none"/>
                    </w:rPr>
                  </w:pPr>
                  <w:r>
                    <w:rPr>
                      <w:rFonts w:hint="eastAsia"/>
                      <w:b/>
                      <w:bCs/>
                      <w:color w:val="auto"/>
                      <w:szCs w:val="21"/>
                      <w:highlight w:val="none"/>
                    </w:rPr>
                    <w:t>污染物</w:t>
                  </w:r>
                </w:p>
              </w:tc>
              <w:tc>
                <w:tcPr>
                  <w:tcW w:w="1391" w:type="dxa"/>
                  <w:vMerge w:val="restart"/>
                  <w:vAlign w:val="center"/>
                </w:tcPr>
                <w:p>
                  <w:pPr>
                    <w:jc w:val="center"/>
                    <w:rPr>
                      <w:b/>
                      <w:bCs/>
                      <w:color w:val="auto"/>
                      <w:szCs w:val="21"/>
                      <w:highlight w:val="none"/>
                    </w:rPr>
                  </w:pPr>
                  <w:r>
                    <w:rPr>
                      <w:rFonts w:hint="eastAsia"/>
                      <w:b/>
                      <w:bCs/>
                      <w:color w:val="auto"/>
                      <w:szCs w:val="21"/>
                      <w:highlight w:val="none"/>
                    </w:rPr>
                    <w:t>年评价指标</w:t>
                  </w:r>
                </w:p>
              </w:tc>
              <w:tc>
                <w:tcPr>
                  <w:tcW w:w="1140" w:type="dxa"/>
                  <w:vMerge w:val="restart"/>
                  <w:vAlign w:val="center"/>
                </w:tcPr>
                <w:p>
                  <w:pPr>
                    <w:jc w:val="center"/>
                    <w:rPr>
                      <w:b/>
                      <w:bCs/>
                      <w:color w:val="auto"/>
                      <w:szCs w:val="21"/>
                      <w:highlight w:val="none"/>
                    </w:rPr>
                  </w:pPr>
                  <w:r>
                    <w:rPr>
                      <w:rFonts w:hint="eastAsia"/>
                      <w:b/>
                      <w:bCs/>
                      <w:color w:val="auto"/>
                      <w:szCs w:val="21"/>
                      <w:highlight w:val="none"/>
                    </w:rPr>
                    <w:t>现状浓度</w:t>
                  </w:r>
                  <w:r>
                    <w:rPr>
                      <w:b/>
                      <w:color w:val="auto"/>
                      <w:szCs w:val="21"/>
                      <w:highlight w:val="none"/>
                    </w:rPr>
                    <w:t>（μg/m³）</w:t>
                  </w:r>
                </w:p>
              </w:tc>
              <w:tc>
                <w:tcPr>
                  <w:tcW w:w="1058" w:type="dxa"/>
                  <w:vMerge w:val="restart"/>
                  <w:vAlign w:val="center"/>
                </w:tcPr>
                <w:p>
                  <w:pPr>
                    <w:jc w:val="center"/>
                    <w:rPr>
                      <w:b/>
                      <w:bCs/>
                      <w:color w:val="auto"/>
                      <w:szCs w:val="21"/>
                      <w:highlight w:val="none"/>
                    </w:rPr>
                  </w:pPr>
                  <w:r>
                    <w:rPr>
                      <w:rFonts w:hint="eastAsia"/>
                      <w:b/>
                      <w:bCs/>
                      <w:color w:val="auto"/>
                      <w:szCs w:val="21"/>
                      <w:highlight w:val="none"/>
                    </w:rPr>
                    <w:t>标准值</w:t>
                  </w:r>
                </w:p>
                <w:p>
                  <w:pPr>
                    <w:jc w:val="center"/>
                    <w:rPr>
                      <w:b/>
                      <w:bCs/>
                      <w:color w:val="auto"/>
                      <w:szCs w:val="21"/>
                      <w:highlight w:val="none"/>
                    </w:rPr>
                  </w:pPr>
                  <w:r>
                    <w:rPr>
                      <w:b/>
                      <w:color w:val="auto"/>
                      <w:szCs w:val="21"/>
                      <w:highlight w:val="none"/>
                    </w:rPr>
                    <w:t>（μg/m³）</w:t>
                  </w:r>
                </w:p>
              </w:tc>
              <w:tc>
                <w:tcPr>
                  <w:tcW w:w="997" w:type="dxa"/>
                  <w:vMerge w:val="restart"/>
                  <w:vAlign w:val="center"/>
                </w:tcPr>
                <w:p>
                  <w:pPr>
                    <w:jc w:val="center"/>
                    <w:rPr>
                      <w:b/>
                      <w:bCs/>
                      <w:color w:val="auto"/>
                      <w:szCs w:val="21"/>
                      <w:highlight w:val="none"/>
                    </w:rPr>
                  </w:pPr>
                  <w:r>
                    <w:rPr>
                      <w:rFonts w:hint="eastAsia"/>
                      <w:b/>
                      <w:bCs/>
                      <w:color w:val="auto"/>
                      <w:szCs w:val="21"/>
                      <w:highlight w:val="none"/>
                    </w:rPr>
                    <w:t>占标率</w:t>
                  </w:r>
                </w:p>
                <w:p>
                  <w:pPr>
                    <w:jc w:val="center"/>
                    <w:rPr>
                      <w:b/>
                      <w:bCs/>
                      <w:color w:val="auto"/>
                      <w:szCs w:val="21"/>
                      <w:highlight w:val="none"/>
                    </w:rPr>
                  </w:pPr>
                  <w:r>
                    <w:rPr>
                      <w:rFonts w:hint="eastAsia"/>
                      <w:b/>
                      <w:bCs/>
                      <w:color w:val="auto"/>
                      <w:szCs w:val="21"/>
                      <w:highlight w:val="none"/>
                    </w:rPr>
                    <w:t>（%）</w:t>
                  </w:r>
                </w:p>
              </w:tc>
              <w:tc>
                <w:tcPr>
                  <w:tcW w:w="1089" w:type="dxa"/>
                  <w:vMerge w:val="restart"/>
                  <w:vAlign w:val="center"/>
                </w:tcPr>
                <w:p>
                  <w:pPr>
                    <w:jc w:val="center"/>
                    <w:rPr>
                      <w:b/>
                      <w:bCs/>
                      <w:color w:val="auto"/>
                      <w:szCs w:val="21"/>
                      <w:highlight w:val="none"/>
                    </w:rPr>
                  </w:pPr>
                  <w:r>
                    <w:rPr>
                      <w:rFonts w:hint="eastAsia"/>
                      <w:b/>
                      <w:bCs/>
                      <w:color w:val="auto"/>
                      <w:szCs w:val="21"/>
                      <w:highlight w:val="none"/>
                    </w:rPr>
                    <w:t>超标</w:t>
                  </w:r>
                  <w:r>
                    <w:rPr>
                      <w:rFonts w:hint="eastAsia"/>
                      <w:b/>
                      <w:bCs/>
                      <w:color w:val="auto"/>
                      <w:szCs w:val="21"/>
                      <w:highlight w:val="none"/>
                      <w:lang w:eastAsia="zh-CN"/>
                    </w:rPr>
                    <w:t>频</w:t>
                  </w:r>
                  <w:r>
                    <w:rPr>
                      <w:rFonts w:hint="eastAsia"/>
                      <w:b/>
                      <w:bCs/>
                      <w:color w:val="auto"/>
                      <w:szCs w:val="21"/>
                      <w:highlight w:val="none"/>
                    </w:rPr>
                    <w:t>率（%）</w:t>
                  </w:r>
                </w:p>
              </w:tc>
              <w:tc>
                <w:tcPr>
                  <w:tcW w:w="982" w:type="dxa"/>
                  <w:vMerge w:val="restart"/>
                  <w:vAlign w:val="center"/>
                </w:tcPr>
                <w:p>
                  <w:pPr>
                    <w:jc w:val="center"/>
                    <w:rPr>
                      <w:b/>
                      <w:bCs/>
                      <w:color w:val="auto"/>
                      <w:szCs w:val="21"/>
                      <w:highlight w:val="none"/>
                    </w:rPr>
                  </w:pPr>
                  <w:r>
                    <w:rPr>
                      <w:b/>
                      <w:bCs/>
                      <w:color w:val="auto"/>
                      <w:szCs w:val="21"/>
                      <w:highlight w:val="none"/>
                    </w:rPr>
                    <w:t>达标</w:t>
                  </w:r>
                  <w:r>
                    <w:rPr>
                      <w:rFonts w:hint="eastAsia"/>
                      <w:b/>
                      <w:bCs/>
                      <w:color w:val="auto"/>
                      <w:szCs w:val="21"/>
                      <w:highlight w:val="none"/>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Merge w:val="continue"/>
                  <w:vAlign w:val="center"/>
                </w:tcPr>
                <w:p>
                  <w:pPr>
                    <w:jc w:val="center"/>
                    <w:rPr>
                      <w:b/>
                      <w:bCs/>
                      <w:color w:val="auto"/>
                      <w:szCs w:val="21"/>
                      <w:highlight w:val="none"/>
                    </w:rPr>
                  </w:pPr>
                </w:p>
              </w:tc>
              <w:tc>
                <w:tcPr>
                  <w:tcW w:w="508" w:type="dxa"/>
                  <w:vAlign w:val="center"/>
                </w:tcPr>
                <w:p>
                  <w:pPr>
                    <w:jc w:val="center"/>
                    <w:rPr>
                      <w:b/>
                      <w:bCs/>
                      <w:color w:val="auto"/>
                      <w:szCs w:val="21"/>
                      <w:highlight w:val="none"/>
                    </w:rPr>
                  </w:pPr>
                  <w:r>
                    <w:rPr>
                      <w:rFonts w:hint="eastAsia"/>
                      <w:b/>
                      <w:bCs/>
                      <w:color w:val="auto"/>
                      <w:szCs w:val="21"/>
                      <w:highlight w:val="none"/>
                    </w:rPr>
                    <w:t>X</w:t>
                  </w:r>
                </w:p>
              </w:tc>
              <w:tc>
                <w:tcPr>
                  <w:tcW w:w="555" w:type="dxa"/>
                  <w:vAlign w:val="center"/>
                </w:tcPr>
                <w:p>
                  <w:pPr>
                    <w:jc w:val="center"/>
                    <w:rPr>
                      <w:b/>
                      <w:bCs/>
                      <w:color w:val="auto"/>
                      <w:szCs w:val="21"/>
                      <w:highlight w:val="none"/>
                    </w:rPr>
                  </w:pPr>
                  <w:r>
                    <w:rPr>
                      <w:rFonts w:hint="eastAsia"/>
                      <w:b/>
                      <w:bCs/>
                      <w:color w:val="auto"/>
                      <w:szCs w:val="21"/>
                      <w:highlight w:val="none"/>
                    </w:rPr>
                    <w:t>Y</w:t>
                  </w:r>
                </w:p>
              </w:tc>
              <w:tc>
                <w:tcPr>
                  <w:tcW w:w="934" w:type="dxa"/>
                  <w:vMerge w:val="continue"/>
                  <w:vAlign w:val="center"/>
                </w:tcPr>
                <w:p>
                  <w:pPr>
                    <w:jc w:val="center"/>
                    <w:rPr>
                      <w:b/>
                      <w:bCs/>
                      <w:color w:val="auto"/>
                      <w:szCs w:val="21"/>
                      <w:highlight w:val="none"/>
                    </w:rPr>
                  </w:pPr>
                </w:p>
              </w:tc>
              <w:tc>
                <w:tcPr>
                  <w:tcW w:w="1391" w:type="dxa"/>
                  <w:vMerge w:val="continue"/>
                  <w:vAlign w:val="center"/>
                </w:tcPr>
                <w:p>
                  <w:pPr>
                    <w:jc w:val="center"/>
                    <w:rPr>
                      <w:b/>
                      <w:bCs/>
                      <w:color w:val="auto"/>
                      <w:szCs w:val="21"/>
                      <w:highlight w:val="none"/>
                    </w:rPr>
                  </w:pPr>
                </w:p>
              </w:tc>
              <w:tc>
                <w:tcPr>
                  <w:tcW w:w="1140" w:type="dxa"/>
                  <w:vMerge w:val="continue"/>
                  <w:vAlign w:val="center"/>
                </w:tcPr>
                <w:p>
                  <w:pPr>
                    <w:jc w:val="center"/>
                    <w:rPr>
                      <w:b/>
                      <w:bCs/>
                      <w:color w:val="auto"/>
                      <w:szCs w:val="21"/>
                      <w:highlight w:val="none"/>
                    </w:rPr>
                  </w:pPr>
                </w:p>
              </w:tc>
              <w:tc>
                <w:tcPr>
                  <w:tcW w:w="1058" w:type="dxa"/>
                  <w:vMerge w:val="continue"/>
                  <w:vAlign w:val="center"/>
                </w:tcPr>
                <w:p>
                  <w:pPr>
                    <w:jc w:val="center"/>
                    <w:rPr>
                      <w:b/>
                      <w:color w:val="auto"/>
                      <w:szCs w:val="21"/>
                      <w:highlight w:val="none"/>
                    </w:rPr>
                  </w:pPr>
                </w:p>
              </w:tc>
              <w:tc>
                <w:tcPr>
                  <w:tcW w:w="997" w:type="dxa"/>
                  <w:vMerge w:val="continue"/>
                  <w:vAlign w:val="center"/>
                </w:tcPr>
                <w:p>
                  <w:pPr>
                    <w:jc w:val="center"/>
                    <w:rPr>
                      <w:b/>
                      <w:bCs/>
                      <w:color w:val="auto"/>
                      <w:szCs w:val="21"/>
                      <w:highlight w:val="none"/>
                    </w:rPr>
                  </w:pPr>
                </w:p>
              </w:tc>
              <w:tc>
                <w:tcPr>
                  <w:tcW w:w="1089" w:type="dxa"/>
                  <w:vMerge w:val="continue"/>
                  <w:vAlign w:val="center"/>
                </w:tcPr>
                <w:p>
                  <w:pPr>
                    <w:jc w:val="center"/>
                    <w:rPr>
                      <w:b/>
                      <w:bCs/>
                      <w:color w:val="auto"/>
                      <w:szCs w:val="21"/>
                      <w:highlight w:val="none"/>
                    </w:rPr>
                  </w:pPr>
                </w:p>
              </w:tc>
              <w:tc>
                <w:tcPr>
                  <w:tcW w:w="982" w:type="dxa"/>
                  <w:vMerge w:val="continue"/>
                  <w:vAlign w:val="center"/>
                </w:tcPr>
                <w:p>
                  <w:pPr>
                    <w:jc w:val="center"/>
                    <w:rPr>
                      <w:b/>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66" w:type="dxa"/>
                  <w:vMerge w:val="restart"/>
                  <w:vAlign w:val="center"/>
                </w:tcPr>
                <w:p>
                  <w:pPr>
                    <w:jc w:val="center"/>
                    <w:rPr>
                      <w:color w:val="auto"/>
                      <w:szCs w:val="21"/>
                      <w:highlight w:val="none"/>
                    </w:rPr>
                  </w:pPr>
                  <w:r>
                    <w:rPr>
                      <w:rFonts w:hint="eastAsia"/>
                      <w:color w:val="auto"/>
                      <w:szCs w:val="21"/>
                      <w:highlight w:val="none"/>
                    </w:rPr>
                    <w:t>开平市气象站</w:t>
                  </w:r>
                </w:p>
              </w:tc>
              <w:tc>
                <w:tcPr>
                  <w:tcW w:w="508" w:type="dxa"/>
                  <w:vMerge w:val="restart"/>
                  <w:vAlign w:val="center"/>
                </w:tcPr>
                <w:p>
                  <w:pPr>
                    <w:jc w:val="center"/>
                    <w:rPr>
                      <w:color w:val="auto"/>
                      <w:szCs w:val="21"/>
                      <w:highlight w:val="none"/>
                    </w:rPr>
                  </w:pPr>
                  <w:r>
                    <w:rPr>
                      <w:rFonts w:hint="eastAsia"/>
                      <w:color w:val="auto"/>
                      <w:szCs w:val="21"/>
                      <w:highlight w:val="none"/>
                    </w:rPr>
                    <w:t>/</w:t>
                  </w:r>
                </w:p>
              </w:tc>
              <w:tc>
                <w:tcPr>
                  <w:tcW w:w="555" w:type="dxa"/>
                  <w:vMerge w:val="restart"/>
                  <w:vAlign w:val="center"/>
                </w:tcPr>
                <w:p>
                  <w:pPr>
                    <w:jc w:val="center"/>
                    <w:rPr>
                      <w:color w:val="auto"/>
                      <w:szCs w:val="21"/>
                      <w:highlight w:val="none"/>
                    </w:rPr>
                  </w:pPr>
                  <w:r>
                    <w:rPr>
                      <w:rFonts w:hint="eastAsia"/>
                      <w:color w:val="auto"/>
                      <w:szCs w:val="21"/>
                      <w:highlight w:val="none"/>
                    </w:rPr>
                    <w:t>/</w:t>
                  </w:r>
                </w:p>
              </w:tc>
              <w:tc>
                <w:tcPr>
                  <w:tcW w:w="934" w:type="dxa"/>
                  <w:vAlign w:val="center"/>
                </w:tcPr>
                <w:p>
                  <w:pPr>
                    <w:jc w:val="center"/>
                    <w:rPr>
                      <w:color w:val="auto"/>
                      <w:szCs w:val="21"/>
                      <w:highlight w:val="none"/>
                    </w:rPr>
                  </w:pPr>
                  <w:r>
                    <w:rPr>
                      <w:color w:val="auto"/>
                      <w:szCs w:val="21"/>
                      <w:highlight w:val="none"/>
                    </w:rPr>
                    <w:t>SO</w:t>
                  </w:r>
                  <w:r>
                    <w:rPr>
                      <w:color w:val="auto"/>
                      <w:szCs w:val="21"/>
                      <w:highlight w:val="none"/>
                      <w:vertAlign w:val="subscript"/>
                    </w:rPr>
                    <w:t>2</w:t>
                  </w:r>
                </w:p>
              </w:tc>
              <w:tc>
                <w:tcPr>
                  <w:tcW w:w="1391" w:type="dxa"/>
                  <w:vAlign w:val="center"/>
                </w:tcPr>
                <w:p>
                  <w:pPr>
                    <w:jc w:val="center"/>
                    <w:rPr>
                      <w:color w:val="auto"/>
                      <w:szCs w:val="21"/>
                      <w:highlight w:val="none"/>
                    </w:rPr>
                  </w:pPr>
                  <w:r>
                    <w:rPr>
                      <w:rFonts w:hint="eastAsia"/>
                      <w:color w:val="auto"/>
                      <w:szCs w:val="21"/>
                      <w:highlight w:val="none"/>
                    </w:rPr>
                    <w:t>年平均质量浓度</w:t>
                  </w:r>
                </w:p>
              </w:tc>
              <w:tc>
                <w:tcPr>
                  <w:tcW w:w="1140" w:type="dxa"/>
                  <w:vAlign w:val="center"/>
                </w:tcPr>
                <w:p>
                  <w:pPr>
                    <w:jc w:val="center"/>
                    <w:rPr>
                      <w:color w:val="auto"/>
                      <w:szCs w:val="21"/>
                      <w:highlight w:val="none"/>
                    </w:rPr>
                  </w:pPr>
                  <w:r>
                    <w:rPr>
                      <w:rFonts w:hint="eastAsia"/>
                      <w:color w:val="auto"/>
                      <w:szCs w:val="21"/>
                      <w:highlight w:val="none"/>
                    </w:rPr>
                    <w:t>11</w:t>
                  </w:r>
                </w:p>
              </w:tc>
              <w:tc>
                <w:tcPr>
                  <w:tcW w:w="1058" w:type="dxa"/>
                  <w:vAlign w:val="center"/>
                </w:tcPr>
                <w:p>
                  <w:pPr>
                    <w:jc w:val="center"/>
                    <w:rPr>
                      <w:color w:val="auto"/>
                      <w:szCs w:val="21"/>
                      <w:highlight w:val="none"/>
                    </w:rPr>
                  </w:pPr>
                  <w:r>
                    <w:rPr>
                      <w:color w:val="auto"/>
                      <w:szCs w:val="21"/>
                      <w:highlight w:val="none"/>
                    </w:rPr>
                    <w:t>≤60</w:t>
                  </w:r>
                </w:p>
              </w:tc>
              <w:tc>
                <w:tcPr>
                  <w:tcW w:w="997" w:type="dxa"/>
                  <w:vAlign w:val="center"/>
                </w:tcPr>
                <w:p>
                  <w:pPr>
                    <w:jc w:val="center"/>
                    <w:rPr>
                      <w:color w:val="auto"/>
                      <w:szCs w:val="21"/>
                      <w:highlight w:val="none"/>
                    </w:rPr>
                  </w:pPr>
                  <w:r>
                    <w:rPr>
                      <w:rFonts w:hint="eastAsia"/>
                      <w:color w:val="auto"/>
                      <w:szCs w:val="21"/>
                      <w:highlight w:val="none"/>
                    </w:rPr>
                    <w:t>18.3</w:t>
                  </w:r>
                </w:p>
              </w:tc>
              <w:tc>
                <w:tcPr>
                  <w:tcW w:w="1089" w:type="dxa"/>
                  <w:vAlign w:val="center"/>
                </w:tcPr>
                <w:p>
                  <w:pPr>
                    <w:jc w:val="center"/>
                    <w:rPr>
                      <w:rFonts w:hint="eastAsia" w:eastAsia="宋体"/>
                      <w:color w:val="auto"/>
                      <w:szCs w:val="21"/>
                      <w:highlight w:val="none"/>
                      <w:lang w:eastAsia="zh-CN"/>
                    </w:rPr>
                  </w:pPr>
                  <w:r>
                    <w:rPr>
                      <w:rFonts w:hint="eastAsia"/>
                      <w:color w:val="auto"/>
                      <w:szCs w:val="21"/>
                      <w:highlight w:val="none"/>
                      <w:lang w:val="en-US" w:eastAsia="zh-CN"/>
                    </w:rPr>
                    <w:t>/</w:t>
                  </w:r>
                </w:p>
              </w:tc>
              <w:tc>
                <w:tcPr>
                  <w:tcW w:w="982" w:type="dxa"/>
                  <w:vAlign w:val="center"/>
                </w:tcPr>
                <w:p>
                  <w:pPr>
                    <w:jc w:val="center"/>
                    <w:rPr>
                      <w:color w:val="auto"/>
                      <w:szCs w:val="21"/>
                      <w:highlight w:val="none"/>
                    </w:rPr>
                  </w:pPr>
                  <w:r>
                    <w:rPr>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66" w:type="dxa"/>
                  <w:vMerge w:val="continue"/>
                  <w:vAlign w:val="center"/>
                </w:tcPr>
                <w:p>
                  <w:pPr>
                    <w:jc w:val="center"/>
                    <w:rPr>
                      <w:color w:val="auto"/>
                      <w:szCs w:val="21"/>
                      <w:highlight w:val="none"/>
                    </w:rPr>
                  </w:pPr>
                </w:p>
              </w:tc>
              <w:tc>
                <w:tcPr>
                  <w:tcW w:w="508" w:type="dxa"/>
                  <w:vMerge w:val="continue"/>
                  <w:vAlign w:val="center"/>
                </w:tcPr>
                <w:p>
                  <w:pPr>
                    <w:jc w:val="center"/>
                    <w:rPr>
                      <w:color w:val="auto"/>
                      <w:szCs w:val="21"/>
                      <w:highlight w:val="none"/>
                    </w:rPr>
                  </w:pPr>
                </w:p>
              </w:tc>
              <w:tc>
                <w:tcPr>
                  <w:tcW w:w="555" w:type="dxa"/>
                  <w:vMerge w:val="continue"/>
                  <w:vAlign w:val="center"/>
                </w:tcPr>
                <w:p>
                  <w:pPr>
                    <w:jc w:val="center"/>
                    <w:rPr>
                      <w:color w:val="auto"/>
                      <w:szCs w:val="21"/>
                      <w:highlight w:val="none"/>
                    </w:rPr>
                  </w:pPr>
                </w:p>
              </w:tc>
              <w:tc>
                <w:tcPr>
                  <w:tcW w:w="934" w:type="dxa"/>
                  <w:vAlign w:val="center"/>
                </w:tcPr>
                <w:p>
                  <w:pPr>
                    <w:jc w:val="center"/>
                    <w:rPr>
                      <w:color w:val="auto"/>
                      <w:szCs w:val="21"/>
                      <w:highlight w:val="none"/>
                    </w:rPr>
                  </w:pPr>
                  <w:r>
                    <w:rPr>
                      <w:color w:val="auto"/>
                      <w:szCs w:val="21"/>
                      <w:highlight w:val="none"/>
                    </w:rPr>
                    <w:t>NO</w:t>
                  </w:r>
                  <w:r>
                    <w:rPr>
                      <w:color w:val="auto"/>
                      <w:szCs w:val="21"/>
                      <w:highlight w:val="none"/>
                      <w:vertAlign w:val="subscript"/>
                    </w:rPr>
                    <w:t>2</w:t>
                  </w:r>
                </w:p>
              </w:tc>
              <w:tc>
                <w:tcPr>
                  <w:tcW w:w="1391" w:type="dxa"/>
                  <w:vAlign w:val="center"/>
                </w:tcPr>
                <w:p>
                  <w:pPr>
                    <w:jc w:val="center"/>
                    <w:rPr>
                      <w:color w:val="auto"/>
                      <w:szCs w:val="21"/>
                      <w:highlight w:val="none"/>
                    </w:rPr>
                  </w:pPr>
                  <w:r>
                    <w:rPr>
                      <w:rFonts w:hint="eastAsia"/>
                      <w:color w:val="auto"/>
                      <w:szCs w:val="21"/>
                      <w:highlight w:val="none"/>
                    </w:rPr>
                    <w:t>年平均质量浓度</w:t>
                  </w:r>
                </w:p>
              </w:tc>
              <w:tc>
                <w:tcPr>
                  <w:tcW w:w="1140" w:type="dxa"/>
                  <w:vAlign w:val="center"/>
                </w:tcPr>
                <w:p>
                  <w:pPr>
                    <w:jc w:val="center"/>
                    <w:rPr>
                      <w:color w:val="auto"/>
                      <w:szCs w:val="21"/>
                      <w:highlight w:val="none"/>
                    </w:rPr>
                  </w:pPr>
                  <w:r>
                    <w:rPr>
                      <w:rFonts w:hint="eastAsia"/>
                      <w:color w:val="auto"/>
                      <w:szCs w:val="21"/>
                      <w:highlight w:val="none"/>
                    </w:rPr>
                    <w:t>25</w:t>
                  </w:r>
                </w:p>
              </w:tc>
              <w:tc>
                <w:tcPr>
                  <w:tcW w:w="1058" w:type="dxa"/>
                  <w:vAlign w:val="center"/>
                </w:tcPr>
                <w:p>
                  <w:pPr>
                    <w:jc w:val="center"/>
                    <w:rPr>
                      <w:color w:val="auto"/>
                      <w:szCs w:val="21"/>
                      <w:highlight w:val="none"/>
                    </w:rPr>
                  </w:pPr>
                  <w:r>
                    <w:rPr>
                      <w:color w:val="auto"/>
                      <w:szCs w:val="21"/>
                      <w:highlight w:val="none"/>
                    </w:rPr>
                    <w:t>≤40</w:t>
                  </w:r>
                </w:p>
              </w:tc>
              <w:tc>
                <w:tcPr>
                  <w:tcW w:w="997" w:type="dxa"/>
                  <w:vAlign w:val="center"/>
                </w:tcPr>
                <w:p>
                  <w:pPr>
                    <w:jc w:val="center"/>
                    <w:rPr>
                      <w:color w:val="auto"/>
                      <w:szCs w:val="21"/>
                      <w:highlight w:val="none"/>
                    </w:rPr>
                  </w:pPr>
                  <w:r>
                    <w:rPr>
                      <w:rFonts w:hint="eastAsia"/>
                      <w:color w:val="auto"/>
                      <w:szCs w:val="21"/>
                      <w:highlight w:val="none"/>
                    </w:rPr>
                    <w:t>62.5</w:t>
                  </w:r>
                </w:p>
              </w:tc>
              <w:tc>
                <w:tcPr>
                  <w:tcW w:w="1089" w:type="dxa"/>
                  <w:vAlign w:val="center"/>
                </w:tcPr>
                <w:p>
                  <w:pPr>
                    <w:jc w:val="center"/>
                    <w:rPr>
                      <w:rFonts w:hint="eastAsia" w:eastAsia="宋体"/>
                      <w:color w:val="auto"/>
                      <w:szCs w:val="21"/>
                      <w:highlight w:val="none"/>
                      <w:lang w:eastAsia="zh-CN"/>
                    </w:rPr>
                  </w:pPr>
                  <w:r>
                    <w:rPr>
                      <w:rFonts w:hint="eastAsia"/>
                      <w:color w:val="auto"/>
                      <w:szCs w:val="21"/>
                      <w:highlight w:val="none"/>
                      <w:lang w:val="en-US" w:eastAsia="zh-CN"/>
                    </w:rPr>
                    <w:t>/</w:t>
                  </w:r>
                </w:p>
              </w:tc>
              <w:tc>
                <w:tcPr>
                  <w:tcW w:w="982" w:type="dxa"/>
                  <w:vAlign w:val="center"/>
                </w:tcPr>
                <w:p>
                  <w:pPr>
                    <w:jc w:val="center"/>
                    <w:rPr>
                      <w:color w:val="auto"/>
                      <w:szCs w:val="21"/>
                      <w:highlight w:val="none"/>
                    </w:rPr>
                  </w:pPr>
                  <w:r>
                    <w:rPr>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66" w:type="dxa"/>
                  <w:vMerge w:val="continue"/>
                  <w:vAlign w:val="center"/>
                </w:tcPr>
                <w:p>
                  <w:pPr>
                    <w:jc w:val="center"/>
                    <w:rPr>
                      <w:color w:val="auto"/>
                      <w:szCs w:val="21"/>
                      <w:highlight w:val="none"/>
                    </w:rPr>
                  </w:pPr>
                </w:p>
              </w:tc>
              <w:tc>
                <w:tcPr>
                  <w:tcW w:w="508" w:type="dxa"/>
                  <w:vMerge w:val="continue"/>
                  <w:vAlign w:val="center"/>
                </w:tcPr>
                <w:p>
                  <w:pPr>
                    <w:jc w:val="center"/>
                    <w:rPr>
                      <w:color w:val="auto"/>
                      <w:szCs w:val="21"/>
                      <w:highlight w:val="none"/>
                    </w:rPr>
                  </w:pPr>
                </w:p>
              </w:tc>
              <w:tc>
                <w:tcPr>
                  <w:tcW w:w="555" w:type="dxa"/>
                  <w:vMerge w:val="continue"/>
                  <w:vAlign w:val="center"/>
                </w:tcPr>
                <w:p>
                  <w:pPr>
                    <w:jc w:val="center"/>
                    <w:rPr>
                      <w:color w:val="auto"/>
                      <w:szCs w:val="21"/>
                      <w:highlight w:val="none"/>
                    </w:rPr>
                  </w:pPr>
                </w:p>
              </w:tc>
              <w:tc>
                <w:tcPr>
                  <w:tcW w:w="934" w:type="dxa"/>
                  <w:vAlign w:val="center"/>
                </w:tcPr>
                <w:p>
                  <w:pPr>
                    <w:jc w:val="center"/>
                    <w:rPr>
                      <w:color w:val="auto"/>
                      <w:szCs w:val="21"/>
                      <w:highlight w:val="none"/>
                    </w:rPr>
                  </w:pPr>
                  <w:r>
                    <w:rPr>
                      <w:color w:val="auto"/>
                      <w:szCs w:val="21"/>
                      <w:highlight w:val="none"/>
                    </w:rPr>
                    <w:t>PM</w:t>
                  </w:r>
                  <w:r>
                    <w:rPr>
                      <w:color w:val="auto"/>
                      <w:szCs w:val="21"/>
                      <w:highlight w:val="none"/>
                      <w:vertAlign w:val="subscript"/>
                    </w:rPr>
                    <w:t>10</w:t>
                  </w:r>
                </w:p>
              </w:tc>
              <w:tc>
                <w:tcPr>
                  <w:tcW w:w="1391" w:type="dxa"/>
                  <w:vAlign w:val="center"/>
                </w:tcPr>
                <w:p>
                  <w:pPr>
                    <w:jc w:val="center"/>
                    <w:rPr>
                      <w:color w:val="auto"/>
                      <w:szCs w:val="21"/>
                      <w:highlight w:val="none"/>
                    </w:rPr>
                  </w:pPr>
                  <w:r>
                    <w:rPr>
                      <w:rFonts w:hint="eastAsia"/>
                      <w:color w:val="auto"/>
                      <w:szCs w:val="21"/>
                      <w:highlight w:val="none"/>
                    </w:rPr>
                    <w:t>年平均质量浓度</w:t>
                  </w:r>
                </w:p>
              </w:tc>
              <w:tc>
                <w:tcPr>
                  <w:tcW w:w="1140" w:type="dxa"/>
                  <w:vAlign w:val="center"/>
                </w:tcPr>
                <w:p>
                  <w:pPr>
                    <w:jc w:val="center"/>
                    <w:rPr>
                      <w:color w:val="auto"/>
                      <w:szCs w:val="21"/>
                      <w:highlight w:val="none"/>
                    </w:rPr>
                  </w:pPr>
                  <w:r>
                    <w:rPr>
                      <w:rFonts w:hint="eastAsia"/>
                      <w:color w:val="auto"/>
                      <w:szCs w:val="21"/>
                      <w:highlight w:val="none"/>
                    </w:rPr>
                    <w:t>56</w:t>
                  </w:r>
                </w:p>
              </w:tc>
              <w:tc>
                <w:tcPr>
                  <w:tcW w:w="1058" w:type="dxa"/>
                  <w:vAlign w:val="center"/>
                </w:tcPr>
                <w:p>
                  <w:pPr>
                    <w:jc w:val="center"/>
                    <w:rPr>
                      <w:color w:val="auto"/>
                      <w:szCs w:val="21"/>
                      <w:highlight w:val="none"/>
                    </w:rPr>
                  </w:pPr>
                  <w:r>
                    <w:rPr>
                      <w:color w:val="auto"/>
                      <w:szCs w:val="21"/>
                      <w:highlight w:val="none"/>
                    </w:rPr>
                    <w:t>≤70</w:t>
                  </w:r>
                </w:p>
              </w:tc>
              <w:tc>
                <w:tcPr>
                  <w:tcW w:w="997" w:type="dxa"/>
                  <w:vAlign w:val="center"/>
                </w:tcPr>
                <w:p>
                  <w:pPr>
                    <w:jc w:val="center"/>
                    <w:rPr>
                      <w:color w:val="auto"/>
                      <w:szCs w:val="21"/>
                      <w:highlight w:val="none"/>
                    </w:rPr>
                  </w:pPr>
                  <w:r>
                    <w:rPr>
                      <w:rFonts w:hint="eastAsia"/>
                      <w:color w:val="auto"/>
                      <w:szCs w:val="21"/>
                      <w:highlight w:val="none"/>
                    </w:rPr>
                    <w:t>80</w:t>
                  </w:r>
                </w:p>
              </w:tc>
              <w:tc>
                <w:tcPr>
                  <w:tcW w:w="1089" w:type="dxa"/>
                  <w:vAlign w:val="center"/>
                </w:tcPr>
                <w:p>
                  <w:pPr>
                    <w:jc w:val="center"/>
                    <w:rPr>
                      <w:color w:val="auto"/>
                      <w:szCs w:val="21"/>
                      <w:highlight w:val="none"/>
                    </w:rPr>
                  </w:pPr>
                  <w:r>
                    <w:rPr>
                      <w:rFonts w:hint="eastAsia"/>
                      <w:color w:val="auto"/>
                      <w:szCs w:val="21"/>
                      <w:highlight w:val="none"/>
                      <w:lang w:val="en-US" w:eastAsia="zh-CN"/>
                    </w:rPr>
                    <w:t>/</w:t>
                  </w:r>
                </w:p>
              </w:tc>
              <w:tc>
                <w:tcPr>
                  <w:tcW w:w="982" w:type="dxa"/>
                  <w:vAlign w:val="center"/>
                </w:tcPr>
                <w:p>
                  <w:pPr>
                    <w:jc w:val="center"/>
                    <w:rPr>
                      <w:color w:val="auto"/>
                      <w:szCs w:val="21"/>
                      <w:highlight w:val="none"/>
                    </w:rPr>
                  </w:pPr>
                  <w:r>
                    <w:rPr>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66" w:type="dxa"/>
                  <w:vMerge w:val="continue"/>
                  <w:vAlign w:val="center"/>
                </w:tcPr>
                <w:p>
                  <w:pPr>
                    <w:jc w:val="center"/>
                    <w:rPr>
                      <w:color w:val="auto"/>
                      <w:szCs w:val="21"/>
                      <w:highlight w:val="none"/>
                    </w:rPr>
                  </w:pPr>
                </w:p>
              </w:tc>
              <w:tc>
                <w:tcPr>
                  <w:tcW w:w="508" w:type="dxa"/>
                  <w:vMerge w:val="continue"/>
                  <w:vAlign w:val="center"/>
                </w:tcPr>
                <w:p>
                  <w:pPr>
                    <w:jc w:val="center"/>
                    <w:rPr>
                      <w:color w:val="auto"/>
                      <w:szCs w:val="21"/>
                      <w:highlight w:val="none"/>
                    </w:rPr>
                  </w:pPr>
                </w:p>
              </w:tc>
              <w:tc>
                <w:tcPr>
                  <w:tcW w:w="555" w:type="dxa"/>
                  <w:vMerge w:val="continue"/>
                  <w:vAlign w:val="center"/>
                </w:tcPr>
                <w:p>
                  <w:pPr>
                    <w:jc w:val="center"/>
                    <w:rPr>
                      <w:color w:val="auto"/>
                      <w:szCs w:val="21"/>
                      <w:highlight w:val="none"/>
                    </w:rPr>
                  </w:pPr>
                </w:p>
              </w:tc>
              <w:tc>
                <w:tcPr>
                  <w:tcW w:w="934" w:type="dxa"/>
                  <w:vAlign w:val="center"/>
                </w:tcPr>
                <w:p>
                  <w:pPr>
                    <w:jc w:val="center"/>
                    <w:rPr>
                      <w:color w:val="auto"/>
                      <w:szCs w:val="21"/>
                      <w:highlight w:val="none"/>
                    </w:rPr>
                  </w:pPr>
                  <w:r>
                    <w:rPr>
                      <w:color w:val="auto"/>
                      <w:szCs w:val="21"/>
                      <w:highlight w:val="none"/>
                    </w:rPr>
                    <w:t>PM</w:t>
                  </w:r>
                  <w:r>
                    <w:rPr>
                      <w:color w:val="auto"/>
                      <w:szCs w:val="21"/>
                      <w:highlight w:val="none"/>
                      <w:vertAlign w:val="subscript"/>
                    </w:rPr>
                    <w:t>2.5</w:t>
                  </w:r>
                </w:p>
              </w:tc>
              <w:tc>
                <w:tcPr>
                  <w:tcW w:w="1391" w:type="dxa"/>
                  <w:vAlign w:val="center"/>
                </w:tcPr>
                <w:p>
                  <w:pPr>
                    <w:jc w:val="center"/>
                    <w:rPr>
                      <w:color w:val="auto"/>
                      <w:szCs w:val="21"/>
                      <w:highlight w:val="none"/>
                    </w:rPr>
                  </w:pPr>
                  <w:r>
                    <w:rPr>
                      <w:rFonts w:hint="eastAsia"/>
                      <w:color w:val="auto"/>
                      <w:szCs w:val="21"/>
                      <w:highlight w:val="none"/>
                    </w:rPr>
                    <w:t>年平均质量浓度</w:t>
                  </w:r>
                </w:p>
              </w:tc>
              <w:tc>
                <w:tcPr>
                  <w:tcW w:w="1140" w:type="dxa"/>
                  <w:vAlign w:val="center"/>
                </w:tcPr>
                <w:p>
                  <w:pPr>
                    <w:jc w:val="center"/>
                    <w:rPr>
                      <w:color w:val="auto"/>
                      <w:szCs w:val="21"/>
                      <w:highlight w:val="none"/>
                    </w:rPr>
                  </w:pPr>
                  <w:r>
                    <w:rPr>
                      <w:rFonts w:hint="eastAsia"/>
                      <w:color w:val="auto"/>
                      <w:szCs w:val="21"/>
                      <w:highlight w:val="none"/>
                    </w:rPr>
                    <w:t>30</w:t>
                  </w:r>
                </w:p>
              </w:tc>
              <w:tc>
                <w:tcPr>
                  <w:tcW w:w="1058" w:type="dxa"/>
                  <w:vAlign w:val="center"/>
                </w:tcPr>
                <w:p>
                  <w:pPr>
                    <w:jc w:val="center"/>
                    <w:rPr>
                      <w:color w:val="auto"/>
                      <w:szCs w:val="21"/>
                      <w:highlight w:val="none"/>
                    </w:rPr>
                  </w:pPr>
                  <w:r>
                    <w:rPr>
                      <w:color w:val="auto"/>
                      <w:szCs w:val="21"/>
                      <w:highlight w:val="none"/>
                    </w:rPr>
                    <w:t>≤35</w:t>
                  </w:r>
                </w:p>
              </w:tc>
              <w:tc>
                <w:tcPr>
                  <w:tcW w:w="997" w:type="dxa"/>
                  <w:vAlign w:val="center"/>
                </w:tcPr>
                <w:p>
                  <w:pPr>
                    <w:jc w:val="center"/>
                    <w:rPr>
                      <w:color w:val="auto"/>
                      <w:szCs w:val="21"/>
                      <w:highlight w:val="none"/>
                    </w:rPr>
                  </w:pPr>
                  <w:r>
                    <w:rPr>
                      <w:rFonts w:hint="eastAsia"/>
                      <w:color w:val="auto"/>
                      <w:szCs w:val="21"/>
                      <w:highlight w:val="none"/>
                    </w:rPr>
                    <w:t>85.7</w:t>
                  </w:r>
                </w:p>
              </w:tc>
              <w:tc>
                <w:tcPr>
                  <w:tcW w:w="1089" w:type="dxa"/>
                  <w:vAlign w:val="center"/>
                </w:tcPr>
                <w:p>
                  <w:pPr>
                    <w:jc w:val="center"/>
                    <w:rPr>
                      <w:color w:val="auto"/>
                      <w:szCs w:val="21"/>
                      <w:highlight w:val="none"/>
                    </w:rPr>
                  </w:pPr>
                  <w:r>
                    <w:rPr>
                      <w:rFonts w:hint="eastAsia"/>
                      <w:color w:val="auto"/>
                      <w:szCs w:val="21"/>
                      <w:highlight w:val="none"/>
                      <w:lang w:val="en-US" w:eastAsia="zh-CN"/>
                    </w:rPr>
                    <w:t>/</w:t>
                  </w:r>
                </w:p>
              </w:tc>
              <w:tc>
                <w:tcPr>
                  <w:tcW w:w="982" w:type="dxa"/>
                  <w:vAlign w:val="center"/>
                </w:tcPr>
                <w:p>
                  <w:pPr>
                    <w:jc w:val="center"/>
                    <w:rPr>
                      <w:color w:val="auto"/>
                      <w:szCs w:val="21"/>
                      <w:highlight w:val="none"/>
                    </w:rPr>
                  </w:pPr>
                  <w:r>
                    <w:rPr>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66" w:type="dxa"/>
                  <w:vMerge w:val="continue"/>
                  <w:vAlign w:val="center"/>
                </w:tcPr>
                <w:p>
                  <w:pPr>
                    <w:jc w:val="center"/>
                    <w:rPr>
                      <w:color w:val="auto"/>
                      <w:szCs w:val="21"/>
                      <w:highlight w:val="none"/>
                    </w:rPr>
                  </w:pPr>
                </w:p>
              </w:tc>
              <w:tc>
                <w:tcPr>
                  <w:tcW w:w="508" w:type="dxa"/>
                  <w:vMerge w:val="continue"/>
                  <w:vAlign w:val="center"/>
                </w:tcPr>
                <w:p>
                  <w:pPr>
                    <w:jc w:val="center"/>
                    <w:rPr>
                      <w:color w:val="auto"/>
                      <w:szCs w:val="21"/>
                      <w:highlight w:val="none"/>
                    </w:rPr>
                  </w:pPr>
                </w:p>
              </w:tc>
              <w:tc>
                <w:tcPr>
                  <w:tcW w:w="555" w:type="dxa"/>
                  <w:vMerge w:val="continue"/>
                  <w:vAlign w:val="center"/>
                </w:tcPr>
                <w:p>
                  <w:pPr>
                    <w:jc w:val="center"/>
                    <w:rPr>
                      <w:color w:val="auto"/>
                      <w:szCs w:val="21"/>
                      <w:highlight w:val="none"/>
                    </w:rPr>
                  </w:pPr>
                </w:p>
              </w:tc>
              <w:tc>
                <w:tcPr>
                  <w:tcW w:w="934" w:type="dxa"/>
                  <w:vAlign w:val="center"/>
                </w:tcPr>
                <w:p>
                  <w:pPr>
                    <w:jc w:val="center"/>
                    <w:rPr>
                      <w:color w:val="auto"/>
                      <w:szCs w:val="21"/>
                      <w:highlight w:val="none"/>
                    </w:rPr>
                  </w:pPr>
                  <w:r>
                    <w:rPr>
                      <w:color w:val="auto"/>
                      <w:szCs w:val="21"/>
                      <w:highlight w:val="none"/>
                    </w:rPr>
                    <w:t>CO</w:t>
                  </w:r>
                </w:p>
              </w:tc>
              <w:tc>
                <w:tcPr>
                  <w:tcW w:w="1391" w:type="dxa"/>
                  <w:vAlign w:val="center"/>
                </w:tcPr>
                <w:p>
                  <w:pPr>
                    <w:jc w:val="center"/>
                    <w:rPr>
                      <w:color w:val="auto"/>
                      <w:szCs w:val="21"/>
                      <w:highlight w:val="none"/>
                    </w:rPr>
                  </w:pPr>
                  <w:r>
                    <w:rPr>
                      <w:color w:val="auto"/>
                      <w:szCs w:val="21"/>
                      <w:highlight w:val="none"/>
                    </w:rPr>
                    <w:t>日均值第95百分位数浓度</w:t>
                  </w:r>
                </w:p>
              </w:tc>
              <w:tc>
                <w:tcPr>
                  <w:tcW w:w="1140" w:type="dxa"/>
                  <w:vAlign w:val="center"/>
                </w:tcPr>
                <w:p>
                  <w:pPr>
                    <w:jc w:val="center"/>
                    <w:rPr>
                      <w:color w:val="auto"/>
                      <w:szCs w:val="21"/>
                      <w:highlight w:val="none"/>
                    </w:rPr>
                  </w:pPr>
                  <w:r>
                    <w:rPr>
                      <w:rFonts w:hint="eastAsia"/>
                      <w:color w:val="auto"/>
                      <w:szCs w:val="21"/>
                      <w:highlight w:val="none"/>
                    </w:rPr>
                    <w:t>1200</w:t>
                  </w:r>
                </w:p>
              </w:tc>
              <w:tc>
                <w:tcPr>
                  <w:tcW w:w="1058" w:type="dxa"/>
                  <w:vAlign w:val="center"/>
                </w:tcPr>
                <w:p>
                  <w:pPr>
                    <w:jc w:val="center"/>
                    <w:rPr>
                      <w:color w:val="auto"/>
                      <w:szCs w:val="21"/>
                      <w:highlight w:val="none"/>
                    </w:rPr>
                  </w:pPr>
                  <w:r>
                    <w:rPr>
                      <w:color w:val="auto"/>
                      <w:szCs w:val="21"/>
                      <w:highlight w:val="none"/>
                    </w:rPr>
                    <w:t>≤4000</w:t>
                  </w:r>
                </w:p>
              </w:tc>
              <w:tc>
                <w:tcPr>
                  <w:tcW w:w="997" w:type="dxa"/>
                  <w:vAlign w:val="center"/>
                </w:tcPr>
                <w:p>
                  <w:pPr>
                    <w:jc w:val="center"/>
                    <w:rPr>
                      <w:color w:val="auto"/>
                      <w:szCs w:val="21"/>
                      <w:highlight w:val="none"/>
                    </w:rPr>
                  </w:pPr>
                  <w:r>
                    <w:rPr>
                      <w:rFonts w:hint="eastAsia"/>
                      <w:color w:val="auto"/>
                      <w:szCs w:val="21"/>
                      <w:highlight w:val="none"/>
                    </w:rPr>
                    <w:t>30</w:t>
                  </w:r>
                </w:p>
              </w:tc>
              <w:tc>
                <w:tcPr>
                  <w:tcW w:w="1089" w:type="dxa"/>
                  <w:vAlign w:val="center"/>
                </w:tcPr>
                <w:p>
                  <w:pPr>
                    <w:jc w:val="center"/>
                    <w:rPr>
                      <w:color w:val="auto"/>
                      <w:szCs w:val="21"/>
                      <w:highlight w:val="none"/>
                    </w:rPr>
                  </w:pPr>
                  <w:r>
                    <w:rPr>
                      <w:rFonts w:hint="eastAsia"/>
                      <w:color w:val="auto"/>
                      <w:szCs w:val="21"/>
                      <w:highlight w:val="none"/>
                      <w:lang w:val="en-US" w:eastAsia="zh-CN"/>
                    </w:rPr>
                    <w:t>/</w:t>
                  </w:r>
                </w:p>
              </w:tc>
              <w:tc>
                <w:tcPr>
                  <w:tcW w:w="982" w:type="dxa"/>
                  <w:vAlign w:val="center"/>
                </w:tcPr>
                <w:p>
                  <w:pPr>
                    <w:jc w:val="center"/>
                    <w:rPr>
                      <w:color w:val="auto"/>
                      <w:szCs w:val="21"/>
                      <w:highlight w:val="none"/>
                    </w:rPr>
                  </w:pPr>
                  <w:r>
                    <w:rPr>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666" w:type="dxa"/>
                  <w:vMerge w:val="continue"/>
                  <w:vAlign w:val="center"/>
                </w:tcPr>
                <w:p>
                  <w:pPr>
                    <w:jc w:val="center"/>
                    <w:rPr>
                      <w:color w:val="auto"/>
                      <w:szCs w:val="21"/>
                      <w:highlight w:val="none"/>
                    </w:rPr>
                  </w:pPr>
                </w:p>
              </w:tc>
              <w:tc>
                <w:tcPr>
                  <w:tcW w:w="508" w:type="dxa"/>
                  <w:vMerge w:val="continue"/>
                  <w:vAlign w:val="center"/>
                </w:tcPr>
                <w:p>
                  <w:pPr>
                    <w:jc w:val="center"/>
                    <w:rPr>
                      <w:color w:val="auto"/>
                      <w:szCs w:val="21"/>
                      <w:highlight w:val="none"/>
                    </w:rPr>
                  </w:pPr>
                </w:p>
              </w:tc>
              <w:tc>
                <w:tcPr>
                  <w:tcW w:w="555" w:type="dxa"/>
                  <w:vMerge w:val="continue"/>
                  <w:vAlign w:val="center"/>
                </w:tcPr>
                <w:p>
                  <w:pPr>
                    <w:jc w:val="center"/>
                    <w:rPr>
                      <w:color w:val="auto"/>
                      <w:szCs w:val="21"/>
                      <w:highlight w:val="none"/>
                    </w:rPr>
                  </w:pPr>
                </w:p>
              </w:tc>
              <w:tc>
                <w:tcPr>
                  <w:tcW w:w="934" w:type="dxa"/>
                  <w:vAlign w:val="center"/>
                </w:tcPr>
                <w:p>
                  <w:pPr>
                    <w:jc w:val="center"/>
                    <w:rPr>
                      <w:color w:val="auto"/>
                      <w:szCs w:val="21"/>
                      <w:highlight w:val="none"/>
                    </w:rPr>
                  </w:pPr>
                  <w:r>
                    <w:rPr>
                      <w:color w:val="auto"/>
                      <w:szCs w:val="21"/>
                      <w:highlight w:val="none"/>
                    </w:rPr>
                    <w:t>O</w:t>
                  </w:r>
                  <w:r>
                    <w:rPr>
                      <w:color w:val="auto"/>
                      <w:szCs w:val="21"/>
                      <w:highlight w:val="none"/>
                      <w:vertAlign w:val="subscript"/>
                    </w:rPr>
                    <w:t>3</w:t>
                  </w:r>
                </w:p>
              </w:tc>
              <w:tc>
                <w:tcPr>
                  <w:tcW w:w="1391" w:type="dxa"/>
                  <w:vAlign w:val="center"/>
                </w:tcPr>
                <w:p>
                  <w:pPr>
                    <w:jc w:val="center"/>
                    <w:rPr>
                      <w:color w:val="auto"/>
                      <w:szCs w:val="21"/>
                      <w:highlight w:val="none"/>
                    </w:rPr>
                  </w:pPr>
                  <w:r>
                    <w:rPr>
                      <w:color w:val="auto"/>
                      <w:szCs w:val="21"/>
                      <w:highlight w:val="none"/>
                    </w:rPr>
                    <w:t>日最大8小时平均第90百分位数浓度</w:t>
                  </w:r>
                </w:p>
              </w:tc>
              <w:tc>
                <w:tcPr>
                  <w:tcW w:w="1140" w:type="dxa"/>
                  <w:vAlign w:val="center"/>
                </w:tcPr>
                <w:p>
                  <w:pPr>
                    <w:jc w:val="center"/>
                    <w:rPr>
                      <w:color w:val="auto"/>
                      <w:szCs w:val="21"/>
                      <w:highlight w:val="none"/>
                    </w:rPr>
                  </w:pPr>
                  <w:r>
                    <w:rPr>
                      <w:rFonts w:hint="eastAsia"/>
                      <w:color w:val="auto"/>
                      <w:szCs w:val="21"/>
                      <w:highlight w:val="none"/>
                    </w:rPr>
                    <w:t>169</w:t>
                  </w:r>
                </w:p>
              </w:tc>
              <w:tc>
                <w:tcPr>
                  <w:tcW w:w="1058" w:type="dxa"/>
                  <w:vAlign w:val="center"/>
                </w:tcPr>
                <w:p>
                  <w:pPr>
                    <w:jc w:val="center"/>
                    <w:rPr>
                      <w:color w:val="auto"/>
                      <w:szCs w:val="21"/>
                      <w:highlight w:val="none"/>
                    </w:rPr>
                  </w:pPr>
                  <w:r>
                    <w:rPr>
                      <w:color w:val="auto"/>
                      <w:szCs w:val="21"/>
                      <w:highlight w:val="none"/>
                    </w:rPr>
                    <w:t>≤160</w:t>
                  </w:r>
                </w:p>
              </w:tc>
              <w:tc>
                <w:tcPr>
                  <w:tcW w:w="997" w:type="dxa"/>
                  <w:vAlign w:val="center"/>
                </w:tcPr>
                <w:p>
                  <w:pPr>
                    <w:jc w:val="center"/>
                    <w:rPr>
                      <w:color w:val="auto"/>
                      <w:szCs w:val="21"/>
                      <w:highlight w:val="none"/>
                    </w:rPr>
                  </w:pPr>
                  <w:r>
                    <w:rPr>
                      <w:rFonts w:hint="eastAsia"/>
                      <w:color w:val="auto"/>
                      <w:szCs w:val="21"/>
                      <w:highlight w:val="none"/>
                    </w:rPr>
                    <w:t>105.6</w:t>
                  </w:r>
                </w:p>
              </w:tc>
              <w:tc>
                <w:tcPr>
                  <w:tcW w:w="1089" w:type="dxa"/>
                  <w:vAlign w:val="center"/>
                </w:tcPr>
                <w:p>
                  <w:pPr>
                    <w:jc w:val="center"/>
                    <w:rPr>
                      <w:rFonts w:hint="default"/>
                      <w:color w:val="auto"/>
                      <w:szCs w:val="21"/>
                      <w:highlight w:val="none"/>
                      <w:lang w:val="en-US"/>
                    </w:rPr>
                  </w:pPr>
                  <w:r>
                    <w:rPr>
                      <w:rFonts w:hint="eastAsia"/>
                      <w:color w:val="auto"/>
                      <w:szCs w:val="21"/>
                      <w:highlight w:val="none"/>
                      <w:lang w:val="en-US" w:eastAsia="zh-CN"/>
                    </w:rPr>
                    <w:t>/</w:t>
                  </w:r>
                </w:p>
              </w:tc>
              <w:tc>
                <w:tcPr>
                  <w:tcW w:w="982" w:type="dxa"/>
                  <w:vAlign w:val="center"/>
                </w:tcPr>
                <w:p>
                  <w:pPr>
                    <w:jc w:val="center"/>
                    <w:rPr>
                      <w:color w:val="auto"/>
                      <w:szCs w:val="21"/>
                      <w:highlight w:val="none"/>
                    </w:rPr>
                  </w:pPr>
                  <w:r>
                    <w:rPr>
                      <w:rFonts w:hint="eastAsia"/>
                      <w:color w:val="auto"/>
                      <w:szCs w:val="21"/>
                      <w:highlight w:val="none"/>
                    </w:rPr>
                    <w:t>不</w:t>
                  </w:r>
                  <w:r>
                    <w:rPr>
                      <w:color w:val="auto"/>
                      <w:szCs w:val="21"/>
                      <w:highlight w:val="none"/>
                    </w:rPr>
                    <w:t>达标</w:t>
                  </w:r>
                </w:p>
              </w:tc>
            </w:tr>
          </w:tbl>
          <w:p>
            <w:pPr>
              <w:pStyle w:val="3"/>
              <w:spacing w:before="0" w:after="0" w:line="360" w:lineRule="auto"/>
              <w:ind w:firstLine="480" w:firstLineChars="200"/>
              <w:rPr>
                <w:rFonts w:ascii="Times New Roman" w:hAnsi="Times New Roman" w:eastAsiaTheme="minorEastAsia"/>
                <w:b w:val="0"/>
                <w:bCs/>
                <w:color w:val="auto"/>
                <w:highlight w:val="none"/>
              </w:rPr>
            </w:pPr>
            <w:r>
              <w:rPr>
                <w:rFonts w:ascii="Times New Roman" w:hAnsi="Times New Roman" w:eastAsiaTheme="minorEastAsia"/>
                <w:b w:val="0"/>
                <w:bCs/>
                <w:color w:val="auto"/>
                <w:highlight w:val="none"/>
              </w:rPr>
              <w:t>由上表可见，该地区SO</w:t>
            </w:r>
            <w:r>
              <w:rPr>
                <w:rFonts w:ascii="Times New Roman" w:hAnsi="Times New Roman" w:eastAsiaTheme="minorEastAsia"/>
                <w:b w:val="0"/>
                <w:bCs/>
                <w:color w:val="auto"/>
                <w:sz w:val="16"/>
                <w:highlight w:val="none"/>
              </w:rPr>
              <w:t>2</w:t>
            </w:r>
            <w:r>
              <w:rPr>
                <w:rFonts w:ascii="Times New Roman" w:hAnsi="Times New Roman" w:eastAsiaTheme="minorEastAsia"/>
                <w:b w:val="0"/>
                <w:bCs/>
                <w:color w:val="auto"/>
                <w:highlight w:val="none"/>
              </w:rPr>
              <w:t>、NO</w:t>
            </w:r>
            <w:r>
              <w:rPr>
                <w:rFonts w:ascii="Times New Roman" w:hAnsi="Times New Roman" w:eastAsiaTheme="minorEastAsia"/>
                <w:b w:val="0"/>
                <w:bCs/>
                <w:color w:val="auto"/>
                <w:sz w:val="16"/>
                <w:highlight w:val="none"/>
              </w:rPr>
              <w:t>2</w:t>
            </w:r>
            <w:r>
              <w:rPr>
                <w:rFonts w:ascii="Times New Roman" w:hAnsi="Times New Roman" w:eastAsiaTheme="minorEastAsia"/>
                <w:b w:val="0"/>
                <w:bCs/>
                <w:color w:val="auto"/>
                <w:highlight w:val="none"/>
              </w:rPr>
              <w:t>、PM</w:t>
            </w:r>
            <w:r>
              <w:rPr>
                <w:rFonts w:ascii="Times New Roman" w:hAnsi="Times New Roman" w:eastAsiaTheme="minorEastAsia"/>
                <w:b w:val="0"/>
                <w:bCs/>
                <w:color w:val="auto"/>
                <w:sz w:val="16"/>
                <w:highlight w:val="none"/>
              </w:rPr>
              <w:t xml:space="preserve">10 </w:t>
            </w:r>
            <w:r>
              <w:rPr>
                <w:rFonts w:ascii="Times New Roman" w:hAnsi="Times New Roman" w:eastAsiaTheme="minorEastAsia"/>
                <w:b w:val="0"/>
                <w:bCs/>
                <w:color w:val="auto"/>
                <w:highlight w:val="none"/>
              </w:rPr>
              <w:t>、PM</w:t>
            </w:r>
            <w:r>
              <w:rPr>
                <w:rFonts w:ascii="Times New Roman" w:hAnsi="Times New Roman" w:eastAsiaTheme="minorEastAsia"/>
                <w:b w:val="0"/>
                <w:bCs/>
                <w:color w:val="auto"/>
                <w:sz w:val="16"/>
                <w:highlight w:val="none"/>
              </w:rPr>
              <w:t xml:space="preserve">2.5 </w:t>
            </w:r>
            <w:r>
              <w:rPr>
                <w:rFonts w:ascii="Times New Roman" w:hAnsi="Times New Roman" w:eastAsiaTheme="minorEastAsia"/>
                <w:b w:val="0"/>
                <w:bCs/>
                <w:color w:val="auto"/>
                <w:szCs w:val="24"/>
                <w:highlight w:val="none"/>
              </w:rPr>
              <w:t>年平均质量浓度</w:t>
            </w:r>
            <w:r>
              <w:rPr>
                <w:rFonts w:ascii="Times New Roman" w:hAnsi="Times New Roman" w:eastAsiaTheme="minorEastAsia"/>
                <w:b w:val="0"/>
                <w:bCs/>
                <w:color w:val="auto"/>
                <w:highlight w:val="none"/>
              </w:rPr>
              <w:t>以及CO日均值第95百分位数浓度均满足《环境空气质量标准》（GB3095-2012）及”2018修改单”二级标准要求，</w:t>
            </w:r>
            <w:r>
              <w:rPr>
                <w:rFonts w:ascii="Times New Roman" w:hAnsi="Times New Roman" w:eastAsiaTheme="minorEastAsia"/>
                <w:b w:val="0"/>
                <w:bCs/>
                <w:color w:val="auto"/>
                <w:szCs w:val="24"/>
                <w:highlight w:val="none"/>
              </w:rPr>
              <w:t>O</w:t>
            </w:r>
            <w:r>
              <w:rPr>
                <w:rFonts w:ascii="Times New Roman" w:hAnsi="Times New Roman" w:eastAsiaTheme="minorEastAsia"/>
                <w:b w:val="0"/>
                <w:bCs/>
                <w:color w:val="auto"/>
                <w:szCs w:val="24"/>
                <w:highlight w:val="none"/>
                <w:vertAlign w:val="subscript"/>
              </w:rPr>
              <w:t>3</w:t>
            </w:r>
            <w:r>
              <w:rPr>
                <w:rFonts w:ascii="Times New Roman" w:hAnsi="Times New Roman" w:eastAsiaTheme="minorEastAsia"/>
                <w:b w:val="0"/>
                <w:bCs/>
                <w:color w:val="auto"/>
                <w:highlight w:val="none"/>
              </w:rPr>
              <w:t>日最大8小时平均第90百分位数不能满足《环境空气质量标准》（GB3095-2012）及”2018修改单”二级标准要求</w:t>
            </w:r>
            <w:r>
              <w:rPr>
                <w:rFonts w:hint="eastAsia" w:ascii="Times New Roman" w:hAnsi="Times New Roman" w:eastAsiaTheme="minorEastAsia"/>
                <w:b w:val="0"/>
                <w:bCs/>
                <w:color w:val="auto"/>
                <w:highlight w:val="none"/>
                <w:lang w:eastAsia="zh-CN"/>
              </w:rPr>
              <w:t>。</w:t>
            </w:r>
          </w:p>
          <w:p>
            <w:pPr>
              <w:spacing w:line="360" w:lineRule="auto"/>
              <w:ind w:firstLine="482" w:firstLineChars="200"/>
              <w:rPr>
                <w:b/>
                <w:color w:val="auto"/>
                <w:sz w:val="24"/>
                <w:highlight w:val="none"/>
              </w:rPr>
            </w:pPr>
            <w:r>
              <w:rPr>
                <w:rFonts w:hint="eastAsia"/>
                <w:b/>
                <w:color w:val="auto"/>
                <w:sz w:val="24"/>
                <w:highlight w:val="none"/>
              </w:rPr>
              <w:t>（3）其他污染物环境质量现状</w:t>
            </w:r>
          </w:p>
          <w:p>
            <w:pPr>
              <w:spacing w:line="360" w:lineRule="auto"/>
              <w:ind w:firstLine="480" w:firstLineChars="200"/>
              <w:rPr>
                <w:rFonts w:hint="eastAsia" w:eastAsia="宋体"/>
                <w:color w:val="auto"/>
                <w:sz w:val="24"/>
                <w:highlight w:val="none"/>
                <w:lang w:eastAsia="zh-CN"/>
              </w:rPr>
            </w:pPr>
            <w:r>
              <w:rPr>
                <w:bCs/>
                <w:color w:val="auto"/>
                <w:sz w:val="24"/>
                <w:highlight w:val="none"/>
              </w:rPr>
              <w:t>本项目</w:t>
            </w:r>
            <w:r>
              <w:rPr>
                <w:rFonts w:hint="eastAsia"/>
                <w:bCs/>
                <w:color w:val="auto"/>
                <w:sz w:val="24"/>
                <w:highlight w:val="none"/>
              </w:rPr>
              <w:t>特征</w:t>
            </w:r>
            <w:r>
              <w:rPr>
                <w:bCs/>
                <w:color w:val="auto"/>
                <w:sz w:val="24"/>
                <w:highlight w:val="none"/>
              </w:rPr>
              <w:t>污染物</w:t>
            </w:r>
            <w:r>
              <w:rPr>
                <w:rFonts w:hint="eastAsia"/>
                <w:bCs/>
                <w:color w:val="auto"/>
                <w:sz w:val="24"/>
                <w:highlight w:val="none"/>
              </w:rPr>
              <w:t>非甲烷总烃的</w:t>
            </w:r>
            <w:r>
              <w:rPr>
                <w:bCs/>
                <w:color w:val="auto"/>
                <w:sz w:val="24"/>
                <w:highlight w:val="none"/>
              </w:rPr>
              <w:t>环境质量现状</w:t>
            </w:r>
            <w:r>
              <w:rPr>
                <w:rFonts w:hint="eastAsia"/>
                <w:bCs/>
                <w:color w:val="auto"/>
                <w:sz w:val="24"/>
                <w:highlight w:val="none"/>
              </w:rPr>
              <w:t>引用广州市二轻系统环境检测站</w:t>
            </w:r>
            <w:r>
              <w:rPr>
                <w:bCs/>
                <w:color w:val="auto"/>
                <w:sz w:val="24"/>
                <w:highlight w:val="none"/>
              </w:rPr>
              <w:t>于201</w:t>
            </w:r>
            <w:r>
              <w:rPr>
                <w:rFonts w:hint="eastAsia"/>
                <w:bCs/>
                <w:color w:val="auto"/>
                <w:sz w:val="24"/>
                <w:highlight w:val="none"/>
              </w:rPr>
              <w:t>9</w:t>
            </w:r>
            <w:r>
              <w:rPr>
                <w:bCs/>
                <w:color w:val="auto"/>
                <w:sz w:val="24"/>
                <w:highlight w:val="none"/>
              </w:rPr>
              <w:t>年</w:t>
            </w:r>
            <w:r>
              <w:rPr>
                <w:rFonts w:hint="eastAsia"/>
                <w:bCs/>
                <w:color w:val="auto"/>
                <w:sz w:val="24"/>
                <w:highlight w:val="none"/>
              </w:rPr>
              <w:t>6</w:t>
            </w:r>
            <w:r>
              <w:rPr>
                <w:bCs/>
                <w:color w:val="auto"/>
                <w:sz w:val="24"/>
                <w:highlight w:val="none"/>
              </w:rPr>
              <w:t>月</w:t>
            </w:r>
            <w:r>
              <w:rPr>
                <w:rFonts w:hint="eastAsia"/>
                <w:bCs/>
                <w:color w:val="auto"/>
                <w:sz w:val="24"/>
                <w:highlight w:val="none"/>
              </w:rPr>
              <w:t>24</w:t>
            </w:r>
            <w:r>
              <w:rPr>
                <w:bCs/>
                <w:color w:val="auto"/>
                <w:sz w:val="24"/>
                <w:highlight w:val="none"/>
              </w:rPr>
              <w:t>日至</w:t>
            </w:r>
            <w:r>
              <w:rPr>
                <w:rFonts w:hint="eastAsia"/>
                <w:bCs/>
                <w:color w:val="auto"/>
                <w:sz w:val="24"/>
                <w:highlight w:val="none"/>
              </w:rPr>
              <w:t>6</w:t>
            </w:r>
            <w:r>
              <w:rPr>
                <w:bCs/>
                <w:color w:val="auto"/>
                <w:sz w:val="24"/>
                <w:highlight w:val="none"/>
              </w:rPr>
              <w:t>月</w:t>
            </w:r>
            <w:r>
              <w:rPr>
                <w:rFonts w:hint="eastAsia"/>
                <w:bCs/>
                <w:color w:val="auto"/>
                <w:sz w:val="24"/>
                <w:highlight w:val="none"/>
              </w:rPr>
              <w:t>30</w:t>
            </w:r>
            <w:r>
              <w:rPr>
                <w:bCs/>
                <w:color w:val="auto"/>
                <w:sz w:val="24"/>
                <w:highlight w:val="none"/>
              </w:rPr>
              <w:t>日</w:t>
            </w:r>
            <w:r>
              <w:rPr>
                <w:rFonts w:hint="eastAsia"/>
                <w:color w:val="auto"/>
                <w:sz w:val="24"/>
                <w:highlight w:val="none"/>
              </w:rPr>
              <w:t>对开平市水口镇怡泰五金厂所在地的大气环境进行监测，该厂距离本项目</w:t>
            </w:r>
            <w:r>
              <w:rPr>
                <w:rFonts w:hint="eastAsia"/>
                <w:color w:val="auto"/>
                <w:sz w:val="24"/>
                <w:highlight w:val="none"/>
                <w:lang w:val="en-US" w:eastAsia="zh-CN"/>
              </w:rPr>
              <w:t>255</w:t>
            </w:r>
            <w:r>
              <w:rPr>
                <w:rFonts w:hint="eastAsia"/>
                <w:color w:val="auto"/>
                <w:sz w:val="24"/>
                <w:highlight w:val="none"/>
              </w:rPr>
              <w:t>m，在本项目的评价范围内，因此数据有效</w:t>
            </w:r>
            <w:r>
              <w:rPr>
                <w:rFonts w:hint="eastAsia" w:eastAsia="宋体"/>
                <w:color w:val="auto"/>
                <w:sz w:val="24"/>
                <w:highlight w:val="none"/>
                <w:lang w:eastAsia="zh-CN"/>
              </w:rPr>
              <w:t>；</w:t>
            </w:r>
            <w:r>
              <w:rPr>
                <w:rFonts w:hint="default" w:ascii="Times New Roman" w:hAnsi="Times New Roman" w:cs="Times New Roman"/>
                <w:bCs/>
                <w:color w:val="auto"/>
                <w:sz w:val="24"/>
                <w:highlight w:val="none"/>
              </w:rPr>
              <w:t>特征污染物</w:t>
            </w:r>
            <w:r>
              <w:rPr>
                <w:rFonts w:hint="eastAsia" w:ascii="Times New Roman" w:hAnsi="Times New Roman" w:cs="Times New Roman"/>
                <w:bCs/>
                <w:color w:val="auto"/>
                <w:sz w:val="24"/>
                <w:highlight w:val="none"/>
                <w:lang w:val="en-US" w:eastAsia="zh-CN"/>
              </w:rPr>
              <w:t>TSP</w:t>
            </w:r>
            <w:r>
              <w:rPr>
                <w:rFonts w:hint="default" w:ascii="Times New Roman" w:hAnsi="Times New Roman" w:cs="Times New Roman"/>
                <w:bCs/>
                <w:color w:val="auto"/>
                <w:sz w:val="24"/>
                <w:highlight w:val="none"/>
              </w:rPr>
              <w:t>的环境质量现状引用广州市恒力检测股份有限公司于2018年8月13日至8月19日</w:t>
            </w:r>
            <w:r>
              <w:rPr>
                <w:rFonts w:hint="default" w:ascii="Times New Roman" w:hAnsi="Times New Roman" w:cs="Times New Roman"/>
                <w:color w:val="auto"/>
                <w:sz w:val="24"/>
                <w:highlight w:val="none"/>
              </w:rPr>
              <w:t>对</w:t>
            </w:r>
            <w:r>
              <w:rPr>
                <w:rFonts w:hint="eastAsia" w:eastAsia="宋体"/>
                <w:color w:val="auto"/>
                <w:sz w:val="24"/>
                <w:highlight w:val="none"/>
                <w:shd w:val="clear" w:color="auto" w:fill="auto"/>
                <w:lang w:eastAsia="zh-CN"/>
              </w:rPr>
              <w:t>开平市水口镇明明五金加工店</w:t>
            </w:r>
            <w:r>
              <w:rPr>
                <w:rFonts w:hint="default" w:ascii="Times New Roman" w:hAnsi="Times New Roman" w:cs="Times New Roman"/>
                <w:color w:val="auto"/>
                <w:sz w:val="24"/>
                <w:highlight w:val="none"/>
              </w:rPr>
              <w:t>所在地的大气环境进行监测，该厂距离本项目</w:t>
            </w:r>
            <w:r>
              <w:rPr>
                <w:rFonts w:hint="eastAsia" w:cs="Times New Roman"/>
                <w:color w:val="auto"/>
                <w:sz w:val="24"/>
                <w:highlight w:val="none"/>
                <w:lang w:val="en-US" w:eastAsia="zh-CN"/>
              </w:rPr>
              <w:t>1565</w:t>
            </w:r>
            <w:r>
              <w:rPr>
                <w:rFonts w:hint="default" w:ascii="Times New Roman" w:hAnsi="Times New Roman" w:cs="Times New Roman"/>
                <w:color w:val="auto"/>
                <w:sz w:val="24"/>
                <w:highlight w:val="none"/>
              </w:rPr>
              <w:t>m，在本项目的评价范围内，因此数据有效</w:t>
            </w:r>
            <w:r>
              <w:rPr>
                <w:rFonts w:hint="eastAsia" w:ascii="Times New Roman" w:hAnsi="Times New Roman" w:cs="Times New Roman"/>
                <w:color w:val="auto"/>
                <w:sz w:val="24"/>
                <w:highlight w:val="none"/>
                <w:lang w:eastAsia="zh-CN"/>
              </w:rPr>
              <w:t>；</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hint="eastAsia" w:eastAsia="宋体" w:cs="Times New Roman"/>
                <w:b/>
                <w:color w:val="auto"/>
                <w:sz w:val="21"/>
                <w:szCs w:val="21"/>
                <w:highlight w:val="none"/>
              </w:rPr>
              <w:t xml:space="preserve">非甲烷总烃补充监测点位基本信息 </w:t>
            </w:r>
          </w:p>
          <w:tbl>
            <w:tblPr>
              <w:tblStyle w:val="40"/>
              <w:tblW w:w="89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4"/>
              <w:gridCol w:w="844"/>
              <w:gridCol w:w="814"/>
              <w:gridCol w:w="1209"/>
              <w:gridCol w:w="1268"/>
              <w:gridCol w:w="1335"/>
              <w:gridCol w:w="1095"/>
              <w:gridCol w:w="1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blHeader/>
                <w:jc w:val="center"/>
              </w:trPr>
              <w:tc>
                <w:tcPr>
                  <w:tcW w:w="1344" w:type="dxa"/>
                  <w:vMerge w:val="restart"/>
                  <w:tcBorders>
                    <w:tl2br w:val="nil"/>
                    <w:tr2bl w:val="nil"/>
                  </w:tcBorders>
                  <w:vAlign w:val="center"/>
                </w:tcPr>
                <w:p>
                  <w:pPr>
                    <w:jc w:val="center"/>
                    <w:rPr>
                      <w:b/>
                      <w:color w:val="auto"/>
                      <w:szCs w:val="21"/>
                      <w:highlight w:val="none"/>
                    </w:rPr>
                  </w:pPr>
                  <w:r>
                    <w:rPr>
                      <w:rFonts w:hint="eastAsia"/>
                      <w:b/>
                      <w:color w:val="auto"/>
                      <w:szCs w:val="21"/>
                      <w:highlight w:val="none"/>
                    </w:rPr>
                    <w:t>监测点名称</w:t>
                  </w:r>
                </w:p>
              </w:tc>
              <w:tc>
                <w:tcPr>
                  <w:tcW w:w="1658" w:type="dxa"/>
                  <w:gridSpan w:val="2"/>
                  <w:tcBorders>
                    <w:tl2br w:val="nil"/>
                    <w:tr2bl w:val="nil"/>
                  </w:tcBorders>
                  <w:vAlign w:val="center"/>
                </w:tcPr>
                <w:p>
                  <w:pPr>
                    <w:autoSpaceDE w:val="0"/>
                    <w:autoSpaceDN w:val="0"/>
                    <w:jc w:val="center"/>
                    <w:rPr>
                      <w:b/>
                      <w:color w:val="auto"/>
                      <w:szCs w:val="21"/>
                      <w:highlight w:val="none"/>
                    </w:rPr>
                  </w:pPr>
                  <w:r>
                    <w:rPr>
                      <w:rFonts w:hint="eastAsia"/>
                      <w:b/>
                      <w:color w:val="auto"/>
                      <w:szCs w:val="21"/>
                      <w:highlight w:val="none"/>
                    </w:rPr>
                    <w:t>监测点坐标/m</w:t>
                  </w:r>
                </w:p>
              </w:tc>
              <w:tc>
                <w:tcPr>
                  <w:tcW w:w="1209" w:type="dxa"/>
                  <w:vMerge w:val="restart"/>
                  <w:tcBorders>
                    <w:tl2br w:val="nil"/>
                    <w:tr2bl w:val="nil"/>
                  </w:tcBorders>
                  <w:vAlign w:val="center"/>
                </w:tcPr>
                <w:p>
                  <w:pPr>
                    <w:jc w:val="center"/>
                    <w:rPr>
                      <w:b/>
                      <w:color w:val="auto"/>
                      <w:szCs w:val="21"/>
                      <w:highlight w:val="none"/>
                    </w:rPr>
                  </w:pPr>
                  <w:r>
                    <w:rPr>
                      <w:rFonts w:hint="eastAsia"/>
                      <w:b/>
                      <w:color w:val="auto"/>
                      <w:szCs w:val="21"/>
                      <w:highlight w:val="none"/>
                    </w:rPr>
                    <w:t>监测因子</w:t>
                  </w:r>
                </w:p>
              </w:tc>
              <w:tc>
                <w:tcPr>
                  <w:tcW w:w="2603" w:type="dxa"/>
                  <w:gridSpan w:val="2"/>
                  <w:vMerge w:val="restart"/>
                  <w:tcBorders>
                    <w:tl2br w:val="nil"/>
                    <w:tr2bl w:val="nil"/>
                  </w:tcBorders>
                  <w:vAlign w:val="center"/>
                </w:tcPr>
                <w:p>
                  <w:pPr>
                    <w:jc w:val="center"/>
                    <w:rPr>
                      <w:b/>
                      <w:color w:val="auto"/>
                      <w:szCs w:val="21"/>
                      <w:highlight w:val="none"/>
                    </w:rPr>
                  </w:pPr>
                  <w:r>
                    <w:rPr>
                      <w:rFonts w:hint="eastAsia"/>
                      <w:b/>
                      <w:color w:val="auto"/>
                      <w:szCs w:val="21"/>
                      <w:highlight w:val="none"/>
                    </w:rPr>
                    <w:t>监测时段</w:t>
                  </w:r>
                </w:p>
              </w:tc>
              <w:tc>
                <w:tcPr>
                  <w:tcW w:w="1095" w:type="dxa"/>
                  <w:vMerge w:val="restart"/>
                  <w:tcBorders>
                    <w:tl2br w:val="nil"/>
                    <w:tr2bl w:val="nil"/>
                  </w:tcBorders>
                  <w:vAlign w:val="center"/>
                </w:tcPr>
                <w:p>
                  <w:pPr>
                    <w:jc w:val="center"/>
                    <w:rPr>
                      <w:b/>
                      <w:color w:val="auto"/>
                      <w:szCs w:val="21"/>
                      <w:highlight w:val="none"/>
                    </w:rPr>
                  </w:pPr>
                  <w:r>
                    <w:rPr>
                      <w:rFonts w:hint="eastAsia"/>
                      <w:b/>
                      <w:bCs/>
                      <w:color w:val="auto"/>
                      <w:szCs w:val="21"/>
                      <w:highlight w:val="none"/>
                    </w:rPr>
                    <w:t>相对厂址方位</w:t>
                  </w:r>
                </w:p>
              </w:tc>
              <w:tc>
                <w:tcPr>
                  <w:tcW w:w="1065" w:type="dxa"/>
                  <w:vMerge w:val="restart"/>
                  <w:tcBorders>
                    <w:tl2br w:val="nil"/>
                    <w:tr2bl w:val="nil"/>
                  </w:tcBorders>
                  <w:vAlign w:val="center"/>
                </w:tcPr>
                <w:p>
                  <w:pPr>
                    <w:jc w:val="center"/>
                    <w:rPr>
                      <w:b/>
                      <w:color w:val="auto"/>
                      <w:szCs w:val="21"/>
                      <w:highlight w:val="none"/>
                    </w:rPr>
                  </w:pPr>
                  <w:r>
                    <w:rPr>
                      <w:rFonts w:hint="eastAsia"/>
                      <w:b/>
                      <w:color w:val="auto"/>
                      <w:szCs w:val="21"/>
                      <w:highlight w:val="none"/>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344" w:type="dxa"/>
                  <w:vMerge w:val="continue"/>
                  <w:tcBorders>
                    <w:tl2br w:val="nil"/>
                    <w:tr2bl w:val="nil"/>
                  </w:tcBorders>
                  <w:vAlign w:val="center"/>
                </w:tcPr>
                <w:p>
                  <w:pPr>
                    <w:jc w:val="center"/>
                    <w:rPr>
                      <w:color w:val="auto"/>
                      <w:highlight w:val="none"/>
                    </w:rPr>
                  </w:pPr>
                </w:p>
              </w:tc>
              <w:tc>
                <w:tcPr>
                  <w:tcW w:w="844" w:type="dxa"/>
                  <w:tcBorders>
                    <w:tl2br w:val="nil"/>
                    <w:tr2bl w:val="nil"/>
                  </w:tcBorders>
                  <w:vAlign w:val="center"/>
                </w:tcPr>
                <w:p>
                  <w:pPr>
                    <w:autoSpaceDE w:val="0"/>
                    <w:autoSpaceDN w:val="0"/>
                    <w:jc w:val="center"/>
                    <w:rPr>
                      <w:color w:val="auto"/>
                      <w:highlight w:val="none"/>
                    </w:rPr>
                  </w:pPr>
                  <w:r>
                    <w:rPr>
                      <w:rFonts w:hint="eastAsia"/>
                      <w:color w:val="auto"/>
                      <w:highlight w:val="none"/>
                    </w:rPr>
                    <w:t>X</w:t>
                  </w:r>
                </w:p>
              </w:tc>
              <w:tc>
                <w:tcPr>
                  <w:tcW w:w="814" w:type="dxa"/>
                  <w:tcBorders>
                    <w:tl2br w:val="nil"/>
                    <w:tr2bl w:val="nil"/>
                  </w:tcBorders>
                  <w:vAlign w:val="center"/>
                </w:tcPr>
                <w:p>
                  <w:pPr>
                    <w:autoSpaceDE w:val="0"/>
                    <w:autoSpaceDN w:val="0"/>
                    <w:jc w:val="center"/>
                    <w:rPr>
                      <w:color w:val="auto"/>
                      <w:highlight w:val="none"/>
                    </w:rPr>
                  </w:pPr>
                  <w:r>
                    <w:rPr>
                      <w:rFonts w:hint="eastAsia"/>
                      <w:color w:val="auto"/>
                      <w:highlight w:val="none"/>
                    </w:rPr>
                    <w:t>Y</w:t>
                  </w:r>
                </w:p>
              </w:tc>
              <w:tc>
                <w:tcPr>
                  <w:tcW w:w="1209" w:type="dxa"/>
                  <w:vMerge w:val="continue"/>
                  <w:tcBorders>
                    <w:tl2br w:val="nil"/>
                    <w:tr2bl w:val="nil"/>
                  </w:tcBorders>
                  <w:vAlign w:val="center"/>
                </w:tcPr>
                <w:p>
                  <w:pPr>
                    <w:jc w:val="center"/>
                    <w:rPr>
                      <w:color w:val="auto"/>
                      <w:highlight w:val="none"/>
                    </w:rPr>
                  </w:pPr>
                </w:p>
              </w:tc>
              <w:tc>
                <w:tcPr>
                  <w:tcW w:w="2603" w:type="dxa"/>
                  <w:gridSpan w:val="2"/>
                  <w:vMerge w:val="continue"/>
                  <w:tcBorders>
                    <w:tl2br w:val="nil"/>
                    <w:tr2bl w:val="nil"/>
                  </w:tcBorders>
                  <w:vAlign w:val="center"/>
                </w:tcPr>
                <w:p>
                  <w:pPr>
                    <w:jc w:val="center"/>
                    <w:rPr>
                      <w:color w:val="auto"/>
                      <w:highlight w:val="none"/>
                    </w:rPr>
                  </w:pPr>
                </w:p>
              </w:tc>
              <w:tc>
                <w:tcPr>
                  <w:tcW w:w="1095" w:type="dxa"/>
                  <w:vMerge w:val="continue"/>
                  <w:tcBorders>
                    <w:tl2br w:val="nil"/>
                    <w:tr2bl w:val="nil"/>
                  </w:tcBorders>
                  <w:vAlign w:val="center"/>
                </w:tcPr>
                <w:p>
                  <w:pPr>
                    <w:jc w:val="center"/>
                    <w:rPr>
                      <w:color w:val="auto"/>
                      <w:highlight w:val="none"/>
                    </w:rPr>
                  </w:pPr>
                </w:p>
              </w:tc>
              <w:tc>
                <w:tcPr>
                  <w:tcW w:w="1065" w:type="dxa"/>
                  <w:vMerge w:val="continue"/>
                  <w:tcBorders>
                    <w:tl2br w:val="nil"/>
                    <w:tr2bl w:val="nil"/>
                  </w:tcBorders>
                  <w:vAlign w:val="center"/>
                </w:tcPr>
                <w:p>
                  <w:pPr>
                    <w:jc w:val="center"/>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1344" w:type="dxa"/>
                  <w:vMerge w:val="restart"/>
                  <w:tcBorders>
                    <w:tl2br w:val="nil"/>
                    <w:tr2bl w:val="nil"/>
                  </w:tcBorders>
                  <w:vAlign w:val="center"/>
                </w:tcPr>
                <w:p>
                  <w:pPr>
                    <w:pStyle w:val="47"/>
                    <w:jc w:val="center"/>
                    <w:rPr>
                      <w:rFonts w:hint="eastAsia" w:eastAsia="宋体"/>
                      <w:color w:val="auto"/>
                      <w:sz w:val="21"/>
                      <w:szCs w:val="21"/>
                      <w:highlight w:val="none"/>
                      <w:lang w:eastAsia="zh-CN"/>
                    </w:rPr>
                  </w:pPr>
                  <w:r>
                    <w:rPr>
                      <w:rFonts w:hint="eastAsia" w:ascii="Times New Roman" w:cs="Times New Roman"/>
                      <w:color w:val="auto"/>
                      <w:sz w:val="21"/>
                      <w:szCs w:val="21"/>
                      <w:highlight w:val="none"/>
                    </w:rPr>
                    <w:t>开平市水口镇怡泰五金厂</w:t>
                  </w:r>
                  <w:r>
                    <w:rPr>
                      <w:rFonts w:hint="eastAsia" w:ascii="Times New Roman" w:cs="Times New Roman"/>
                      <w:color w:val="auto"/>
                      <w:sz w:val="21"/>
                      <w:szCs w:val="21"/>
                      <w:highlight w:val="none"/>
                      <w:lang w:eastAsia="zh-CN"/>
                    </w:rPr>
                    <w:t>所在地</w:t>
                  </w:r>
                </w:p>
              </w:tc>
              <w:tc>
                <w:tcPr>
                  <w:tcW w:w="844" w:type="dxa"/>
                  <w:vMerge w:val="restart"/>
                  <w:tcBorders>
                    <w:tl2br w:val="nil"/>
                    <w:tr2bl w:val="nil"/>
                  </w:tcBorders>
                  <w:vAlign w:val="center"/>
                </w:tcPr>
                <w:p>
                  <w:pPr>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w:t>
                  </w:r>
                  <w:r>
                    <w:rPr>
                      <w:rFonts w:hint="eastAsia"/>
                      <w:color w:val="auto"/>
                      <w:szCs w:val="21"/>
                      <w:highlight w:val="none"/>
                      <w:lang w:val="en-US" w:eastAsia="zh-CN"/>
                    </w:rPr>
                    <w:t>270</w:t>
                  </w:r>
                </w:p>
              </w:tc>
              <w:tc>
                <w:tcPr>
                  <w:tcW w:w="814" w:type="dxa"/>
                  <w:vMerge w:val="restart"/>
                  <w:tcBorders>
                    <w:tl2br w:val="nil"/>
                    <w:tr2bl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141</w:t>
                  </w:r>
                </w:p>
              </w:tc>
              <w:tc>
                <w:tcPr>
                  <w:tcW w:w="1209" w:type="dxa"/>
                  <w:vMerge w:val="restart"/>
                  <w:tcBorders>
                    <w:tl2br w:val="nil"/>
                    <w:tr2bl w:val="nil"/>
                  </w:tcBorders>
                  <w:vAlign w:val="center"/>
                </w:tcPr>
                <w:p>
                  <w:pPr>
                    <w:jc w:val="center"/>
                    <w:rPr>
                      <w:color w:val="auto"/>
                      <w:szCs w:val="21"/>
                      <w:highlight w:val="none"/>
                    </w:rPr>
                  </w:pPr>
                  <w:r>
                    <w:rPr>
                      <w:rFonts w:hint="eastAsia"/>
                      <w:color w:val="auto"/>
                      <w:szCs w:val="21"/>
                      <w:highlight w:val="none"/>
                    </w:rPr>
                    <w:t>非甲烷总烃</w:t>
                  </w:r>
                </w:p>
              </w:tc>
              <w:tc>
                <w:tcPr>
                  <w:tcW w:w="1268" w:type="dxa"/>
                  <w:vMerge w:val="restart"/>
                  <w:tcBorders>
                    <w:tl2br w:val="nil"/>
                    <w:tr2bl w:val="nil"/>
                  </w:tcBorders>
                  <w:vAlign w:val="center"/>
                </w:tcPr>
                <w:p>
                  <w:pPr>
                    <w:jc w:val="center"/>
                    <w:rPr>
                      <w:color w:val="auto"/>
                      <w:szCs w:val="21"/>
                      <w:highlight w:val="none"/>
                    </w:rPr>
                  </w:pPr>
                  <w:r>
                    <w:rPr>
                      <w:rFonts w:eastAsiaTheme="minorEastAsia"/>
                      <w:color w:val="auto"/>
                      <w:szCs w:val="21"/>
                      <w:highlight w:val="none"/>
                    </w:rPr>
                    <w:t>2019/06/24</w:t>
                  </w: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02:00-03:00</w:t>
                  </w:r>
                </w:p>
              </w:tc>
              <w:tc>
                <w:tcPr>
                  <w:tcW w:w="1095" w:type="dxa"/>
                  <w:vMerge w:val="restart"/>
                  <w:tcBorders>
                    <w:tl2br w:val="nil"/>
                    <w:tr2bl w:val="nil"/>
                  </w:tcBorders>
                  <w:vAlign w:val="center"/>
                </w:tcPr>
                <w:p>
                  <w:pPr>
                    <w:pStyle w:val="155"/>
                    <w:tabs>
                      <w:tab w:val="left" w:pos="-2848"/>
                    </w:tabs>
                    <w:rPr>
                      <w:rFonts w:hint="eastAsia" w:eastAsia="宋体"/>
                      <w:color w:val="auto"/>
                      <w:szCs w:val="21"/>
                      <w:highlight w:val="none"/>
                      <w:lang w:eastAsia="zh-CN"/>
                    </w:rPr>
                  </w:pPr>
                  <w:r>
                    <w:rPr>
                      <w:rFonts w:hint="eastAsia"/>
                      <w:color w:val="auto"/>
                      <w:szCs w:val="21"/>
                      <w:highlight w:val="none"/>
                      <w:lang w:eastAsia="zh-CN"/>
                    </w:rPr>
                    <w:t>西北面</w:t>
                  </w:r>
                </w:p>
              </w:tc>
              <w:tc>
                <w:tcPr>
                  <w:tcW w:w="1065" w:type="dxa"/>
                  <w:vMerge w:val="restart"/>
                  <w:tcBorders>
                    <w:tl2br w:val="nil"/>
                    <w:tr2bl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08:00-09:00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14:00-15:00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20:00-21:00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restart"/>
                  <w:tcBorders>
                    <w:tl2br w:val="nil"/>
                    <w:tr2bl w:val="nil"/>
                  </w:tcBorders>
                  <w:vAlign w:val="center"/>
                </w:tcPr>
                <w:p>
                  <w:pPr>
                    <w:jc w:val="center"/>
                    <w:rPr>
                      <w:color w:val="auto"/>
                      <w:szCs w:val="21"/>
                      <w:highlight w:val="none"/>
                    </w:rPr>
                  </w:pPr>
                  <w:r>
                    <w:rPr>
                      <w:rFonts w:eastAsiaTheme="minorEastAsia"/>
                      <w:color w:val="auto"/>
                      <w:szCs w:val="21"/>
                      <w:highlight w:val="none"/>
                    </w:rPr>
                    <w:t>2019/06/25</w:t>
                  </w: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02:00-03:00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08:00-09:00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14:00-15:00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20:00-21:00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restart"/>
                  <w:tcBorders>
                    <w:tl2br w:val="nil"/>
                    <w:tr2bl w:val="nil"/>
                  </w:tcBorders>
                  <w:vAlign w:val="center"/>
                </w:tcPr>
                <w:p>
                  <w:pPr>
                    <w:jc w:val="center"/>
                    <w:rPr>
                      <w:color w:val="auto"/>
                      <w:szCs w:val="21"/>
                      <w:highlight w:val="none"/>
                    </w:rPr>
                  </w:pPr>
                  <w:r>
                    <w:rPr>
                      <w:rFonts w:eastAsiaTheme="minorEastAsia"/>
                      <w:color w:val="auto"/>
                      <w:szCs w:val="21"/>
                      <w:highlight w:val="none"/>
                    </w:rPr>
                    <w:t>2019/06/26</w:t>
                  </w: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02:00-03:00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08:00-09:00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14:00-15:00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20:00-21:00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restart"/>
                  <w:tcBorders>
                    <w:tl2br w:val="nil"/>
                    <w:tr2bl w:val="nil"/>
                  </w:tcBorders>
                  <w:vAlign w:val="center"/>
                </w:tcPr>
                <w:p>
                  <w:pPr>
                    <w:jc w:val="center"/>
                    <w:rPr>
                      <w:color w:val="auto"/>
                      <w:szCs w:val="21"/>
                      <w:highlight w:val="none"/>
                    </w:rPr>
                  </w:pPr>
                  <w:r>
                    <w:rPr>
                      <w:rFonts w:eastAsiaTheme="minorEastAsia"/>
                      <w:color w:val="auto"/>
                      <w:szCs w:val="21"/>
                      <w:highlight w:val="none"/>
                    </w:rPr>
                    <w:t>2019/06/27</w:t>
                  </w: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02:00-03:00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08:00-09:00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14:00-15:00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20:00-21:00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restart"/>
                  <w:tcBorders>
                    <w:tl2br w:val="nil"/>
                    <w:tr2bl w:val="nil"/>
                  </w:tcBorders>
                  <w:vAlign w:val="center"/>
                </w:tcPr>
                <w:p>
                  <w:pPr>
                    <w:jc w:val="center"/>
                    <w:rPr>
                      <w:color w:val="auto"/>
                      <w:szCs w:val="21"/>
                      <w:highlight w:val="none"/>
                    </w:rPr>
                  </w:pPr>
                  <w:r>
                    <w:rPr>
                      <w:rFonts w:eastAsiaTheme="minorEastAsia"/>
                      <w:color w:val="auto"/>
                      <w:szCs w:val="21"/>
                      <w:highlight w:val="none"/>
                    </w:rPr>
                    <w:t>2019/06/28</w:t>
                  </w: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02:00-03:00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08:00-09:00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14:00-15:00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20:00-21:00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restart"/>
                  <w:tcBorders>
                    <w:tl2br w:val="nil"/>
                    <w:tr2bl w:val="nil"/>
                  </w:tcBorders>
                  <w:vAlign w:val="center"/>
                </w:tcPr>
                <w:p>
                  <w:pPr>
                    <w:jc w:val="center"/>
                    <w:rPr>
                      <w:color w:val="auto"/>
                      <w:szCs w:val="21"/>
                      <w:highlight w:val="none"/>
                    </w:rPr>
                  </w:pPr>
                  <w:r>
                    <w:rPr>
                      <w:rFonts w:eastAsiaTheme="minorEastAsia"/>
                      <w:color w:val="auto"/>
                      <w:szCs w:val="21"/>
                      <w:highlight w:val="none"/>
                    </w:rPr>
                    <w:t>2019/06/29</w:t>
                  </w: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02:00-03:00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08:00-09:00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14:00-15:00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20:00-21:00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restart"/>
                  <w:tcBorders>
                    <w:tl2br w:val="nil"/>
                    <w:tr2bl w:val="nil"/>
                  </w:tcBorders>
                  <w:vAlign w:val="center"/>
                </w:tcPr>
                <w:p>
                  <w:pPr>
                    <w:jc w:val="center"/>
                    <w:rPr>
                      <w:color w:val="auto"/>
                      <w:szCs w:val="21"/>
                      <w:highlight w:val="none"/>
                    </w:rPr>
                  </w:pPr>
                  <w:r>
                    <w:rPr>
                      <w:rFonts w:eastAsiaTheme="minorEastAsia"/>
                      <w:color w:val="auto"/>
                      <w:szCs w:val="21"/>
                      <w:highlight w:val="none"/>
                    </w:rPr>
                    <w:t>2019/06/30</w:t>
                  </w: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02:00-03:00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08:00-09:00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14:00-15:00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1268" w:type="dxa"/>
                  <w:vMerge w:val="continue"/>
                  <w:tcBorders>
                    <w:tl2br w:val="nil"/>
                    <w:tr2bl w:val="nil"/>
                  </w:tcBorders>
                  <w:vAlign w:val="center"/>
                </w:tcPr>
                <w:p>
                  <w:pPr>
                    <w:jc w:val="center"/>
                    <w:rPr>
                      <w:color w:val="auto"/>
                      <w:szCs w:val="21"/>
                      <w:highlight w:val="none"/>
                    </w:rPr>
                  </w:pPr>
                </w:p>
              </w:tc>
              <w:tc>
                <w:tcPr>
                  <w:tcW w:w="1335" w:type="dxa"/>
                  <w:tcBorders>
                    <w:tl2br w:val="nil"/>
                    <w:tr2bl w:val="nil"/>
                  </w:tcBorders>
                  <w:vAlign w:val="center"/>
                </w:tcPr>
                <w:p>
                  <w:pPr>
                    <w:jc w:val="center"/>
                    <w:rPr>
                      <w:color w:val="auto"/>
                      <w:szCs w:val="21"/>
                      <w:highlight w:val="none"/>
                    </w:rPr>
                  </w:pPr>
                  <w:r>
                    <w:rPr>
                      <w:rFonts w:eastAsiaTheme="minorEastAsia"/>
                      <w:color w:val="auto"/>
                      <w:szCs w:val="21"/>
                      <w:highlight w:val="none"/>
                    </w:rPr>
                    <w:t>20:00-21:00</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344" w:type="dxa"/>
                  <w:vMerge w:val="restart"/>
                  <w:tcBorders>
                    <w:tl2br w:val="nil"/>
                    <w:tr2bl w:val="nil"/>
                  </w:tcBorders>
                  <w:vAlign w:val="center"/>
                </w:tcPr>
                <w:p>
                  <w:pPr>
                    <w:widowControl w:val="0"/>
                    <w:autoSpaceDE w:val="0"/>
                    <w:autoSpaceDN w:val="0"/>
                    <w:adjustRightInd w:val="0"/>
                    <w:jc w:val="center"/>
                    <w:rPr>
                      <w:rFonts w:asci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bidi="ar-SA"/>
                    </w:rPr>
                    <w:t>开平市水口镇明明五金加工店所在地</w:t>
                  </w:r>
                </w:p>
              </w:tc>
              <w:tc>
                <w:tcPr>
                  <w:tcW w:w="844" w:type="dxa"/>
                  <w:vMerge w:val="restart"/>
                  <w:tcBorders>
                    <w:tl2br w:val="nil"/>
                    <w:tr2bl w:val="nil"/>
                  </w:tcBorders>
                  <w:vAlign w:val="center"/>
                </w:tcPr>
                <w:p>
                  <w:pPr>
                    <w:widowControl w:val="0"/>
                    <w:spacing w:after="0" w:line="240" w:lineRule="auto"/>
                    <w:jc w:val="center"/>
                    <w:rPr>
                      <w:rFonts w:hint="default"/>
                      <w:color w:val="auto"/>
                      <w:szCs w:val="21"/>
                      <w:highlight w:val="none"/>
                      <w:lang w:val="en-US"/>
                    </w:rPr>
                  </w:pPr>
                  <w:r>
                    <w:rPr>
                      <w:rFonts w:hint="eastAsia" w:cs="Times New Roman"/>
                      <w:color w:val="auto"/>
                      <w:kern w:val="2"/>
                      <w:sz w:val="21"/>
                      <w:szCs w:val="21"/>
                      <w:highlight w:val="none"/>
                      <w:lang w:val="en-US" w:eastAsia="zh-CN"/>
                    </w:rPr>
                    <w:t>1558</w:t>
                  </w:r>
                </w:p>
              </w:tc>
              <w:tc>
                <w:tcPr>
                  <w:tcW w:w="814" w:type="dxa"/>
                  <w:vMerge w:val="restart"/>
                  <w:tcBorders>
                    <w:tl2br w:val="nil"/>
                    <w:tr2bl w:val="nil"/>
                  </w:tcBorders>
                  <w:vAlign w:val="center"/>
                </w:tcPr>
                <w:p>
                  <w:pPr>
                    <w:widowControl w:val="0"/>
                    <w:spacing w:after="0" w:line="240" w:lineRule="auto"/>
                    <w:jc w:val="center"/>
                    <w:rPr>
                      <w:rFonts w:hint="default"/>
                      <w:color w:val="auto"/>
                      <w:szCs w:val="21"/>
                      <w:highlight w:val="none"/>
                      <w:lang w:val="en-US"/>
                    </w:rPr>
                  </w:pPr>
                  <w:r>
                    <w:rPr>
                      <w:rFonts w:hint="eastAsia" w:cs="Times New Roman"/>
                      <w:color w:val="auto"/>
                      <w:kern w:val="2"/>
                      <w:sz w:val="21"/>
                      <w:szCs w:val="21"/>
                      <w:highlight w:val="none"/>
                      <w:lang w:val="en-US" w:eastAsia="zh-CN"/>
                    </w:rPr>
                    <w:t>-244</w:t>
                  </w:r>
                </w:p>
              </w:tc>
              <w:tc>
                <w:tcPr>
                  <w:tcW w:w="1209" w:type="dxa"/>
                  <w:vMerge w:val="restart"/>
                  <w:tcBorders>
                    <w:tl2br w:val="nil"/>
                    <w:tr2bl w:val="nil"/>
                  </w:tcBorders>
                  <w:vAlign w:val="center"/>
                </w:tcPr>
                <w:p>
                  <w:pPr>
                    <w:widowControl w:val="0"/>
                    <w:spacing w:after="0" w:line="240" w:lineRule="auto"/>
                    <w:jc w:val="center"/>
                    <w:rPr>
                      <w:color w:val="auto"/>
                      <w:szCs w:val="21"/>
                      <w:highlight w:val="none"/>
                    </w:rPr>
                  </w:pPr>
                  <w:r>
                    <w:rPr>
                      <w:rFonts w:hint="eastAsia" w:ascii="Times New Roman" w:hAnsi="Times New Roman" w:eastAsia="宋体" w:cs="Times New Roman"/>
                      <w:color w:val="auto"/>
                      <w:kern w:val="2"/>
                      <w:sz w:val="21"/>
                      <w:szCs w:val="21"/>
                      <w:highlight w:val="none"/>
                      <w:lang w:val="en-US" w:eastAsia="zh-CN"/>
                    </w:rPr>
                    <w:t>TSP</w:t>
                  </w:r>
                </w:p>
              </w:tc>
              <w:tc>
                <w:tcPr>
                  <w:tcW w:w="2603" w:type="dxa"/>
                  <w:gridSpan w:val="2"/>
                  <w:tcBorders>
                    <w:tl2br w:val="nil"/>
                    <w:tr2bl w:val="nil"/>
                  </w:tcBorders>
                  <w:vAlign w:val="center"/>
                </w:tcPr>
                <w:p>
                  <w:pPr>
                    <w:widowControl w:val="0"/>
                    <w:spacing w:after="0" w:line="240" w:lineRule="auto"/>
                    <w:jc w:val="center"/>
                    <w:rPr>
                      <w:rFonts w:eastAsiaTheme="minorEastAsia"/>
                      <w:color w:val="auto"/>
                      <w:szCs w:val="21"/>
                      <w:highlight w:val="none"/>
                    </w:rPr>
                  </w:pPr>
                  <w:r>
                    <w:rPr>
                      <w:rFonts w:hint="default" w:ascii="Times New Roman" w:hAnsi="Times New Roman" w:cs="Times New Roman"/>
                      <w:color w:val="auto"/>
                      <w:sz w:val="21"/>
                      <w:szCs w:val="21"/>
                      <w:highlight w:val="none"/>
                    </w:rPr>
                    <w:t>2018</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08</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13</w:t>
                  </w:r>
                </w:p>
              </w:tc>
              <w:tc>
                <w:tcPr>
                  <w:tcW w:w="1095" w:type="dxa"/>
                  <w:vMerge w:val="restart"/>
                  <w:tcBorders>
                    <w:tl2br w:val="nil"/>
                    <w:tr2bl w:val="nil"/>
                  </w:tcBorders>
                  <w:vAlign w:val="center"/>
                </w:tcPr>
                <w:p>
                  <w:pPr>
                    <w:widowControl w:val="0"/>
                    <w:tabs>
                      <w:tab w:val="left" w:pos="-2848"/>
                    </w:tabs>
                    <w:jc w:val="center"/>
                    <w:rPr>
                      <w:color w:val="auto"/>
                      <w:szCs w:val="21"/>
                      <w:highlight w:val="none"/>
                    </w:rPr>
                  </w:pPr>
                  <w:r>
                    <w:rPr>
                      <w:rFonts w:hint="eastAsia" w:ascii="Times New Roman" w:hAnsi="Times New Roman" w:eastAsia="宋体" w:cs="Times New Roman"/>
                      <w:color w:val="auto"/>
                      <w:kern w:val="44"/>
                      <w:sz w:val="21"/>
                      <w:szCs w:val="21"/>
                      <w:highlight w:val="none"/>
                      <w:lang w:val="en-US" w:eastAsia="zh-CN" w:bidi="ar-SA"/>
                    </w:rPr>
                    <w:t>东</w:t>
                  </w:r>
                  <w:r>
                    <w:rPr>
                      <w:rFonts w:hint="eastAsia" w:cs="Times New Roman"/>
                      <w:color w:val="auto"/>
                      <w:kern w:val="44"/>
                      <w:sz w:val="21"/>
                      <w:szCs w:val="21"/>
                      <w:highlight w:val="none"/>
                      <w:lang w:val="en-US" w:eastAsia="zh-CN" w:bidi="ar-SA"/>
                    </w:rPr>
                    <w:t>南</w:t>
                  </w:r>
                  <w:r>
                    <w:rPr>
                      <w:rFonts w:hint="eastAsia" w:ascii="Times New Roman" w:hAnsi="Times New Roman" w:eastAsia="宋体" w:cs="Times New Roman"/>
                      <w:color w:val="auto"/>
                      <w:kern w:val="44"/>
                      <w:sz w:val="21"/>
                      <w:szCs w:val="21"/>
                      <w:highlight w:val="none"/>
                      <w:lang w:val="en-US" w:eastAsia="zh-CN" w:bidi="ar-SA"/>
                    </w:rPr>
                    <w:t>面</w:t>
                  </w:r>
                </w:p>
              </w:tc>
              <w:tc>
                <w:tcPr>
                  <w:tcW w:w="1065" w:type="dxa"/>
                  <w:vMerge w:val="restart"/>
                  <w:tcBorders>
                    <w:tl2br w:val="nil"/>
                    <w:tr2bl w:val="nil"/>
                  </w:tcBorders>
                  <w:vAlign w:val="center"/>
                </w:tcPr>
                <w:p>
                  <w:pPr>
                    <w:widowControl w:val="0"/>
                    <w:spacing w:after="0" w:line="240" w:lineRule="auto"/>
                    <w:jc w:val="center"/>
                    <w:rPr>
                      <w:rFonts w:hint="default"/>
                      <w:color w:val="auto"/>
                      <w:szCs w:val="21"/>
                      <w:highlight w:val="none"/>
                      <w:lang w:val="en-US"/>
                    </w:rPr>
                  </w:pPr>
                  <w:r>
                    <w:rPr>
                      <w:rFonts w:hint="eastAsia" w:cs="Times New Roman"/>
                      <w:color w:val="auto"/>
                      <w:kern w:val="2"/>
                      <w:sz w:val="21"/>
                      <w:szCs w:val="21"/>
                      <w:highlight w:val="none"/>
                      <w:lang w:val="en-US" w:eastAsia="zh-CN"/>
                    </w:rPr>
                    <w:t>1565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2603" w:type="dxa"/>
                  <w:gridSpan w:val="2"/>
                  <w:tcBorders>
                    <w:tl2br w:val="nil"/>
                    <w:tr2bl w:val="nil"/>
                  </w:tcBorders>
                  <w:vAlign w:val="center"/>
                </w:tcPr>
                <w:p>
                  <w:pPr>
                    <w:widowControl w:val="0"/>
                    <w:spacing w:after="0" w:line="240" w:lineRule="auto"/>
                    <w:jc w:val="center"/>
                    <w:rPr>
                      <w:rFonts w:eastAsiaTheme="minorEastAsia"/>
                      <w:color w:val="auto"/>
                      <w:szCs w:val="21"/>
                      <w:highlight w:val="none"/>
                    </w:rPr>
                  </w:pPr>
                  <w:r>
                    <w:rPr>
                      <w:rFonts w:hint="default" w:ascii="Times New Roman" w:hAnsi="Times New Roman" w:cs="Times New Roman"/>
                      <w:color w:val="auto"/>
                      <w:sz w:val="21"/>
                      <w:szCs w:val="21"/>
                      <w:highlight w:val="none"/>
                    </w:rPr>
                    <w:t>2018</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08</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14</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2603" w:type="dxa"/>
                  <w:gridSpan w:val="2"/>
                  <w:tcBorders>
                    <w:tl2br w:val="nil"/>
                    <w:tr2bl w:val="nil"/>
                  </w:tcBorders>
                  <w:vAlign w:val="center"/>
                </w:tcPr>
                <w:p>
                  <w:pPr>
                    <w:widowControl w:val="0"/>
                    <w:spacing w:after="0" w:line="240" w:lineRule="auto"/>
                    <w:jc w:val="center"/>
                    <w:rPr>
                      <w:rFonts w:eastAsiaTheme="minorEastAsia"/>
                      <w:color w:val="auto"/>
                      <w:szCs w:val="21"/>
                      <w:highlight w:val="none"/>
                    </w:rPr>
                  </w:pPr>
                  <w:r>
                    <w:rPr>
                      <w:rFonts w:hint="default" w:ascii="Times New Roman" w:hAnsi="Times New Roman" w:cs="Times New Roman"/>
                      <w:color w:val="auto"/>
                      <w:sz w:val="21"/>
                      <w:szCs w:val="21"/>
                      <w:highlight w:val="none"/>
                    </w:rPr>
                    <w:t>2018</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08</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15</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2603" w:type="dxa"/>
                  <w:gridSpan w:val="2"/>
                  <w:tcBorders>
                    <w:tl2br w:val="nil"/>
                    <w:tr2bl w:val="nil"/>
                  </w:tcBorders>
                  <w:vAlign w:val="center"/>
                </w:tcPr>
                <w:p>
                  <w:pPr>
                    <w:widowControl w:val="0"/>
                    <w:spacing w:after="0" w:line="240" w:lineRule="auto"/>
                    <w:jc w:val="center"/>
                    <w:rPr>
                      <w:rFonts w:eastAsiaTheme="minorEastAsia"/>
                      <w:color w:val="auto"/>
                      <w:szCs w:val="21"/>
                      <w:highlight w:val="none"/>
                    </w:rPr>
                  </w:pPr>
                  <w:r>
                    <w:rPr>
                      <w:rFonts w:hint="default" w:ascii="Times New Roman" w:hAnsi="Times New Roman" w:cs="Times New Roman"/>
                      <w:color w:val="auto"/>
                      <w:sz w:val="21"/>
                      <w:szCs w:val="21"/>
                      <w:highlight w:val="none"/>
                    </w:rPr>
                    <w:t>2018</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08</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16</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2603" w:type="dxa"/>
                  <w:gridSpan w:val="2"/>
                  <w:tcBorders>
                    <w:tl2br w:val="nil"/>
                    <w:tr2bl w:val="nil"/>
                  </w:tcBorders>
                  <w:vAlign w:val="center"/>
                </w:tcPr>
                <w:p>
                  <w:pPr>
                    <w:widowControl w:val="0"/>
                    <w:spacing w:after="0" w:line="240" w:lineRule="auto"/>
                    <w:jc w:val="center"/>
                    <w:rPr>
                      <w:rFonts w:eastAsiaTheme="minorEastAsia"/>
                      <w:color w:val="auto"/>
                      <w:szCs w:val="21"/>
                      <w:highlight w:val="none"/>
                    </w:rPr>
                  </w:pPr>
                  <w:r>
                    <w:rPr>
                      <w:rFonts w:hint="default" w:ascii="Times New Roman" w:hAnsi="Times New Roman" w:cs="Times New Roman"/>
                      <w:color w:val="auto"/>
                      <w:sz w:val="21"/>
                      <w:szCs w:val="21"/>
                      <w:highlight w:val="none"/>
                    </w:rPr>
                    <w:t>2018</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08</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17</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2603" w:type="dxa"/>
                  <w:gridSpan w:val="2"/>
                  <w:tcBorders>
                    <w:tl2br w:val="nil"/>
                    <w:tr2bl w:val="nil"/>
                  </w:tcBorders>
                  <w:vAlign w:val="center"/>
                </w:tcPr>
                <w:p>
                  <w:pPr>
                    <w:widowControl w:val="0"/>
                    <w:spacing w:after="0" w:line="240" w:lineRule="auto"/>
                    <w:jc w:val="center"/>
                    <w:rPr>
                      <w:rFonts w:eastAsiaTheme="minorEastAsia"/>
                      <w:color w:val="auto"/>
                      <w:szCs w:val="21"/>
                      <w:highlight w:val="none"/>
                    </w:rPr>
                  </w:pPr>
                  <w:r>
                    <w:rPr>
                      <w:rFonts w:hint="default" w:ascii="Times New Roman" w:hAnsi="Times New Roman" w:cs="Times New Roman"/>
                      <w:color w:val="auto"/>
                      <w:sz w:val="21"/>
                      <w:szCs w:val="21"/>
                      <w:highlight w:val="none"/>
                    </w:rPr>
                    <w:t>2018</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08</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18</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344" w:type="dxa"/>
                  <w:vMerge w:val="continue"/>
                  <w:tcBorders>
                    <w:tl2br w:val="nil"/>
                    <w:tr2bl w:val="nil"/>
                  </w:tcBorders>
                  <w:vAlign w:val="center"/>
                </w:tcPr>
                <w:p>
                  <w:pPr>
                    <w:pStyle w:val="47"/>
                    <w:jc w:val="center"/>
                    <w:rPr>
                      <w:rFonts w:ascii="Times New Roman" w:cs="Times New Roman"/>
                      <w:color w:val="auto"/>
                      <w:sz w:val="21"/>
                      <w:szCs w:val="21"/>
                      <w:highlight w:val="none"/>
                    </w:rPr>
                  </w:pPr>
                </w:p>
              </w:tc>
              <w:tc>
                <w:tcPr>
                  <w:tcW w:w="844" w:type="dxa"/>
                  <w:vMerge w:val="continue"/>
                  <w:tcBorders>
                    <w:tl2br w:val="nil"/>
                    <w:tr2bl w:val="nil"/>
                  </w:tcBorders>
                  <w:vAlign w:val="center"/>
                </w:tcPr>
                <w:p>
                  <w:pPr>
                    <w:jc w:val="center"/>
                    <w:rPr>
                      <w:color w:val="auto"/>
                      <w:szCs w:val="21"/>
                      <w:highlight w:val="none"/>
                    </w:rPr>
                  </w:pPr>
                </w:p>
              </w:tc>
              <w:tc>
                <w:tcPr>
                  <w:tcW w:w="814" w:type="dxa"/>
                  <w:vMerge w:val="continue"/>
                  <w:tcBorders>
                    <w:tl2br w:val="nil"/>
                    <w:tr2bl w:val="nil"/>
                  </w:tcBorders>
                  <w:vAlign w:val="center"/>
                </w:tcPr>
                <w:p>
                  <w:pPr>
                    <w:jc w:val="center"/>
                    <w:rPr>
                      <w:color w:val="auto"/>
                      <w:szCs w:val="21"/>
                      <w:highlight w:val="none"/>
                    </w:rPr>
                  </w:pPr>
                </w:p>
              </w:tc>
              <w:tc>
                <w:tcPr>
                  <w:tcW w:w="1209" w:type="dxa"/>
                  <w:vMerge w:val="continue"/>
                  <w:tcBorders>
                    <w:tl2br w:val="nil"/>
                    <w:tr2bl w:val="nil"/>
                  </w:tcBorders>
                  <w:vAlign w:val="center"/>
                </w:tcPr>
                <w:p>
                  <w:pPr>
                    <w:jc w:val="center"/>
                    <w:rPr>
                      <w:color w:val="auto"/>
                      <w:szCs w:val="21"/>
                      <w:highlight w:val="none"/>
                    </w:rPr>
                  </w:pPr>
                </w:p>
              </w:tc>
              <w:tc>
                <w:tcPr>
                  <w:tcW w:w="2603" w:type="dxa"/>
                  <w:gridSpan w:val="2"/>
                  <w:tcBorders>
                    <w:tl2br w:val="nil"/>
                    <w:tr2bl w:val="nil"/>
                  </w:tcBorders>
                  <w:vAlign w:val="center"/>
                </w:tcPr>
                <w:p>
                  <w:pPr>
                    <w:widowControl w:val="0"/>
                    <w:spacing w:after="0" w:line="240" w:lineRule="auto"/>
                    <w:jc w:val="center"/>
                    <w:rPr>
                      <w:rFonts w:eastAsiaTheme="minorEastAsia"/>
                      <w:color w:val="auto"/>
                      <w:szCs w:val="21"/>
                      <w:highlight w:val="none"/>
                    </w:rPr>
                  </w:pPr>
                  <w:r>
                    <w:rPr>
                      <w:rFonts w:hint="default" w:ascii="Times New Roman" w:hAnsi="Times New Roman" w:cs="Times New Roman"/>
                      <w:color w:val="auto"/>
                      <w:sz w:val="21"/>
                      <w:szCs w:val="21"/>
                      <w:highlight w:val="none"/>
                    </w:rPr>
                    <w:t>2018</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08</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19</w:t>
                  </w:r>
                </w:p>
              </w:tc>
              <w:tc>
                <w:tcPr>
                  <w:tcW w:w="1095" w:type="dxa"/>
                  <w:vMerge w:val="continue"/>
                  <w:tcBorders>
                    <w:tl2br w:val="nil"/>
                    <w:tr2bl w:val="nil"/>
                  </w:tcBorders>
                  <w:vAlign w:val="center"/>
                </w:tcPr>
                <w:p>
                  <w:pPr>
                    <w:pStyle w:val="155"/>
                    <w:tabs>
                      <w:tab w:val="left" w:pos="-2848"/>
                    </w:tabs>
                    <w:rPr>
                      <w:color w:val="auto"/>
                      <w:szCs w:val="21"/>
                      <w:highlight w:val="none"/>
                    </w:rPr>
                  </w:pPr>
                </w:p>
              </w:tc>
              <w:tc>
                <w:tcPr>
                  <w:tcW w:w="1065" w:type="dxa"/>
                  <w:vMerge w:val="continue"/>
                  <w:tcBorders>
                    <w:tl2br w:val="nil"/>
                    <w:tr2bl w:val="nil"/>
                  </w:tcBorders>
                  <w:vAlign w:val="center"/>
                </w:tcPr>
                <w:p>
                  <w:pPr>
                    <w:jc w:val="center"/>
                    <w:rPr>
                      <w:color w:val="auto"/>
                      <w:szCs w:val="21"/>
                      <w:highlight w:val="none"/>
                    </w:rPr>
                  </w:pPr>
                </w:p>
              </w:tc>
            </w:tr>
          </w:tbl>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hint="eastAsia" w:eastAsia="宋体" w:cs="Times New Roman"/>
                <w:b/>
                <w:color w:val="auto"/>
                <w:sz w:val="21"/>
                <w:szCs w:val="21"/>
                <w:highlight w:val="none"/>
              </w:rPr>
              <w:t xml:space="preserve">非甲烷总烃环境质量现状（监测结果）表 </w:t>
            </w:r>
          </w:p>
          <w:tbl>
            <w:tblPr>
              <w:tblStyle w:val="40"/>
              <w:tblW w:w="91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7"/>
              <w:gridCol w:w="720"/>
              <w:gridCol w:w="653"/>
              <w:gridCol w:w="735"/>
              <w:gridCol w:w="710"/>
              <w:gridCol w:w="1080"/>
              <w:gridCol w:w="1335"/>
              <w:gridCol w:w="945"/>
              <w:gridCol w:w="870"/>
              <w:gridCol w:w="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tblHeader/>
                <w:jc w:val="center"/>
              </w:trPr>
              <w:tc>
                <w:tcPr>
                  <w:tcW w:w="1307" w:type="dxa"/>
                  <w:vMerge w:val="restart"/>
                  <w:tcBorders>
                    <w:tl2br w:val="nil"/>
                    <w:tr2bl w:val="nil"/>
                  </w:tcBorders>
                  <w:vAlign w:val="center"/>
                </w:tcPr>
                <w:p>
                  <w:pPr>
                    <w:jc w:val="center"/>
                    <w:rPr>
                      <w:b/>
                      <w:color w:val="auto"/>
                      <w:szCs w:val="21"/>
                      <w:highlight w:val="none"/>
                    </w:rPr>
                  </w:pPr>
                  <w:r>
                    <w:rPr>
                      <w:rFonts w:hint="eastAsia"/>
                      <w:b/>
                      <w:color w:val="auto"/>
                      <w:szCs w:val="21"/>
                      <w:highlight w:val="none"/>
                    </w:rPr>
                    <w:t>监测点位</w:t>
                  </w:r>
                </w:p>
              </w:tc>
              <w:tc>
                <w:tcPr>
                  <w:tcW w:w="1373" w:type="dxa"/>
                  <w:gridSpan w:val="2"/>
                  <w:tcBorders>
                    <w:tl2br w:val="nil"/>
                    <w:tr2bl w:val="nil"/>
                  </w:tcBorders>
                  <w:vAlign w:val="center"/>
                </w:tcPr>
                <w:p>
                  <w:pPr>
                    <w:autoSpaceDE w:val="0"/>
                    <w:autoSpaceDN w:val="0"/>
                    <w:jc w:val="center"/>
                    <w:rPr>
                      <w:b/>
                      <w:color w:val="auto"/>
                      <w:szCs w:val="21"/>
                      <w:highlight w:val="none"/>
                    </w:rPr>
                  </w:pPr>
                  <w:r>
                    <w:rPr>
                      <w:rFonts w:hint="eastAsia"/>
                      <w:b/>
                      <w:color w:val="auto"/>
                      <w:szCs w:val="21"/>
                      <w:highlight w:val="none"/>
                    </w:rPr>
                    <w:t>监测点坐标/m</w:t>
                  </w:r>
                </w:p>
              </w:tc>
              <w:tc>
                <w:tcPr>
                  <w:tcW w:w="735" w:type="dxa"/>
                  <w:vMerge w:val="restart"/>
                  <w:tcBorders>
                    <w:tl2br w:val="nil"/>
                    <w:tr2bl w:val="nil"/>
                  </w:tcBorders>
                  <w:vAlign w:val="center"/>
                </w:tcPr>
                <w:p>
                  <w:pPr>
                    <w:jc w:val="center"/>
                    <w:rPr>
                      <w:b/>
                      <w:color w:val="auto"/>
                      <w:szCs w:val="21"/>
                      <w:highlight w:val="none"/>
                    </w:rPr>
                  </w:pPr>
                  <w:r>
                    <w:rPr>
                      <w:rFonts w:hint="eastAsia"/>
                      <w:b/>
                      <w:color w:val="auto"/>
                      <w:szCs w:val="21"/>
                      <w:highlight w:val="none"/>
                    </w:rPr>
                    <w:t>污染物</w:t>
                  </w:r>
                </w:p>
              </w:tc>
              <w:tc>
                <w:tcPr>
                  <w:tcW w:w="710" w:type="dxa"/>
                  <w:vMerge w:val="restart"/>
                  <w:tcBorders>
                    <w:tl2br w:val="nil"/>
                    <w:tr2bl w:val="nil"/>
                  </w:tcBorders>
                  <w:vAlign w:val="center"/>
                </w:tcPr>
                <w:p>
                  <w:pPr>
                    <w:jc w:val="center"/>
                    <w:rPr>
                      <w:b/>
                      <w:color w:val="auto"/>
                      <w:szCs w:val="21"/>
                      <w:highlight w:val="none"/>
                    </w:rPr>
                  </w:pPr>
                  <w:r>
                    <w:rPr>
                      <w:rFonts w:hint="eastAsia"/>
                      <w:b/>
                      <w:color w:val="auto"/>
                      <w:szCs w:val="21"/>
                      <w:highlight w:val="none"/>
                    </w:rPr>
                    <w:t>平均时间</w:t>
                  </w:r>
                </w:p>
              </w:tc>
              <w:tc>
                <w:tcPr>
                  <w:tcW w:w="1080" w:type="dxa"/>
                  <w:vMerge w:val="restart"/>
                  <w:tcBorders>
                    <w:tl2br w:val="nil"/>
                    <w:tr2bl w:val="nil"/>
                  </w:tcBorders>
                  <w:vAlign w:val="center"/>
                </w:tcPr>
                <w:p>
                  <w:pPr>
                    <w:jc w:val="center"/>
                    <w:rPr>
                      <w:b/>
                      <w:bCs/>
                      <w:color w:val="auto"/>
                      <w:szCs w:val="21"/>
                      <w:highlight w:val="none"/>
                    </w:rPr>
                  </w:pPr>
                  <w:r>
                    <w:rPr>
                      <w:rFonts w:hint="eastAsia"/>
                      <w:b/>
                      <w:bCs/>
                      <w:color w:val="auto"/>
                      <w:szCs w:val="21"/>
                      <w:highlight w:val="none"/>
                    </w:rPr>
                    <w:t>评价</w:t>
                  </w:r>
                  <w:r>
                    <w:rPr>
                      <w:b/>
                      <w:bCs/>
                      <w:color w:val="auto"/>
                      <w:szCs w:val="21"/>
                      <w:highlight w:val="none"/>
                    </w:rPr>
                    <w:t>标准</w:t>
                  </w:r>
                </w:p>
                <w:p>
                  <w:pPr>
                    <w:jc w:val="center"/>
                    <w:rPr>
                      <w:b/>
                      <w:color w:val="auto"/>
                      <w:szCs w:val="21"/>
                      <w:highlight w:val="none"/>
                    </w:rPr>
                  </w:pPr>
                  <w:r>
                    <w:rPr>
                      <w:rFonts w:hint="eastAsia"/>
                      <w:b/>
                      <w:color w:val="auto"/>
                      <w:szCs w:val="21"/>
                      <w:highlight w:val="none"/>
                    </w:rPr>
                    <w:t>/（</w:t>
                  </w:r>
                  <w:r>
                    <w:rPr>
                      <w:b/>
                      <w:color w:val="auto"/>
                      <w:szCs w:val="21"/>
                      <w:highlight w:val="none"/>
                    </w:rPr>
                    <w:t>μg/m³</w:t>
                  </w:r>
                  <w:r>
                    <w:rPr>
                      <w:rFonts w:hint="eastAsia"/>
                      <w:b/>
                      <w:color w:val="auto"/>
                      <w:szCs w:val="21"/>
                      <w:highlight w:val="none"/>
                    </w:rPr>
                    <w:t>）</w:t>
                  </w:r>
                </w:p>
              </w:tc>
              <w:tc>
                <w:tcPr>
                  <w:tcW w:w="1335" w:type="dxa"/>
                  <w:vMerge w:val="restart"/>
                  <w:tcBorders>
                    <w:tl2br w:val="nil"/>
                    <w:tr2bl w:val="nil"/>
                  </w:tcBorders>
                  <w:vAlign w:val="center"/>
                </w:tcPr>
                <w:p>
                  <w:pPr>
                    <w:jc w:val="center"/>
                    <w:rPr>
                      <w:b/>
                      <w:color w:val="auto"/>
                      <w:szCs w:val="21"/>
                      <w:highlight w:val="none"/>
                    </w:rPr>
                  </w:pPr>
                  <w:r>
                    <w:rPr>
                      <w:rFonts w:hint="eastAsia"/>
                      <w:b/>
                      <w:color w:val="auto"/>
                      <w:szCs w:val="21"/>
                      <w:highlight w:val="none"/>
                    </w:rPr>
                    <w:t>监测浓度范围/（</w:t>
                  </w:r>
                  <w:r>
                    <w:rPr>
                      <w:b/>
                      <w:color w:val="auto"/>
                      <w:szCs w:val="21"/>
                      <w:highlight w:val="none"/>
                    </w:rPr>
                    <w:t>μg/m³</w:t>
                  </w:r>
                  <w:r>
                    <w:rPr>
                      <w:rFonts w:hint="eastAsia"/>
                      <w:b/>
                      <w:color w:val="auto"/>
                      <w:szCs w:val="21"/>
                      <w:highlight w:val="none"/>
                    </w:rPr>
                    <w:t>）</w:t>
                  </w:r>
                </w:p>
              </w:tc>
              <w:tc>
                <w:tcPr>
                  <w:tcW w:w="945" w:type="dxa"/>
                  <w:vMerge w:val="restart"/>
                  <w:tcBorders>
                    <w:tl2br w:val="nil"/>
                    <w:tr2bl w:val="nil"/>
                  </w:tcBorders>
                  <w:vAlign w:val="center"/>
                </w:tcPr>
                <w:p>
                  <w:pPr>
                    <w:jc w:val="center"/>
                    <w:rPr>
                      <w:color w:val="auto"/>
                      <w:highlight w:val="none"/>
                    </w:rPr>
                  </w:pPr>
                  <w:r>
                    <w:rPr>
                      <w:rFonts w:hint="eastAsia"/>
                      <w:b/>
                      <w:color w:val="auto"/>
                      <w:szCs w:val="21"/>
                      <w:highlight w:val="none"/>
                    </w:rPr>
                    <w:t>最大浓度占标率/%</w:t>
                  </w:r>
                </w:p>
              </w:tc>
              <w:tc>
                <w:tcPr>
                  <w:tcW w:w="870" w:type="dxa"/>
                  <w:vMerge w:val="restart"/>
                  <w:tcBorders>
                    <w:tl2br w:val="nil"/>
                    <w:tr2bl w:val="nil"/>
                  </w:tcBorders>
                  <w:vAlign w:val="center"/>
                </w:tcPr>
                <w:p>
                  <w:pPr>
                    <w:jc w:val="center"/>
                    <w:rPr>
                      <w:b/>
                      <w:color w:val="auto"/>
                      <w:szCs w:val="21"/>
                      <w:highlight w:val="none"/>
                    </w:rPr>
                  </w:pPr>
                  <w:r>
                    <w:rPr>
                      <w:rFonts w:hint="eastAsia"/>
                      <w:b/>
                      <w:color w:val="auto"/>
                      <w:szCs w:val="21"/>
                      <w:highlight w:val="none"/>
                    </w:rPr>
                    <w:t>超标频率/%</w:t>
                  </w:r>
                </w:p>
              </w:tc>
              <w:tc>
                <w:tcPr>
                  <w:tcW w:w="787" w:type="dxa"/>
                  <w:vMerge w:val="restart"/>
                  <w:tcBorders>
                    <w:tl2br w:val="nil"/>
                    <w:tr2bl w:val="nil"/>
                  </w:tcBorders>
                  <w:vAlign w:val="center"/>
                </w:tcPr>
                <w:p>
                  <w:pPr>
                    <w:jc w:val="center"/>
                    <w:rPr>
                      <w:b/>
                      <w:color w:val="auto"/>
                      <w:szCs w:val="21"/>
                      <w:highlight w:val="none"/>
                    </w:rPr>
                  </w:pPr>
                  <w:r>
                    <w:rPr>
                      <w:rFonts w:hint="eastAsia"/>
                      <w:b/>
                      <w:color w:val="auto"/>
                      <w:szCs w:val="21"/>
                      <w:highlight w:val="non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blHeader/>
                <w:jc w:val="center"/>
              </w:trPr>
              <w:tc>
                <w:tcPr>
                  <w:tcW w:w="1307" w:type="dxa"/>
                  <w:vMerge w:val="continue"/>
                  <w:tcBorders>
                    <w:tl2br w:val="nil"/>
                    <w:tr2bl w:val="nil"/>
                  </w:tcBorders>
                  <w:vAlign w:val="center"/>
                </w:tcPr>
                <w:p>
                  <w:pPr>
                    <w:jc w:val="center"/>
                    <w:rPr>
                      <w:color w:val="auto"/>
                      <w:highlight w:val="none"/>
                    </w:rPr>
                  </w:pPr>
                </w:p>
              </w:tc>
              <w:tc>
                <w:tcPr>
                  <w:tcW w:w="720" w:type="dxa"/>
                  <w:tcBorders>
                    <w:tl2br w:val="nil"/>
                    <w:tr2bl w:val="nil"/>
                  </w:tcBorders>
                  <w:vAlign w:val="center"/>
                </w:tcPr>
                <w:p>
                  <w:pPr>
                    <w:autoSpaceDE w:val="0"/>
                    <w:autoSpaceDN w:val="0"/>
                    <w:jc w:val="center"/>
                    <w:rPr>
                      <w:color w:val="auto"/>
                      <w:highlight w:val="none"/>
                    </w:rPr>
                  </w:pPr>
                  <w:r>
                    <w:rPr>
                      <w:rFonts w:hint="eastAsia"/>
                      <w:color w:val="auto"/>
                      <w:highlight w:val="none"/>
                    </w:rPr>
                    <w:t>X</w:t>
                  </w:r>
                </w:p>
              </w:tc>
              <w:tc>
                <w:tcPr>
                  <w:tcW w:w="653" w:type="dxa"/>
                  <w:tcBorders>
                    <w:tl2br w:val="nil"/>
                    <w:tr2bl w:val="nil"/>
                  </w:tcBorders>
                  <w:vAlign w:val="center"/>
                </w:tcPr>
                <w:p>
                  <w:pPr>
                    <w:autoSpaceDE w:val="0"/>
                    <w:autoSpaceDN w:val="0"/>
                    <w:jc w:val="center"/>
                    <w:rPr>
                      <w:color w:val="auto"/>
                      <w:highlight w:val="none"/>
                    </w:rPr>
                  </w:pPr>
                  <w:r>
                    <w:rPr>
                      <w:rFonts w:hint="eastAsia"/>
                      <w:color w:val="auto"/>
                      <w:highlight w:val="none"/>
                    </w:rPr>
                    <w:t>Y</w:t>
                  </w:r>
                </w:p>
              </w:tc>
              <w:tc>
                <w:tcPr>
                  <w:tcW w:w="735" w:type="dxa"/>
                  <w:vMerge w:val="continue"/>
                  <w:tcBorders>
                    <w:tl2br w:val="nil"/>
                    <w:tr2bl w:val="nil"/>
                  </w:tcBorders>
                  <w:vAlign w:val="center"/>
                </w:tcPr>
                <w:p>
                  <w:pPr>
                    <w:jc w:val="center"/>
                    <w:rPr>
                      <w:color w:val="auto"/>
                      <w:highlight w:val="none"/>
                    </w:rPr>
                  </w:pPr>
                </w:p>
              </w:tc>
              <w:tc>
                <w:tcPr>
                  <w:tcW w:w="710" w:type="dxa"/>
                  <w:vMerge w:val="continue"/>
                  <w:tcBorders>
                    <w:tl2br w:val="nil"/>
                    <w:tr2bl w:val="nil"/>
                  </w:tcBorders>
                  <w:vAlign w:val="center"/>
                </w:tcPr>
                <w:p>
                  <w:pPr>
                    <w:jc w:val="center"/>
                    <w:rPr>
                      <w:color w:val="auto"/>
                      <w:highlight w:val="none"/>
                    </w:rPr>
                  </w:pPr>
                </w:p>
              </w:tc>
              <w:tc>
                <w:tcPr>
                  <w:tcW w:w="1080" w:type="dxa"/>
                  <w:vMerge w:val="continue"/>
                  <w:tcBorders>
                    <w:tl2br w:val="nil"/>
                    <w:tr2bl w:val="nil"/>
                  </w:tcBorders>
                  <w:vAlign w:val="center"/>
                </w:tcPr>
                <w:p>
                  <w:pPr>
                    <w:jc w:val="center"/>
                    <w:rPr>
                      <w:color w:val="auto"/>
                      <w:highlight w:val="none"/>
                    </w:rPr>
                  </w:pPr>
                </w:p>
              </w:tc>
              <w:tc>
                <w:tcPr>
                  <w:tcW w:w="1335" w:type="dxa"/>
                  <w:vMerge w:val="continue"/>
                  <w:tcBorders>
                    <w:tl2br w:val="nil"/>
                    <w:tr2bl w:val="nil"/>
                  </w:tcBorders>
                  <w:vAlign w:val="center"/>
                </w:tcPr>
                <w:p>
                  <w:pPr>
                    <w:jc w:val="center"/>
                    <w:rPr>
                      <w:color w:val="auto"/>
                      <w:highlight w:val="none"/>
                    </w:rPr>
                  </w:pPr>
                </w:p>
              </w:tc>
              <w:tc>
                <w:tcPr>
                  <w:tcW w:w="945" w:type="dxa"/>
                  <w:vMerge w:val="continue"/>
                  <w:tcBorders>
                    <w:tl2br w:val="nil"/>
                    <w:tr2bl w:val="nil"/>
                  </w:tcBorders>
                  <w:vAlign w:val="center"/>
                </w:tcPr>
                <w:p>
                  <w:pPr>
                    <w:jc w:val="center"/>
                    <w:rPr>
                      <w:color w:val="auto"/>
                      <w:highlight w:val="none"/>
                    </w:rPr>
                  </w:pPr>
                </w:p>
              </w:tc>
              <w:tc>
                <w:tcPr>
                  <w:tcW w:w="870" w:type="dxa"/>
                  <w:vMerge w:val="continue"/>
                  <w:tcBorders>
                    <w:tl2br w:val="nil"/>
                    <w:tr2bl w:val="nil"/>
                  </w:tcBorders>
                  <w:vAlign w:val="center"/>
                </w:tcPr>
                <w:p>
                  <w:pPr>
                    <w:jc w:val="center"/>
                    <w:rPr>
                      <w:color w:val="auto"/>
                      <w:highlight w:val="none"/>
                    </w:rPr>
                  </w:pPr>
                </w:p>
              </w:tc>
              <w:tc>
                <w:tcPr>
                  <w:tcW w:w="787" w:type="dxa"/>
                  <w:vMerge w:val="continue"/>
                  <w:tcBorders>
                    <w:tl2br w:val="nil"/>
                    <w:tr2bl w:val="nil"/>
                  </w:tcBorders>
                  <w:vAlign w:val="center"/>
                </w:tcPr>
                <w:p>
                  <w:pPr>
                    <w:jc w:val="center"/>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307" w:type="dxa"/>
                  <w:tcBorders>
                    <w:tl2br w:val="nil"/>
                    <w:tr2bl w:val="nil"/>
                  </w:tcBorders>
                  <w:vAlign w:val="center"/>
                </w:tcPr>
                <w:p>
                  <w:pPr>
                    <w:pStyle w:val="47"/>
                    <w:jc w:val="center"/>
                    <w:rPr>
                      <w:rFonts w:hint="eastAsia" w:eastAsia="宋体"/>
                      <w:color w:val="auto"/>
                      <w:sz w:val="21"/>
                      <w:szCs w:val="21"/>
                      <w:highlight w:val="none"/>
                      <w:lang w:eastAsia="zh-CN"/>
                    </w:rPr>
                  </w:pPr>
                  <w:r>
                    <w:rPr>
                      <w:rFonts w:hint="eastAsia" w:ascii="Times New Roman" w:cs="Times New Roman"/>
                      <w:color w:val="auto"/>
                      <w:sz w:val="21"/>
                      <w:szCs w:val="21"/>
                      <w:highlight w:val="none"/>
                    </w:rPr>
                    <w:t>开平市水口镇怡泰五金厂</w:t>
                  </w:r>
                  <w:r>
                    <w:rPr>
                      <w:rFonts w:hint="eastAsia" w:ascii="Times New Roman" w:cs="Times New Roman"/>
                      <w:color w:val="auto"/>
                      <w:sz w:val="21"/>
                      <w:szCs w:val="21"/>
                      <w:highlight w:val="none"/>
                      <w:lang w:eastAsia="zh-CN"/>
                    </w:rPr>
                    <w:t>所在地</w:t>
                  </w:r>
                </w:p>
              </w:tc>
              <w:tc>
                <w:tcPr>
                  <w:tcW w:w="720" w:type="dxa"/>
                  <w:tcBorders>
                    <w:tl2br w:val="nil"/>
                    <w:tr2bl w:val="nil"/>
                  </w:tcBorders>
                  <w:vAlign w:val="center"/>
                </w:tcPr>
                <w:p>
                  <w:pPr>
                    <w:jc w:val="center"/>
                    <w:rPr>
                      <w:color w:val="auto"/>
                      <w:szCs w:val="21"/>
                      <w:highlight w:val="none"/>
                    </w:rPr>
                  </w:pPr>
                  <w:r>
                    <w:rPr>
                      <w:rFonts w:hint="eastAsia" w:ascii="Times New Roman" w:eastAsia="宋体"/>
                      <w:color w:val="auto"/>
                      <w:szCs w:val="21"/>
                      <w:highlight w:val="none"/>
                      <w:lang w:val="en-US" w:eastAsia="zh-CN"/>
                    </w:rPr>
                    <w:t>-</w:t>
                  </w:r>
                  <w:r>
                    <w:rPr>
                      <w:rFonts w:hint="eastAsia"/>
                      <w:color w:val="auto"/>
                      <w:szCs w:val="21"/>
                      <w:highlight w:val="none"/>
                      <w:lang w:val="en-US" w:eastAsia="zh-CN"/>
                    </w:rPr>
                    <w:t>270</w:t>
                  </w:r>
                </w:p>
              </w:tc>
              <w:tc>
                <w:tcPr>
                  <w:tcW w:w="653" w:type="dxa"/>
                  <w:tcBorders>
                    <w:tl2br w:val="nil"/>
                    <w:tr2bl w:val="nil"/>
                  </w:tcBorders>
                  <w:vAlign w:val="center"/>
                </w:tcPr>
                <w:p>
                  <w:pPr>
                    <w:jc w:val="center"/>
                    <w:rPr>
                      <w:color w:val="auto"/>
                      <w:szCs w:val="21"/>
                      <w:highlight w:val="none"/>
                    </w:rPr>
                  </w:pPr>
                  <w:r>
                    <w:rPr>
                      <w:rFonts w:hint="eastAsia"/>
                      <w:color w:val="auto"/>
                      <w:szCs w:val="21"/>
                      <w:highlight w:val="none"/>
                      <w:lang w:val="en-US" w:eastAsia="zh-CN"/>
                    </w:rPr>
                    <w:t>141</w:t>
                  </w:r>
                </w:p>
              </w:tc>
              <w:tc>
                <w:tcPr>
                  <w:tcW w:w="735" w:type="dxa"/>
                  <w:tcBorders>
                    <w:tl2br w:val="nil"/>
                    <w:tr2bl w:val="nil"/>
                  </w:tcBorders>
                  <w:vAlign w:val="center"/>
                </w:tcPr>
                <w:p>
                  <w:pPr>
                    <w:jc w:val="center"/>
                    <w:rPr>
                      <w:color w:val="auto"/>
                      <w:szCs w:val="21"/>
                      <w:highlight w:val="none"/>
                    </w:rPr>
                  </w:pPr>
                  <w:r>
                    <w:rPr>
                      <w:rFonts w:hint="eastAsia"/>
                      <w:color w:val="auto"/>
                      <w:szCs w:val="21"/>
                      <w:highlight w:val="none"/>
                    </w:rPr>
                    <w:t>非甲烷总烃</w:t>
                  </w:r>
                </w:p>
              </w:tc>
              <w:tc>
                <w:tcPr>
                  <w:tcW w:w="710" w:type="dxa"/>
                  <w:tcBorders>
                    <w:tl2br w:val="nil"/>
                    <w:tr2bl w:val="nil"/>
                  </w:tcBorders>
                  <w:vAlign w:val="center"/>
                </w:tcPr>
                <w:p>
                  <w:pPr>
                    <w:jc w:val="center"/>
                    <w:rPr>
                      <w:color w:val="auto"/>
                      <w:szCs w:val="21"/>
                      <w:highlight w:val="none"/>
                    </w:rPr>
                  </w:pPr>
                  <w:r>
                    <w:rPr>
                      <w:rFonts w:hint="eastAsia"/>
                      <w:color w:val="auto"/>
                      <w:highlight w:val="none"/>
                    </w:rPr>
                    <w:t>1h</w:t>
                  </w:r>
                </w:p>
              </w:tc>
              <w:tc>
                <w:tcPr>
                  <w:tcW w:w="1080" w:type="dxa"/>
                  <w:tcBorders>
                    <w:tl2br w:val="nil"/>
                    <w:tr2bl w:val="nil"/>
                  </w:tcBorders>
                  <w:vAlign w:val="center"/>
                </w:tcPr>
                <w:p>
                  <w:pPr>
                    <w:pStyle w:val="155"/>
                    <w:tabs>
                      <w:tab w:val="left" w:pos="-2848"/>
                    </w:tabs>
                    <w:rPr>
                      <w:rFonts w:hint="default" w:eastAsia="宋体"/>
                      <w:color w:val="auto"/>
                      <w:szCs w:val="21"/>
                      <w:highlight w:val="none"/>
                      <w:lang w:val="en-US" w:eastAsia="zh-CN"/>
                    </w:rPr>
                  </w:pPr>
                  <w:r>
                    <w:rPr>
                      <w:rFonts w:hint="eastAsia"/>
                      <w:color w:val="auto"/>
                      <w:szCs w:val="21"/>
                      <w:highlight w:val="none"/>
                      <w:lang w:val="en-US" w:eastAsia="zh-CN"/>
                    </w:rPr>
                    <w:t>2000</w:t>
                  </w:r>
                </w:p>
              </w:tc>
              <w:tc>
                <w:tcPr>
                  <w:tcW w:w="1335" w:type="dxa"/>
                  <w:tcBorders>
                    <w:tl2br w:val="nil"/>
                    <w:tr2bl w:val="nil"/>
                  </w:tcBorders>
                  <w:vAlign w:val="center"/>
                </w:tcPr>
                <w:p>
                  <w:pPr>
                    <w:jc w:val="center"/>
                    <w:rPr>
                      <w:rFonts w:hint="default" w:eastAsia="宋体"/>
                      <w:color w:val="auto"/>
                      <w:szCs w:val="21"/>
                      <w:highlight w:val="none"/>
                      <w:lang w:val="en-US" w:eastAsia="zh-CN"/>
                    </w:rPr>
                  </w:pPr>
                  <w:r>
                    <w:rPr>
                      <w:rFonts w:hint="eastAsia" w:ascii="Times New Roman" w:eastAsia="宋体"/>
                      <w:color w:val="auto"/>
                      <w:szCs w:val="21"/>
                      <w:highlight w:val="none"/>
                      <w:lang w:val="en-US" w:eastAsia="zh-CN"/>
                    </w:rPr>
                    <w:t>80</w:t>
                  </w:r>
                  <w:r>
                    <w:rPr>
                      <w:rFonts w:hint="eastAsia"/>
                      <w:color w:val="auto"/>
                      <w:szCs w:val="21"/>
                      <w:highlight w:val="none"/>
                    </w:rPr>
                    <w:t>~</w:t>
                  </w:r>
                  <w:r>
                    <w:rPr>
                      <w:rFonts w:hint="eastAsia" w:ascii="Times New Roman" w:eastAsia="宋体"/>
                      <w:color w:val="auto"/>
                      <w:szCs w:val="21"/>
                      <w:highlight w:val="none"/>
                      <w:lang w:val="en-US" w:eastAsia="zh-CN"/>
                    </w:rPr>
                    <w:t>120</w:t>
                  </w:r>
                </w:p>
              </w:tc>
              <w:tc>
                <w:tcPr>
                  <w:tcW w:w="945" w:type="dxa"/>
                  <w:tcBorders>
                    <w:tl2br w:val="nil"/>
                    <w:tr2bl w:val="nil"/>
                  </w:tcBorders>
                  <w:vAlign w:val="center"/>
                </w:tcPr>
                <w:p>
                  <w:pPr>
                    <w:jc w:val="center"/>
                    <w:rPr>
                      <w:rFonts w:eastAsia="仿宋_GB2312"/>
                      <w:color w:val="auto"/>
                      <w:highlight w:val="none"/>
                    </w:rPr>
                  </w:pPr>
                  <w:r>
                    <w:rPr>
                      <w:rFonts w:hint="eastAsia" w:eastAsia="仿宋_GB2312"/>
                      <w:color w:val="auto"/>
                      <w:highlight w:val="none"/>
                    </w:rPr>
                    <w:t>6</w:t>
                  </w:r>
                </w:p>
              </w:tc>
              <w:tc>
                <w:tcPr>
                  <w:tcW w:w="870" w:type="dxa"/>
                  <w:tcBorders>
                    <w:tl2br w:val="nil"/>
                    <w:tr2bl w:val="nil"/>
                  </w:tcBorders>
                  <w:vAlign w:val="center"/>
                </w:tcPr>
                <w:p>
                  <w:pPr>
                    <w:autoSpaceDE w:val="0"/>
                    <w:autoSpaceDN w:val="0"/>
                    <w:jc w:val="center"/>
                    <w:rPr>
                      <w:color w:val="auto"/>
                      <w:szCs w:val="21"/>
                      <w:highlight w:val="none"/>
                    </w:rPr>
                  </w:pPr>
                  <w:r>
                    <w:rPr>
                      <w:rFonts w:hint="eastAsia"/>
                      <w:color w:val="auto"/>
                      <w:szCs w:val="21"/>
                      <w:highlight w:val="none"/>
                    </w:rPr>
                    <w:t>/</w:t>
                  </w:r>
                </w:p>
              </w:tc>
              <w:tc>
                <w:tcPr>
                  <w:tcW w:w="787" w:type="dxa"/>
                  <w:tcBorders>
                    <w:tl2br w:val="nil"/>
                    <w:tr2bl w:val="nil"/>
                  </w:tcBorders>
                  <w:vAlign w:val="center"/>
                </w:tcPr>
                <w:p>
                  <w:pPr>
                    <w:autoSpaceDE w:val="0"/>
                    <w:autoSpaceDN w:val="0"/>
                    <w:jc w:val="center"/>
                    <w:rPr>
                      <w:color w:val="auto"/>
                      <w:szCs w:val="21"/>
                      <w:highlight w:val="none"/>
                    </w:rPr>
                  </w:pPr>
                  <w:r>
                    <w:rPr>
                      <w:rFonts w:hint="eastAsia"/>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307" w:type="dxa"/>
                  <w:tcBorders>
                    <w:tl2br w:val="nil"/>
                    <w:tr2bl w:val="nil"/>
                  </w:tcBorders>
                  <w:vAlign w:val="center"/>
                </w:tcPr>
                <w:p>
                  <w:pPr>
                    <w:widowControl w:val="0"/>
                    <w:autoSpaceDE w:val="0"/>
                    <w:autoSpaceDN w:val="0"/>
                    <w:adjustRightInd w:val="0"/>
                    <w:spacing w:line="240" w:lineRule="auto"/>
                    <w:jc w:val="center"/>
                    <w:rPr>
                      <w:rFonts w:hint="eastAsia" w:asci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bidi="ar-SA"/>
                    </w:rPr>
                    <w:t>开平市水口镇明明五金加工店所在地</w:t>
                  </w:r>
                </w:p>
              </w:tc>
              <w:tc>
                <w:tcPr>
                  <w:tcW w:w="720" w:type="dxa"/>
                  <w:tcBorders>
                    <w:tl2br w:val="nil"/>
                    <w:tr2bl w:val="nil"/>
                  </w:tcBorders>
                  <w:vAlign w:val="center"/>
                </w:tcPr>
                <w:p>
                  <w:pPr>
                    <w:widowControl w:val="0"/>
                    <w:spacing w:after="0" w:line="240" w:lineRule="auto"/>
                    <w:jc w:val="center"/>
                    <w:rPr>
                      <w:rFonts w:hint="default"/>
                      <w:color w:val="auto"/>
                      <w:szCs w:val="21"/>
                      <w:highlight w:val="none"/>
                      <w:lang w:val="en-US"/>
                    </w:rPr>
                  </w:pPr>
                  <w:r>
                    <w:rPr>
                      <w:rFonts w:hint="eastAsia" w:cs="Times New Roman"/>
                      <w:color w:val="auto"/>
                      <w:kern w:val="2"/>
                      <w:sz w:val="21"/>
                      <w:szCs w:val="21"/>
                      <w:highlight w:val="none"/>
                      <w:lang w:val="en-US" w:eastAsia="zh-CN"/>
                    </w:rPr>
                    <w:t>1558</w:t>
                  </w:r>
                </w:p>
              </w:tc>
              <w:tc>
                <w:tcPr>
                  <w:tcW w:w="653" w:type="dxa"/>
                  <w:tcBorders>
                    <w:tl2br w:val="nil"/>
                    <w:tr2bl w:val="nil"/>
                  </w:tcBorders>
                  <w:vAlign w:val="center"/>
                </w:tcPr>
                <w:p>
                  <w:pPr>
                    <w:widowControl w:val="0"/>
                    <w:spacing w:after="0" w:line="240" w:lineRule="auto"/>
                    <w:jc w:val="center"/>
                    <w:rPr>
                      <w:rFonts w:hint="default"/>
                      <w:color w:val="auto"/>
                      <w:szCs w:val="21"/>
                      <w:highlight w:val="none"/>
                      <w:lang w:val="en-US"/>
                    </w:rPr>
                  </w:pPr>
                  <w:r>
                    <w:rPr>
                      <w:rFonts w:hint="eastAsia" w:cs="Times New Roman"/>
                      <w:color w:val="auto"/>
                      <w:kern w:val="2"/>
                      <w:sz w:val="21"/>
                      <w:szCs w:val="21"/>
                      <w:highlight w:val="none"/>
                      <w:lang w:val="en-US" w:eastAsia="zh-CN"/>
                    </w:rPr>
                    <w:t>-244</w:t>
                  </w:r>
                </w:p>
              </w:tc>
              <w:tc>
                <w:tcPr>
                  <w:tcW w:w="735" w:type="dxa"/>
                  <w:tcBorders>
                    <w:tl2br w:val="nil"/>
                    <w:tr2bl w:val="nil"/>
                  </w:tcBorders>
                  <w:vAlign w:val="center"/>
                </w:tcPr>
                <w:p>
                  <w:pPr>
                    <w:widowControl w:val="0"/>
                    <w:spacing w:after="0" w:line="240" w:lineRule="auto"/>
                    <w:jc w:val="center"/>
                    <w:rPr>
                      <w:rFonts w:hint="eastAsia"/>
                      <w:color w:val="auto"/>
                      <w:szCs w:val="21"/>
                      <w:highlight w:val="none"/>
                    </w:rPr>
                  </w:pPr>
                  <w:r>
                    <w:rPr>
                      <w:rFonts w:hint="eastAsia" w:ascii="Times New Roman" w:hAnsi="Times New Roman" w:eastAsia="宋体" w:cs="Times New Roman"/>
                      <w:color w:val="auto"/>
                      <w:kern w:val="2"/>
                      <w:sz w:val="21"/>
                      <w:szCs w:val="21"/>
                      <w:highlight w:val="none"/>
                      <w:lang w:val="en-US" w:eastAsia="zh-CN"/>
                    </w:rPr>
                    <w:t>TSP</w:t>
                  </w:r>
                </w:p>
              </w:tc>
              <w:tc>
                <w:tcPr>
                  <w:tcW w:w="710" w:type="dxa"/>
                  <w:tcBorders>
                    <w:tl2br w:val="nil"/>
                    <w:tr2bl w:val="nil"/>
                  </w:tcBorders>
                  <w:vAlign w:val="center"/>
                </w:tcPr>
                <w:p>
                  <w:pPr>
                    <w:widowControl w:val="0"/>
                    <w:spacing w:after="0" w:line="240" w:lineRule="auto"/>
                    <w:jc w:val="center"/>
                    <w:rPr>
                      <w:rFonts w:hint="eastAsia"/>
                      <w:color w:val="auto"/>
                      <w:highlight w:val="none"/>
                    </w:rPr>
                  </w:pPr>
                  <w:r>
                    <w:rPr>
                      <w:rFonts w:hint="eastAsia" w:ascii="Times New Roman" w:hAnsi="Times New Roman" w:eastAsia="宋体" w:cs="Times New Roman"/>
                      <w:color w:val="auto"/>
                      <w:kern w:val="2"/>
                      <w:sz w:val="21"/>
                      <w:szCs w:val="24"/>
                      <w:highlight w:val="none"/>
                      <w:lang w:val="en-US" w:eastAsia="zh-CN"/>
                    </w:rPr>
                    <w:t>24h</w:t>
                  </w:r>
                </w:p>
              </w:tc>
              <w:tc>
                <w:tcPr>
                  <w:tcW w:w="1080" w:type="dxa"/>
                  <w:tcBorders>
                    <w:tl2br w:val="nil"/>
                    <w:tr2bl w:val="nil"/>
                  </w:tcBorders>
                  <w:vAlign w:val="center"/>
                </w:tcPr>
                <w:p>
                  <w:pPr>
                    <w:widowControl w:val="0"/>
                    <w:tabs>
                      <w:tab w:val="left" w:pos="-2848"/>
                    </w:tabs>
                    <w:spacing w:line="240" w:lineRule="auto"/>
                    <w:jc w:val="center"/>
                    <w:rPr>
                      <w:rFonts w:hint="eastAsia"/>
                      <w:color w:val="auto"/>
                      <w:szCs w:val="21"/>
                      <w:highlight w:val="none"/>
                      <w:lang w:val="en-US" w:eastAsia="zh-CN"/>
                    </w:rPr>
                  </w:pPr>
                  <w:r>
                    <w:rPr>
                      <w:rFonts w:hint="eastAsia" w:ascii="Times New Roman" w:hAnsi="Times New Roman" w:eastAsia="宋体" w:cs="Times New Roman"/>
                      <w:color w:val="auto"/>
                      <w:kern w:val="44"/>
                      <w:sz w:val="21"/>
                      <w:szCs w:val="21"/>
                      <w:highlight w:val="none"/>
                      <w:lang w:val="en-US" w:eastAsia="zh-CN" w:bidi="ar-SA"/>
                    </w:rPr>
                    <w:t>300</w:t>
                  </w:r>
                </w:p>
              </w:tc>
              <w:tc>
                <w:tcPr>
                  <w:tcW w:w="1335" w:type="dxa"/>
                  <w:tcBorders>
                    <w:tl2br w:val="nil"/>
                    <w:tr2bl w:val="nil"/>
                  </w:tcBorders>
                  <w:vAlign w:val="center"/>
                </w:tcPr>
                <w:p>
                  <w:pPr>
                    <w:widowControl w:val="0"/>
                    <w:spacing w:after="0" w:line="240" w:lineRule="auto"/>
                    <w:jc w:val="center"/>
                    <w:rPr>
                      <w:rFonts w:hint="eastAsia"/>
                      <w:color w:val="auto"/>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110~128</w:t>
                  </w:r>
                </w:p>
              </w:tc>
              <w:tc>
                <w:tcPr>
                  <w:tcW w:w="945" w:type="dxa"/>
                  <w:tcBorders>
                    <w:tl2br w:val="nil"/>
                    <w:tr2bl w:val="nil"/>
                  </w:tcBorders>
                  <w:vAlign w:val="center"/>
                </w:tcPr>
                <w:p>
                  <w:pPr>
                    <w:widowControl w:val="0"/>
                    <w:spacing w:after="0" w:line="240" w:lineRule="auto"/>
                    <w:jc w:val="center"/>
                    <w:rPr>
                      <w:rFonts w:hint="eastAsia" w:eastAsia="仿宋_GB2312"/>
                      <w:color w:val="auto"/>
                      <w:highlight w:val="none"/>
                    </w:rPr>
                  </w:pPr>
                  <w:r>
                    <w:rPr>
                      <w:rFonts w:hint="eastAsia" w:ascii="Times New Roman" w:hAnsi="Times New Roman" w:eastAsia="仿宋_GB2312" w:cs="Times New Roman"/>
                      <w:color w:val="auto"/>
                      <w:kern w:val="2"/>
                      <w:sz w:val="21"/>
                      <w:szCs w:val="24"/>
                      <w:highlight w:val="none"/>
                      <w:lang w:val="en-US" w:eastAsia="zh-CN"/>
                    </w:rPr>
                    <w:t>42.7</w:t>
                  </w:r>
                </w:p>
              </w:tc>
              <w:tc>
                <w:tcPr>
                  <w:tcW w:w="870" w:type="dxa"/>
                  <w:tcBorders>
                    <w:tl2br w:val="nil"/>
                    <w:tr2bl w:val="nil"/>
                  </w:tcBorders>
                  <w:vAlign w:val="center"/>
                </w:tcPr>
                <w:p>
                  <w:pPr>
                    <w:widowControl w:val="0"/>
                    <w:autoSpaceDE w:val="0"/>
                    <w:autoSpaceDN w:val="0"/>
                    <w:spacing w:after="0" w:line="240" w:lineRule="auto"/>
                    <w:jc w:val="center"/>
                    <w:rPr>
                      <w:rFonts w:hint="eastAsia"/>
                      <w:color w:val="auto"/>
                      <w:szCs w:val="21"/>
                      <w:highlight w:val="none"/>
                    </w:rPr>
                  </w:pPr>
                  <w:r>
                    <w:rPr>
                      <w:rFonts w:hint="default" w:ascii="Times New Roman" w:hAnsi="Times New Roman" w:eastAsia="宋体" w:cs="Times New Roman"/>
                      <w:color w:val="auto"/>
                      <w:kern w:val="2"/>
                      <w:sz w:val="21"/>
                      <w:szCs w:val="21"/>
                      <w:highlight w:val="none"/>
                    </w:rPr>
                    <w:t>/</w:t>
                  </w:r>
                </w:p>
              </w:tc>
              <w:tc>
                <w:tcPr>
                  <w:tcW w:w="787" w:type="dxa"/>
                  <w:tcBorders>
                    <w:tl2br w:val="nil"/>
                    <w:tr2bl w:val="nil"/>
                  </w:tcBorders>
                  <w:vAlign w:val="center"/>
                </w:tcPr>
                <w:p>
                  <w:pPr>
                    <w:widowControl w:val="0"/>
                    <w:autoSpaceDE w:val="0"/>
                    <w:autoSpaceDN w:val="0"/>
                    <w:spacing w:after="0" w:line="240" w:lineRule="auto"/>
                    <w:jc w:val="center"/>
                    <w:rPr>
                      <w:rFonts w:hint="eastAsia"/>
                      <w:color w:val="auto"/>
                      <w:szCs w:val="21"/>
                      <w:highlight w:val="none"/>
                    </w:rPr>
                  </w:pPr>
                  <w:r>
                    <w:rPr>
                      <w:rFonts w:hint="default" w:ascii="Times New Roman" w:hAnsi="Times New Roman" w:eastAsia="宋体" w:cs="Times New Roman"/>
                      <w:color w:val="auto"/>
                      <w:kern w:val="2"/>
                      <w:sz w:val="21"/>
                      <w:szCs w:val="21"/>
                      <w:highlight w:val="none"/>
                    </w:rPr>
                    <w:t>达标</w:t>
                  </w:r>
                </w:p>
              </w:tc>
            </w:tr>
          </w:tbl>
          <w:p>
            <w:pPr>
              <w:widowControl w:val="0"/>
              <w:spacing w:after="0" w:line="360" w:lineRule="auto"/>
              <w:ind w:firstLine="422" w:firstLineChars="200"/>
              <w:jc w:val="left"/>
              <w:rPr>
                <w:rFonts w:hint="eastAsia" w:ascii="Times New Roman" w:hAnsi="Times New Roman" w:eastAsia="宋体" w:cs="Times New Roman"/>
                <w:b/>
                <w:bCs/>
                <w:color w:val="auto"/>
                <w:kern w:val="2"/>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rPr>
              <w:t>说明：坐标原点为本项目所在厂区。</w:t>
            </w:r>
          </w:p>
          <w:p>
            <w:pPr>
              <w:widowControl w:val="0"/>
              <w:spacing w:after="0" w:line="360" w:lineRule="auto"/>
              <w:ind w:firstLine="480" w:firstLineChars="200"/>
              <w:jc w:val="left"/>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监测结果表明，项目所在地非甲烷总烃符合《大气污染物综合排放标准详解》中解释标准，</w:t>
            </w:r>
            <w:r>
              <w:rPr>
                <w:rFonts w:hint="eastAsia" w:ascii="Times New Roman" w:hAnsi="Times New Roman" w:eastAsia="宋体" w:cs="Times New Roman"/>
                <w:color w:val="auto"/>
                <w:kern w:val="2"/>
                <w:sz w:val="24"/>
                <w:szCs w:val="24"/>
                <w:highlight w:val="none"/>
                <w:lang w:val="en-US" w:eastAsia="zh-CN"/>
              </w:rPr>
              <w:t>TSP</w:t>
            </w:r>
            <w:r>
              <w:rPr>
                <w:rFonts w:hint="default" w:ascii="Times New Roman" w:hAnsi="Times New Roman" w:cs="Times New Roman" w:eastAsiaTheme="minorEastAsia"/>
                <w:b w:val="0"/>
                <w:bCs/>
                <w:color w:val="auto"/>
                <w:kern w:val="24"/>
                <w:sz w:val="24"/>
                <w:szCs w:val="20"/>
                <w:highlight w:val="none"/>
                <w:lang w:val="en-US" w:eastAsia="zh-CN" w:bidi="ar-SA"/>
              </w:rPr>
              <w:t>满足</w:t>
            </w:r>
            <w:r>
              <w:rPr>
                <w:rFonts w:hint="eastAsia" w:cs="Times New Roman" w:eastAsiaTheme="minorEastAsia"/>
                <w:b w:val="0"/>
                <w:bCs/>
                <w:color w:val="auto"/>
                <w:kern w:val="24"/>
                <w:sz w:val="24"/>
                <w:szCs w:val="20"/>
                <w:highlight w:val="none"/>
                <w:lang w:val="en-US" w:eastAsia="zh-CN" w:bidi="ar-SA"/>
              </w:rPr>
              <w:t>《环境空气质量标准》（GB3095-2012）及”2018修改单”二级标准要求</w:t>
            </w:r>
            <w:r>
              <w:rPr>
                <w:rFonts w:hint="default" w:ascii="Times New Roman" w:hAnsi="Times New Roman" w:eastAsia="宋体" w:cs="Times New Roman"/>
                <w:color w:val="auto"/>
                <w:kern w:val="2"/>
                <w:sz w:val="24"/>
                <w:szCs w:val="24"/>
                <w:highlight w:val="none"/>
              </w:rPr>
              <w:t>。</w:t>
            </w:r>
          </w:p>
          <w:p>
            <w:pPr>
              <w:pStyle w:val="3"/>
              <w:spacing w:before="0" w:after="0" w:line="360" w:lineRule="auto"/>
              <w:ind w:firstLine="470" w:firstLineChars="196"/>
              <w:rPr>
                <w:rFonts w:ascii="Times New Roman" w:hAnsi="Times New Roman" w:eastAsiaTheme="minorEastAsia"/>
                <w:color w:val="auto"/>
                <w:szCs w:val="24"/>
                <w:highlight w:val="none"/>
              </w:rPr>
            </w:pPr>
            <w:r>
              <w:rPr>
                <w:rFonts w:ascii="Times New Roman" w:hAnsi="Times New Roman" w:eastAsiaTheme="minorEastAsia"/>
                <w:b w:val="0"/>
                <w:bCs/>
                <w:color w:val="auto"/>
                <w:szCs w:val="24"/>
                <w:highlight w:val="none"/>
              </w:rPr>
              <w:t>综上所述，本项目所在区域为环境空气质量不达标区域；SO</w:t>
            </w:r>
            <w:r>
              <w:rPr>
                <w:rFonts w:ascii="Times New Roman" w:hAnsi="Times New Roman" w:eastAsiaTheme="minorEastAsia"/>
                <w:b w:val="0"/>
                <w:bCs/>
                <w:color w:val="auto"/>
                <w:szCs w:val="24"/>
                <w:highlight w:val="none"/>
                <w:vertAlign w:val="subscript"/>
              </w:rPr>
              <w:t>2</w:t>
            </w:r>
            <w:r>
              <w:rPr>
                <w:rFonts w:ascii="Times New Roman" w:hAnsi="Times New Roman" w:eastAsiaTheme="minorEastAsia"/>
                <w:b w:val="0"/>
                <w:bCs/>
                <w:color w:val="auto"/>
                <w:szCs w:val="24"/>
                <w:highlight w:val="none"/>
              </w:rPr>
              <w:t>、NO</w:t>
            </w:r>
            <w:r>
              <w:rPr>
                <w:rFonts w:ascii="Times New Roman" w:hAnsi="Times New Roman" w:eastAsiaTheme="minorEastAsia"/>
                <w:b w:val="0"/>
                <w:bCs/>
                <w:color w:val="auto"/>
                <w:szCs w:val="24"/>
                <w:highlight w:val="none"/>
                <w:vertAlign w:val="subscript"/>
              </w:rPr>
              <w:t>2</w:t>
            </w:r>
            <w:r>
              <w:rPr>
                <w:rFonts w:ascii="Times New Roman" w:hAnsi="Times New Roman" w:eastAsiaTheme="minorEastAsia"/>
                <w:b w:val="0"/>
                <w:bCs/>
                <w:color w:val="auto"/>
                <w:szCs w:val="24"/>
                <w:highlight w:val="none"/>
              </w:rPr>
              <w:t>、PM</w:t>
            </w:r>
            <w:r>
              <w:rPr>
                <w:rFonts w:ascii="Times New Roman" w:hAnsi="Times New Roman" w:eastAsiaTheme="minorEastAsia"/>
                <w:b w:val="0"/>
                <w:bCs/>
                <w:color w:val="auto"/>
                <w:szCs w:val="24"/>
                <w:highlight w:val="none"/>
                <w:vertAlign w:val="subscript"/>
              </w:rPr>
              <w:t>10</w:t>
            </w:r>
            <w:r>
              <w:rPr>
                <w:rFonts w:ascii="Times New Roman" w:hAnsi="Times New Roman" w:eastAsiaTheme="minorEastAsia"/>
                <w:b w:val="0"/>
                <w:bCs/>
                <w:color w:val="auto"/>
                <w:szCs w:val="24"/>
                <w:highlight w:val="none"/>
              </w:rPr>
              <w:t>、PM</w:t>
            </w:r>
            <w:r>
              <w:rPr>
                <w:rFonts w:ascii="Times New Roman" w:hAnsi="Times New Roman" w:eastAsiaTheme="minorEastAsia"/>
                <w:b w:val="0"/>
                <w:bCs/>
                <w:color w:val="auto"/>
                <w:szCs w:val="24"/>
                <w:highlight w:val="none"/>
                <w:vertAlign w:val="subscript"/>
              </w:rPr>
              <w:t>2.5</w:t>
            </w:r>
            <w:r>
              <w:rPr>
                <w:rFonts w:ascii="Times New Roman" w:hAnsi="Times New Roman" w:eastAsiaTheme="minorEastAsia"/>
                <w:b w:val="0"/>
                <w:bCs/>
                <w:color w:val="auto"/>
                <w:szCs w:val="24"/>
                <w:highlight w:val="none"/>
              </w:rPr>
              <w:t>年平均质量浓度以及CO日均值第95百分位数浓度均满足《环境空气质量标准》（GB3095-2012）及”2018修改单”二级标准要求，O</w:t>
            </w:r>
            <w:r>
              <w:rPr>
                <w:rFonts w:ascii="Times New Roman" w:hAnsi="Times New Roman" w:eastAsiaTheme="minorEastAsia"/>
                <w:b w:val="0"/>
                <w:bCs/>
                <w:color w:val="auto"/>
                <w:szCs w:val="24"/>
                <w:highlight w:val="none"/>
                <w:vertAlign w:val="subscript"/>
              </w:rPr>
              <w:t>3</w:t>
            </w:r>
            <w:r>
              <w:rPr>
                <w:rFonts w:ascii="Times New Roman" w:hAnsi="Times New Roman" w:eastAsiaTheme="minorEastAsia"/>
                <w:b w:val="0"/>
                <w:bCs/>
                <w:color w:val="auto"/>
                <w:szCs w:val="24"/>
                <w:highlight w:val="none"/>
              </w:rPr>
              <w:t>日最大8小时平均第90百分位数不能满足《环境空气质量标准》（GB3095-2012）及”2018修改单”二级标准要求</w:t>
            </w:r>
            <w:r>
              <w:rPr>
                <w:rFonts w:hint="eastAsia" w:ascii="Times New Roman" w:hAnsi="Times New Roman" w:eastAsiaTheme="minorEastAsia"/>
                <w:b w:val="0"/>
                <w:bCs/>
                <w:color w:val="auto"/>
                <w:szCs w:val="24"/>
                <w:highlight w:val="none"/>
              </w:rPr>
              <w:t>；非甲烷总烃满足《大气污染物综合排放标准详解》中解释标准</w:t>
            </w:r>
            <w:r>
              <w:rPr>
                <w:rFonts w:hint="eastAsia" w:ascii="Times New Roman" w:hAnsi="Times New Roman" w:eastAsiaTheme="minorEastAsia"/>
                <w:b w:val="0"/>
                <w:bCs/>
                <w:color w:val="auto"/>
                <w:szCs w:val="24"/>
                <w:highlight w:val="none"/>
                <w:lang w:eastAsia="zh-CN"/>
              </w:rPr>
              <w:t>；TSP满足《环境空气质量标准》（GB3095-2012）及”2018修改单”二级标准要求</w:t>
            </w:r>
            <w:r>
              <w:rPr>
                <w:rFonts w:hint="eastAsia" w:ascii="Times New Roman" w:hAnsi="Times New Roman" w:eastAsiaTheme="minorEastAsia"/>
                <w:b w:val="0"/>
                <w:bCs/>
                <w:color w:val="auto"/>
                <w:szCs w:val="24"/>
                <w:highlight w:val="none"/>
              </w:rPr>
              <w:t>。说明项目所在地环境质量现状一般。</w:t>
            </w:r>
          </w:p>
          <w:p>
            <w:pPr>
              <w:pStyle w:val="3"/>
              <w:spacing w:before="0" w:after="0" w:line="360" w:lineRule="auto"/>
              <w:ind w:firstLine="470" w:firstLineChars="196"/>
              <w:rPr>
                <w:rFonts w:hint="default" w:ascii="Times New Roman" w:hAnsi="Times New Roman" w:cs="Times New Roman" w:eastAsiaTheme="minorEastAsia"/>
                <w:b w:val="0"/>
                <w:bCs/>
                <w:color w:val="auto"/>
                <w:sz w:val="24"/>
                <w:highlight w:val="none"/>
              </w:rPr>
            </w:pPr>
            <w:r>
              <w:rPr>
                <w:rFonts w:hint="default" w:ascii="Times New Roman" w:hAnsi="Times New Roman" w:cs="Times New Roman" w:eastAsiaTheme="minorEastAsia"/>
                <w:b w:val="0"/>
                <w:bCs/>
                <w:color w:val="auto"/>
                <w:sz w:val="24"/>
                <w:highlight w:val="none"/>
              </w:rPr>
              <w:t>为改善环境质量，江门市已印发《江门市环境空气质量限期达标规划（2018-2020年）》，通过调整产业结构、优化工业布局；优化能源结构，提高清洁能源使用率；强化环境监管，加大工业园减排力度；调整运输结构，强化移动原污染防治；加强精细化管理，深化面源污染治理；强化能力建设，提高环境管理水平；健全法律法规体系，完善 环境管理政策等大气污染防治强化措施，实行区域内2020年环境空气质量全面达标，环境空气质量指标能稳定达到《环境空气质量标准》（GB3095-2012）及”2018修改单”二级标准要求。</w:t>
            </w:r>
          </w:p>
          <w:p>
            <w:pPr>
              <w:pStyle w:val="3"/>
              <w:spacing w:before="0" w:after="0" w:line="360" w:lineRule="auto"/>
              <w:ind w:firstLine="472" w:firstLineChars="196"/>
              <w:rPr>
                <w:rFonts w:ascii="Times New Roman" w:hAnsi="Times New Roman" w:eastAsia="宋体"/>
                <w:color w:val="auto"/>
                <w:szCs w:val="24"/>
                <w:highlight w:val="none"/>
              </w:rPr>
            </w:pPr>
            <w:r>
              <w:rPr>
                <w:rFonts w:ascii="Times New Roman" w:hAnsi="Times New Roman" w:eastAsia="宋体"/>
                <w:color w:val="auto"/>
                <w:szCs w:val="24"/>
                <w:highlight w:val="none"/>
              </w:rPr>
              <w:t>二、地表水环境质量现状</w:t>
            </w:r>
          </w:p>
          <w:p>
            <w:pPr>
              <w:pStyle w:val="3"/>
              <w:spacing w:before="0" w:after="0" w:line="360" w:lineRule="auto"/>
              <w:ind w:firstLine="470" w:firstLineChars="196"/>
              <w:rPr>
                <w:rFonts w:ascii="Times New Roman" w:hAnsi="Times New Roman" w:eastAsia="宋体"/>
                <w:b w:val="0"/>
                <w:bCs/>
                <w:color w:val="auto"/>
                <w:szCs w:val="24"/>
                <w:highlight w:val="none"/>
              </w:rPr>
            </w:pPr>
            <w:r>
              <w:rPr>
                <w:rFonts w:hint="eastAsia" w:ascii="Times New Roman" w:hAnsi="Times New Roman" w:eastAsia="宋体"/>
                <w:b w:val="0"/>
                <w:bCs/>
                <w:color w:val="auto"/>
                <w:szCs w:val="24"/>
                <w:highlight w:val="none"/>
              </w:rPr>
              <w:t>本项目所在地属开平市水口污水处理厂纳污范围，生活污水经三级化粪池预处理后排入开平市水口污水处理厂集中处理，根据《开平市水口污水处理厂提标改造工程项目环境影响评价报告表》与其批复（开环批[2018]168号），污水处理厂处理后排入潭江。根据《关于印发&lt;广东省地表水环境功能区划&gt;的通知》（粤环[2011]14号），潭江执行《地表水环境质量标准》（GB3838-2002）中的Ⅱ类标准。</w:t>
            </w:r>
          </w:p>
          <w:p>
            <w:pPr>
              <w:pStyle w:val="3"/>
              <w:spacing w:before="0" w:after="0" w:line="360" w:lineRule="auto"/>
              <w:ind w:firstLine="470" w:firstLineChars="196"/>
              <w:rPr>
                <w:rFonts w:ascii="Times New Roman" w:hAnsi="Times New Roman" w:eastAsia="宋体"/>
                <w:b w:val="0"/>
                <w:bCs/>
                <w:color w:val="auto"/>
                <w:szCs w:val="24"/>
                <w:highlight w:val="none"/>
                <w:shd w:val="clear" w:color="auto" w:fill="auto"/>
              </w:rPr>
            </w:pPr>
            <w:r>
              <w:rPr>
                <w:rFonts w:ascii="Times New Roman" w:hAnsi="Times New Roman" w:eastAsia="宋体"/>
                <w:b w:val="0"/>
                <w:bCs/>
                <w:color w:val="auto"/>
                <w:szCs w:val="24"/>
                <w:highlight w:val="none"/>
              </w:rPr>
              <w:t>根据江门市生态环境局发布的《2018年11月江门市江河水水质月报》，网址为</w:t>
            </w:r>
            <w:r>
              <w:rPr>
                <w:color w:val="auto"/>
                <w:highlight w:val="none"/>
              </w:rPr>
              <w:fldChar w:fldCharType="begin"/>
            </w:r>
            <w:r>
              <w:rPr>
                <w:color w:val="auto"/>
                <w:highlight w:val="none"/>
              </w:rPr>
              <w:instrText xml:space="preserve"> HYPERLINK "http://www.jiangmen.gov.cn/szdwzt/sthjj/hjzl/jhszyb/201812/t20181220_1782824.html" \h </w:instrText>
            </w:r>
            <w:r>
              <w:rPr>
                <w:color w:val="auto"/>
                <w:highlight w:val="none"/>
              </w:rPr>
              <w:fldChar w:fldCharType="separate"/>
            </w:r>
            <w:r>
              <w:rPr>
                <w:rFonts w:ascii="Times New Roman" w:hAnsi="Times New Roman" w:eastAsia="宋体"/>
                <w:b w:val="0"/>
                <w:bCs/>
                <w:color w:val="auto"/>
                <w:szCs w:val="24"/>
                <w:highlight w:val="none"/>
              </w:rPr>
              <w:t>http://www.jiangmen.gov.cn/szdwzt/sthjj/hjzl/jhszyb/201812/t20181220_1782824.html</w:t>
            </w:r>
            <w:r>
              <w:rPr>
                <w:rFonts w:ascii="Times New Roman" w:hAnsi="Times New Roman" w:eastAsia="宋体"/>
                <w:b w:val="0"/>
                <w:bCs/>
                <w:color w:val="auto"/>
                <w:szCs w:val="24"/>
                <w:highlight w:val="none"/>
              </w:rPr>
              <w:fldChar w:fldCharType="end"/>
            </w:r>
            <w:r>
              <w:rPr>
                <w:rFonts w:ascii="Times New Roman" w:hAnsi="Times New Roman" w:eastAsia="宋体"/>
                <w:b w:val="0"/>
                <w:bCs/>
                <w:color w:val="auto"/>
                <w:szCs w:val="24"/>
                <w:highlight w:val="none"/>
              </w:rPr>
              <w:t>，潭江干流牛湾（退潮）断面地表水水质未能达到《地表水环境质量标准》（GB3838-2002）中的</w:t>
            </w:r>
            <w:r>
              <w:rPr>
                <w:rFonts w:hint="eastAsia" w:ascii="Times New Roman" w:hAnsi="Times New Roman" w:eastAsia="宋体"/>
                <w:b w:val="0"/>
                <w:bCs/>
                <w:color w:val="auto"/>
                <w:szCs w:val="24"/>
                <w:highlight w:val="none"/>
              </w:rPr>
              <w:t>Ⅲ</w:t>
            </w:r>
            <w:r>
              <w:rPr>
                <w:rFonts w:ascii="Times New Roman" w:hAnsi="Times New Roman" w:eastAsia="宋体"/>
                <w:b w:val="0"/>
                <w:bCs/>
                <w:color w:val="auto"/>
                <w:szCs w:val="24"/>
                <w:highlight w:val="none"/>
              </w:rPr>
              <w:t>类标准，主要超标项目为溶解氧，该断面位于污水处理厂下游约6.2km处，说明本项目附近地表水环境质量一般</w:t>
            </w:r>
            <w:r>
              <w:rPr>
                <w:rFonts w:hint="eastAsia" w:ascii="Times New Roman" w:hAnsi="Times New Roman" w:eastAsia="宋体"/>
                <w:b w:val="0"/>
                <w:bCs/>
                <w:color w:val="auto"/>
                <w:szCs w:val="24"/>
                <w:highlight w:val="none"/>
                <w:lang w:eastAsia="zh-CN"/>
              </w:rPr>
              <w:t>，</w:t>
            </w:r>
            <w:r>
              <w:rPr>
                <w:rFonts w:hint="eastAsia" w:ascii="宋体" w:hAnsi="宋体" w:eastAsia="宋体"/>
                <w:b w:val="0"/>
                <w:bCs/>
                <w:color w:val="auto"/>
                <w:sz w:val="24"/>
                <w:highlight w:val="none"/>
              </w:rPr>
              <w:t>故该区域为</w:t>
            </w:r>
            <w:r>
              <w:rPr>
                <w:rFonts w:hint="eastAsia" w:hAnsi="宋体" w:eastAsia="宋体"/>
                <w:b w:val="0"/>
                <w:bCs/>
                <w:color w:val="auto"/>
                <w:sz w:val="24"/>
                <w:highlight w:val="none"/>
                <w:lang w:eastAsia="zh-CN"/>
              </w:rPr>
              <w:t>地表水环境</w:t>
            </w:r>
            <w:r>
              <w:rPr>
                <w:rFonts w:hint="eastAsia" w:ascii="宋体" w:hAnsi="宋体" w:eastAsia="宋体"/>
                <w:b w:val="0"/>
                <w:bCs/>
                <w:color w:val="auto"/>
                <w:sz w:val="24"/>
                <w:highlight w:val="none"/>
              </w:rPr>
              <w:t>质量不达标区域</w:t>
            </w:r>
            <w:r>
              <w:rPr>
                <w:rFonts w:ascii="Times New Roman" w:hAnsi="Times New Roman" w:eastAsia="宋体"/>
                <w:b w:val="0"/>
                <w:bCs/>
                <w:color w:val="auto"/>
                <w:szCs w:val="24"/>
                <w:highlight w:val="none"/>
                <w:shd w:val="clear" w:color="auto" w:fill="auto"/>
              </w:rPr>
              <w:t>。</w:t>
            </w:r>
          </w:p>
          <w:p>
            <w:pPr>
              <w:pStyle w:val="3"/>
              <w:spacing w:before="0" w:after="0" w:line="360" w:lineRule="auto"/>
              <w:ind w:firstLine="470" w:firstLineChars="196"/>
              <w:rPr>
                <w:rFonts w:hint="eastAsia" w:ascii="Times New Roman" w:hAnsi="Times New Roman" w:eastAsia="宋体"/>
                <w:b w:val="0"/>
                <w:bCs/>
                <w:color w:val="auto"/>
                <w:szCs w:val="24"/>
                <w:highlight w:val="none"/>
                <w:shd w:val="clear" w:color="auto" w:fill="auto"/>
              </w:rPr>
            </w:pPr>
            <w:r>
              <w:rPr>
                <w:rFonts w:hint="eastAsia" w:ascii="Times New Roman" w:hAnsi="Times New Roman" w:eastAsia="宋体"/>
                <w:b w:val="0"/>
                <w:bCs/>
                <w:color w:val="auto"/>
                <w:szCs w:val="24"/>
                <w:highlight w:val="none"/>
                <w:shd w:val="clear" w:color="auto" w:fill="auto"/>
              </w:rPr>
              <w:t>根据《江门市未达标水体达标方案》，潭江流域的污染源主要为农业畜禽养殖污染源，其次是生活污染源，而工业污染源占比并不高；因此江门市根据其污染特点提出对潭江流域的蓄禽养殖、生活污染源、工业源等进行大力整治，以此减少污染物入河量，达到削减量目标要求；预计到2020年潭江流域距离本项目最近的牛湾断面，可以达到《地表水环境质量标准》（GB3838-2002）Ⅱ类标准。</w:t>
            </w:r>
          </w:p>
          <w:p>
            <w:pPr>
              <w:pStyle w:val="3"/>
              <w:spacing w:before="0" w:after="0" w:line="360" w:lineRule="auto"/>
              <w:ind w:firstLine="472" w:firstLineChars="196"/>
              <w:rPr>
                <w:rFonts w:ascii="Times New Roman" w:hAnsi="Times New Roman" w:eastAsia="宋体"/>
                <w:color w:val="auto"/>
                <w:szCs w:val="24"/>
                <w:highlight w:val="none"/>
              </w:rPr>
            </w:pPr>
            <w:r>
              <w:rPr>
                <w:rFonts w:ascii="Times New Roman" w:hAnsi="Times New Roman" w:eastAsia="宋体"/>
                <w:color w:val="auto"/>
                <w:szCs w:val="24"/>
                <w:highlight w:val="none"/>
              </w:rPr>
              <w:t>三、声环境质量现状</w:t>
            </w:r>
          </w:p>
          <w:p>
            <w:pPr>
              <w:spacing w:line="360" w:lineRule="auto"/>
              <w:ind w:firstLine="480" w:firstLineChars="200"/>
              <w:rPr>
                <w:color w:val="auto"/>
                <w:sz w:val="24"/>
                <w:highlight w:val="none"/>
              </w:rPr>
            </w:pPr>
            <w:r>
              <w:rPr>
                <w:color w:val="auto"/>
                <w:sz w:val="24"/>
                <w:highlight w:val="none"/>
              </w:rPr>
              <w:t>为了解项目</w:t>
            </w:r>
            <w:r>
              <w:rPr>
                <w:rFonts w:hint="eastAsia"/>
                <w:color w:val="auto"/>
                <w:sz w:val="24"/>
                <w:highlight w:val="none"/>
              </w:rPr>
              <w:t>所在地</w:t>
            </w:r>
            <w:r>
              <w:rPr>
                <w:color w:val="auto"/>
                <w:sz w:val="24"/>
                <w:highlight w:val="none"/>
              </w:rPr>
              <w:t>声环境</w:t>
            </w:r>
            <w:r>
              <w:rPr>
                <w:rFonts w:hint="eastAsia"/>
                <w:color w:val="auto"/>
                <w:sz w:val="24"/>
                <w:highlight w:val="none"/>
              </w:rPr>
              <w:t>质量</w:t>
            </w:r>
            <w:r>
              <w:rPr>
                <w:color w:val="auto"/>
                <w:sz w:val="24"/>
                <w:highlight w:val="none"/>
              </w:rPr>
              <w:t>情况，委托</w:t>
            </w:r>
            <w:r>
              <w:rPr>
                <w:rFonts w:hint="eastAsia"/>
                <w:color w:val="auto"/>
                <w:sz w:val="24"/>
                <w:highlight w:val="none"/>
              </w:rPr>
              <w:t>云浮市盈安检测技术有限公司</w:t>
            </w:r>
            <w:r>
              <w:rPr>
                <w:color w:val="auto"/>
                <w:sz w:val="24"/>
                <w:highlight w:val="none"/>
              </w:rPr>
              <w:t>于</w:t>
            </w:r>
            <w:r>
              <w:rPr>
                <w:rFonts w:hint="eastAsia"/>
                <w:color w:val="auto"/>
                <w:sz w:val="24"/>
                <w:highlight w:val="none"/>
              </w:rPr>
              <w:t>2019年8月16日-17日对项目四周进行声环境质量现状监测，</w:t>
            </w:r>
            <w:r>
              <w:rPr>
                <w:color w:val="auto"/>
                <w:sz w:val="24"/>
                <w:highlight w:val="none"/>
              </w:rPr>
              <w:t>监测结果</w:t>
            </w:r>
            <w:r>
              <w:rPr>
                <w:rFonts w:hint="eastAsia"/>
                <w:color w:val="auto"/>
                <w:sz w:val="24"/>
                <w:highlight w:val="none"/>
              </w:rPr>
              <w:t>如</w:t>
            </w:r>
            <w:r>
              <w:rPr>
                <w:color w:val="auto"/>
                <w:sz w:val="24"/>
                <w:highlight w:val="none"/>
              </w:rPr>
              <w:t>下表：</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hint="eastAsia" w:eastAsia="宋体" w:cs="Times New Roman"/>
                <w:b/>
                <w:color w:val="auto"/>
                <w:sz w:val="21"/>
                <w:szCs w:val="21"/>
                <w:highlight w:val="none"/>
              </w:rPr>
              <w:t>项目所在地环境噪声监测结果（单位：dB(A)）</w:t>
            </w:r>
          </w:p>
          <w:tbl>
            <w:tblPr>
              <w:tblStyle w:val="40"/>
              <w:tblW w:w="83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3"/>
              <w:gridCol w:w="1897"/>
              <w:gridCol w:w="1191"/>
              <w:gridCol w:w="1549"/>
              <w:gridCol w:w="1549"/>
              <w:gridCol w:w="14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3" w:type="dxa"/>
                  <w:vMerge w:val="restart"/>
                  <w:shd w:val="clear" w:color="auto" w:fill="auto"/>
                  <w:vAlign w:val="center"/>
                </w:tcPr>
                <w:p>
                  <w:pPr>
                    <w:spacing w:line="360" w:lineRule="auto"/>
                    <w:jc w:val="center"/>
                    <w:rPr>
                      <w:b/>
                      <w:bCs/>
                      <w:color w:val="auto"/>
                      <w:szCs w:val="21"/>
                      <w:highlight w:val="none"/>
                    </w:rPr>
                  </w:pPr>
                  <w:bookmarkStart w:id="17" w:name="OLE_LINK14" w:colFirst="0" w:colLast="4"/>
                  <w:r>
                    <w:rPr>
                      <w:b/>
                      <w:bCs/>
                      <w:color w:val="auto"/>
                      <w:szCs w:val="21"/>
                      <w:highlight w:val="none"/>
                    </w:rPr>
                    <w:t>测点编号</w:t>
                  </w:r>
                </w:p>
              </w:tc>
              <w:tc>
                <w:tcPr>
                  <w:tcW w:w="1897" w:type="dxa"/>
                  <w:vMerge w:val="restart"/>
                  <w:shd w:val="clear" w:color="auto" w:fill="auto"/>
                  <w:vAlign w:val="center"/>
                </w:tcPr>
                <w:p>
                  <w:pPr>
                    <w:spacing w:line="360" w:lineRule="auto"/>
                    <w:jc w:val="center"/>
                    <w:rPr>
                      <w:b/>
                      <w:bCs/>
                      <w:color w:val="auto"/>
                      <w:szCs w:val="21"/>
                      <w:highlight w:val="none"/>
                    </w:rPr>
                  </w:pPr>
                  <w:r>
                    <w:rPr>
                      <w:b/>
                      <w:bCs/>
                      <w:color w:val="auto"/>
                      <w:szCs w:val="21"/>
                      <w:highlight w:val="none"/>
                    </w:rPr>
                    <w:t>监测点位</w:t>
                  </w:r>
                </w:p>
              </w:tc>
              <w:tc>
                <w:tcPr>
                  <w:tcW w:w="5698" w:type="dxa"/>
                  <w:gridSpan w:val="4"/>
                  <w:shd w:val="clear" w:color="auto" w:fill="auto"/>
                  <w:vAlign w:val="center"/>
                </w:tcPr>
                <w:p>
                  <w:pPr>
                    <w:spacing w:line="360" w:lineRule="auto"/>
                    <w:jc w:val="center"/>
                    <w:rPr>
                      <w:b/>
                      <w:bCs/>
                      <w:color w:val="auto"/>
                      <w:szCs w:val="21"/>
                      <w:highlight w:val="none"/>
                    </w:rPr>
                  </w:pPr>
                  <w:r>
                    <w:rPr>
                      <w:b/>
                      <w:bCs/>
                      <w:color w:val="auto"/>
                      <w:szCs w:val="21"/>
                      <w:highlight w:val="none"/>
                    </w:rPr>
                    <w:t>监测日期及监测结果：Leq[dB(A)]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743" w:type="dxa"/>
                  <w:vMerge w:val="continue"/>
                  <w:shd w:val="clear" w:color="auto" w:fill="auto"/>
                  <w:vAlign w:val="center"/>
                </w:tcPr>
                <w:p>
                  <w:pPr>
                    <w:spacing w:line="360" w:lineRule="auto"/>
                    <w:jc w:val="center"/>
                    <w:rPr>
                      <w:b/>
                      <w:bCs/>
                      <w:color w:val="auto"/>
                      <w:szCs w:val="21"/>
                      <w:highlight w:val="none"/>
                    </w:rPr>
                  </w:pPr>
                </w:p>
              </w:tc>
              <w:tc>
                <w:tcPr>
                  <w:tcW w:w="1897" w:type="dxa"/>
                  <w:vMerge w:val="continue"/>
                  <w:shd w:val="clear" w:color="auto" w:fill="auto"/>
                  <w:vAlign w:val="center"/>
                </w:tcPr>
                <w:p>
                  <w:pPr>
                    <w:spacing w:line="360" w:lineRule="auto"/>
                    <w:jc w:val="center"/>
                    <w:rPr>
                      <w:b/>
                      <w:bCs/>
                      <w:color w:val="auto"/>
                      <w:szCs w:val="21"/>
                      <w:highlight w:val="none"/>
                    </w:rPr>
                  </w:pPr>
                </w:p>
              </w:tc>
              <w:tc>
                <w:tcPr>
                  <w:tcW w:w="2740" w:type="dxa"/>
                  <w:gridSpan w:val="2"/>
                  <w:shd w:val="clear" w:color="auto" w:fill="auto"/>
                  <w:vAlign w:val="center"/>
                </w:tcPr>
                <w:p>
                  <w:pPr>
                    <w:spacing w:line="360" w:lineRule="auto"/>
                    <w:jc w:val="center"/>
                    <w:rPr>
                      <w:b/>
                      <w:bCs/>
                      <w:color w:val="auto"/>
                      <w:szCs w:val="21"/>
                      <w:highlight w:val="none"/>
                    </w:rPr>
                  </w:pPr>
                  <w:r>
                    <w:rPr>
                      <w:b/>
                      <w:bCs/>
                      <w:color w:val="auto"/>
                      <w:szCs w:val="21"/>
                      <w:highlight w:val="none"/>
                    </w:rPr>
                    <w:t>201</w:t>
                  </w:r>
                  <w:r>
                    <w:rPr>
                      <w:rFonts w:hint="eastAsia"/>
                      <w:b/>
                      <w:bCs/>
                      <w:color w:val="auto"/>
                      <w:szCs w:val="21"/>
                      <w:highlight w:val="none"/>
                    </w:rPr>
                    <w:t>9</w:t>
                  </w:r>
                  <w:r>
                    <w:rPr>
                      <w:b/>
                      <w:bCs/>
                      <w:color w:val="auto"/>
                      <w:szCs w:val="21"/>
                      <w:highlight w:val="none"/>
                    </w:rPr>
                    <w:t>.</w:t>
                  </w:r>
                  <w:r>
                    <w:rPr>
                      <w:rFonts w:hint="eastAsia"/>
                      <w:b/>
                      <w:bCs/>
                      <w:color w:val="auto"/>
                      <w:szCs w:val="21"/>
                      <w:highlight w:val="none"/>
                    </w:rPr>
                    <w:t>08</w:t>
                  </w:r>
                  <w:r>
                    <w:rPr>
                      <w:b/>
                      <w:bCs/>
                      <w:color w:val="auto"/>
                      <w:szCs w:val="21"/>
                      <w:highlight w:val="none"/>
                    </w:rPr>
                    <w:t>.</w:t>
                  </w:r>
                  <w:r>
                    <w:rPr>
                      <w:rFonts w:hint="eastAsia"/>
                      <w:b/>
                      <w:bCs/>
                      <w:color w:val="auto"/>
                      <w:szCs w:val="21"/>
                      <w:highlight w:val="none"/>
                    </w:rPr>
                    <w:t>16</w:t>
                  </w:r>
                </w:p>
              </w:tc>
              <w:tc>
                <w:tcPr>
                  <w:tcW w:w="2958" w:type="dxa"/>
                  <w:gridSpan w:val="2"/>
                  <w:shd w:val="clear" w:color="auto" w:fill="auto"/>
                  <w:vAlign w:val="center"/>
                </w:tcPr>
                <w:p>
                  <w:pPr>
                    <w:spacing w:line="360" w:lineRule="auto"/>
                    <w:jc w:val="center"/>
                    <w:rPr>
                      <w:b/>
                      <w:bCs/>
                      <w:color w:val="auto"/>
                      <w:szCs w:val="21"/>
                      <w:highlight w:val="none"/>
                    </w:rPr>
                  </w:pPr>
                  <w:r>
                    <w:rPr>
                      <w:b/>
                      <w:bCs/>
                      <w:color w:val="auto"/>
                      <w:szCs w:val="21"/>
                      <w:highlight w:val="none"/>
                    </w:rPr>
                    <w:t>201</w:t>
                  </w:r>
                  <w:r>
                    <w:rPr>
                      <w:rFonts w:hint="eastAsia"/>
                      <w:b/>
                      <w:bCs/>
                      <w:color w:val="auto"/>
                      <w:szCs w:val="21"/>
                      <w:highlight w:val="none"/>
                    </w:rPr>
                    <w:t>9</w:t>
                  </w:r>
                  <w:r>
                    <w:rPr>
                      <w:b/>
                      <w:bCs/>
                      <w:color w:val="auto"/>
                      <w:szCs w:val="21"/>
                      <w:highlight w:val="none"/>
                    </w:rPr>
                    <w:t>.</w:t>
                  </w:r>
                  <w:r>
                    <w:rPr>
                      <w:rFonts w:hint="eastAsia"/>
                      <w:b/>
                      <w:bCs/>
                      <w:color w:val="auto"/>
                      <w:szCs w:val="21"/>
                      <w:highlight w:val="none"/>
                    </w:rPr>
                    <w:t>08</w:t>
                  </w:r>
                  <w:r>
                    <w:rPr>
                      <w:b/>
                      <w:bCs/>
                      <w:color w:val="auto"/>
                      <w:szCs w:val="21"/>
                      <w:highlight w:val="none"/>
                    </w:rPr>
                    <w:t>.</w:t>
                  </w:r>
                  <w:r>
                    <w:rPr>
                      <w:rFonts w:hint="eastAsia"/>
                      <w:b/>
                      <w:bCs/>
                      <w:color w:val="auto"/>
                      <w:szCs w:val="21"/>
                      <w:highlight w:val="none"/>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3" w:type="dxa"/>
                  <w:vMerge w:val="continue"/>
                  <w:shd w:val="clear" w:color="auto" w:fill="auto"/>
                  <w:vAlign w:val="center"/>
                </w:tcPr>
                <w:p>
                  <w:pPr>
                    <w:spacing w:line="360" w:lineRule="auto"/>
                    <w:jc w:val="center"/>
                    <w:rPr>
                      <w:b/>
                      <w:bCs/>
                      <w:color w:val="auto"/>
                      <w:szCs w:val="21"/>
                      <w:highlight w:val="none"/>
                    </w:rPr>
                  </w:pPr>
                </w:p>
              </w:tc>
              <w:tc>
                <w:tcPr>
                  <w:tcW w:w="1897" w:type="dxa"/>
                  <w:vMerge w:val="continue"/>
                  <w:shd w:val="clear" w:color="auto" w:fill="auto"/>
                  <w:vAlign w:val="center"/>
                </w:tcPr>
                <w:p>
                  <w:pPr>
                    <w:spacing w:line="360" w:lineRule="auto"/>
                    <w:jc w:val="center"/>
                    <w:rPr>
                      <w:b/>
                      <w:bCs/>
                      <w:color w:val="auto"/>
                      <w:szCs w:val="21"/>
                      <w:highlight w:val="none"/>
                    </w:rPr>
                  </w:pPr>
                </w:p>
              </w:tc>
              <w:tc>
                <w:tcPr>
                  <w:tcW w:w="1191" w:type="dxa"/>
                  <w:shd w:val="clear" w:color="auto" w:fill="auto"/>
                  <w:vAlign w:val="center"/>
                </w:tcPr>
                <w:p>
                  <w:pPr>
                    <w:spacing w:line="360" w:lineRule="auto"/>
                    <w:jc w:val="center"/>
                    <w:rPr>
                      <w:b/>
                      <w:bCs/>
                      <w:color w:val="auto"/>
                      <w:szCs w:val="21"/>
                      <w:highlight w:val="none"/>
                    </w:rPr>
                  </w:pPr>
                  <w:r>
                    <w:rPr>
                      <w:b/>
                      <w:bCs/>
                      <w:color w:val="auto"/>
                      <w:szCs w:val="21"/>
                      <w:highlight w:val="none"/>
                    </w:rPr>
                    <w:t>昼间</w:t>
                  </w:r>
                </w:p>
              </w:tc>
              <w:tc>
                <w:tcPr>
                  <w:tcW w:w="1549" w:type="dxa"/>
                  <w:shd w:val="clear" w:color="auto" w:fill="auto"/>
                  <w:vAlign w:val="center"/>
                </w:tcPr>
                <w:p>
                  <w:pPr>
                    <w:spacing w:line="360" w:lineRule="auto"/>
                    <w:jc w:val="center"/>
                    <w:rPr>
                      <w:b/>
                      <w:bCs/>
                      <w:color w:val="auto"/>
                      <w:szCs w:val="21"/>
                      <w:highlight w:val="none"/>
                    </w:rPr>
                  </w:pPr>
                  <w:r>
                    <w:rPr>
                      <w:b/>
                      <w:bCs/>
                      <w:color w:val="auto"/>
                      <w:szCs w:val="21"/>
                      <w:highlight w:val="none"/>
                    </w:rPr>
                    <w:t>夜间</w:t>
                  </w:r>
                </w:p>
              </w:tc>
              <w:tc>
                <w:tcPr>
                  <w:tcW w:w="1549" w:type="dxa"/>
                  <w:shd w:val="clear" w:color="auto" w:fill="auto"/>
                  <w:vAlign w:val="center"/>
                </w:tcPr>
                <w:p>
                  <w:pPr>
                    <w:spacing w:line="360" w:lineRule="auto"/>
                    <w:jc w:val="center"/>
                    <w:rPr>
                      <w:b/>
                      <w:bCs/>
                      <w:color w:val="auto"/>
                      <w:szCs w:val="21"/>
                      <w:highlight w:val="none"/>
                    </w:rPr>
                  </w:pPr>
                  <w:r>
                    <w:rPr>
                      <w:b/>
                      <w:bCs/>
                      <w:color w:val="auto"/>
                      <w:szCs w:val="21"/>
                      <w:highlight w:val="none"/>
                    </w:rPr>
                    <w:t>昼间</w:t>
                  </w:r>
                </w:p>
              </w:tc>
              <w:tc>
                <w:tcPr>
                  <w:tcW w:w="1409" w:type="dxa"/>
                  <w:shd w:val="clear" w:color="auto" w:fill="auto"/>
                  <w:vAlign w:val="center"/>
                </w:tcPr>
                <w:p>
                  <w:pPr>
                    <w:spacing w:line="360" w:lineRule="auto"/>
                    <w:jc w:val="center"/>
                    <w:rPr>
                      <w:b/>
                      <w:bCs/>
                      <w:color w:val="auto"/>
                      <w:szCs w:val="21"/>
                      <w:highlight w:val="none"/>
                    </w:rPr>
                  </w:pPr>
                  <w:r>
                    <w:rPr>
                      <w:b/>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3" w:type="dxa"/>
                  <w:shd w:val="clear" w:color="auto" w:fill="auto"/>
                  <w:vAlign w:val="center"/>
                </w:tcPr>
                <w:p>
                  <w:pPr>
                    <w:spacing w:line="360" w:lineRule="auto"/>
                    <w:jc w:val="center"/>
                    <w:rPr>
                      <w:b/>
                      <w:bCs/>
                      <w:color w:val="auto"/>
                      <w:szCs w:val="21"/>
                      <w:highlight w:val="none"/>
                    </w:rPr>
                  </w:pPr>
                  <w:r>
                    <w:rPr>
                      <w:b/>
                      <w:bCs/>
                      <w:color w:val="auto"/>
                      <w:szCs w:val="21"/>
                      <w:highlight w:val="none"/>
                    </w:rPr>
                    <w:t>N1</w:t>
                  </w:r>
                </w:p>
              </w:tc>
              <w:tc>
                <w:tcPr>
                  <w:tcW w:w="1897" w:type="dxa"/>
                  <w:shd w:val="clear" w:color="auto" w:fill="auto"/>
                  <w:vAlign w:val="center"/>
                </w:tcPr>
                <w:p>
                  <w:pPr>
                    <w:spacing w:before="24" w:beforeLines="10" w:after="24" w:afterLines="10"/>
                    <w:jc w:val="center"/>
                    <w:rPr>
                      <w:rFonts w:asciiTheme="minorEastAsia" w:hAnsiTheme="minorEastAsia" w:eastAsiaTheme="minorEastAsia" w:cstheme="minorEastAsia"/>
                      <w:b/>
                      <w:bCs/>
                      <w:color w:val="auto"/>
                      <w:szCs w:val="21"/>
                      <w:highlight w:val="none"/>
                    </w:rPr>
                  </w:pPr>
                  <w:r>
                    <w:rPr>
                      <w:rFonts w:hint="eastAsia" w:asciiTheme="minorEastAsia" w:hAnsiTheme="minorEastAsia" w:eastAsiaTheme="minorEastAsia" w:cstheme="minorEastAsia"/>
                      <w:b/>
                      <w:bCs/>
                      <w:color w:val="auto"/>
                      <w:szCs w:val="21"/>
                      <w:highlight w:val="none"/>
                    </w:rPr>
                    <w:t>厂界东侧外一米</w:t>
                  </w:r>
                </w:p>
              </w:tc>
              <w:tc>
                <w:tcPr>
                  <w:tcW w:w="1191" w:type="dxa"/>
                  <w:shd w:val="clear" w:color="auto" w:fill="auto"/>
                  <w:vAlign w:val="center"/>
                </w:tcPr>
                <w:p>
                  <w:pPr>
                    <w:pStyle w:val="2"/>
                    <w:spacing w:line="120" w:lineRule="atLeast"/>
                    <w:ind w:firstLine="0"/>
                    <w:jc w:val="center"/>
                    <w:rPr>
                      <w:b w:val="0"/>
                      <w:bCs/>
                      <w:color w:val="auto"/>
                      <w:sz w:val="21"/>
                      <w:szCs w:val="21"/>
                      <w:highlight w:val="none"/>
                    </w:rPr>
                  </w:pPr>
                  <w:r>
                    <w:rPr>
                      <w:rFonts w:eastAsia="仿宋"/>
                      <w:b w:val="0"/>
                      <w:bCs/>
                      <w:color w:val="auto"/>
                      <w:sz w:val="21"/>
                      <w:szCs w:val="21"/>
                      <w:highlight w:val="none"/>
                    </w:rPr>
                    <w:t>57.4</w:t>
                  </w:r>
                </w:p>
              </w:tc>
              <w:tc>
                <w:tcPr>
                  <w:tcW w:w="1549" w:type="dxa"/>
                  <w:shd w:val="clear" w:color="auto" w:fill="auto"/>
                  <w:vAlign w:val="center"/>
                </w:tcPr>
                <w:p>
                  <w:pPr>
                    <w:pStyle w:val="2"/>
                    <w:spacing w:line="120" w:lineRule="atLeast"/>
                    <w:ind w:firstLine="0"/>
                    <w:jc w:val="center"/>
                    <w:rPr>
                      <w:b w:val="0"/>
                      <w:bCs/>
                      <w:color w:val="auto"/>
                      <w:sz w:val="21"/>
                      <w:szCs w:val="21"/>
                      <w:highlight w:val="none"/>
                    </w:rPr>
                  </w:pPr>
                  <w:r>
                    <w:rPr>
                      <w:rFonts w:eastAsia="仿宋"/>
                      <w:b w:val="0"/>
                      <w:bCs/>
                      <w:color w:val="auto"/>
                      <w:sz w:val="21"/>
                      <w:szCs w:val="21"/>
                      <w:highlight w:val="none"/>
                    </w:rPr>
                    <w:t>47.1</w:t>
                  </w:r>
                </w:p>
              </w:tc>
              <w:tc>
                <w:tcPr>
                  <w:tcW w:w="1549" w:type="dxa"/>
                  <w:shd w:val="clear" w:color="auto" w:fill="auto"/>
                  <w:vAlign w:val="center"/>
                </w:tcPr>
                <w:p>
                  <w:pPr>
                    <w:pStyle w:val="2"/>
                    <w:spacing w:line="120" w:lineRule="atLeast"/>
                    <w:ind w:firstLine="0"/>
                    <w:jc w:val="center"/>
                    <w:rPr>
                      <w:b w:val="0"/>
                      <w:bCs/>
                      <w:color w:val="auto"/>
                      <w:sz w:val="21"/>
                      <w:szCs w:val="21"/>
                      <w:highlight w:val="none"/>
                    </w:rPr>
                  </w:pPr>
                  <w:r>
                    <w:rPr>
                      <w:rFonts w:eastAsia="仿宋"/>
                      <w:b w:val="0"/>
                      <w:bCs/>
                      <w:color w:val="auto"/>
                      <w:sz w:val="21"/>
                      <w:szCs w:val="21"/>
                      <w:highlight w:val="none"/>
                    </w:rPr>
                    <w:t>57.5</w:t>
                  </w:r>
                </w:p>
              </w:tc>
              <w:tc>
                <w:tcPr>
                  <w:tcW w:w="1409" w:type="dxa"/>
                  <w:shd w:val="clear" w:color="auto" w:fill="auto"/>
                  <w:vAlign w:val="center"/>
                </w:tcPr>
                <w:p>
                  <w:pPr>
                    <w:pStyle w:val="2"/>
                    <w:spacing w:line="120" w:lineRule="atLeast"/>
                    <w:ind w:firstLine="0"/>
                    <w:jc w:val="center"/>
                    <w:rPr>
                      <w:b w:val="0"/>
                      <w:bCs/>
                      <w:color w:val="auto"/>
                      <w:sz w:val="21"/>
                      <w:szCs w:val="21"/>
                      <w:highlight w:val="none"/>
                    </w:rPr>
                  </w:pPr>
                  <w:r>
                    <w:rPr>
                      <w:rFonts w:eastAsia="仿宋"/>
                      <w:b w:val="0"/>
                      <w:bCs/>
                      <w:color w:val="auto"/>
                      <w:sz w:val="21"/>
                      <w:szCs w:val="21"/>
                      <w:highlight w:val="none"/>
                    </w:rPr>
                    <w:t>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3" w:type="dxa"/>
                  <w:shd w:val="clear" w:color="auto" w:fill="auto"/>
                  <w:vAlign w:val="center"/>
                </w:tcPr>
                <w:p>
                  <w:pPr>
                    <w:spacing w:line="360" w:lineRule="auto"/>
                    <w:jc w:val="center"/>
                    <w:rPr>
                      <w:b/>
                      <w:bCs/>
                      <w:color w:val="auto"/>
                      <w:szCs w:val="21"/>
                      <w:highlight w:val="none"/>
                    </w:rPr>
                  </w:pPr>
                  <w:r>
                    <w:rPr>
                      <w:b/>
                      <w:bCs/>
                      <w:color w:val="auto"/>
                      <w:szCs w:val="21"/>
                      <w:highlight w:val="none"/>
                    </w:rPr>
                    <w:t>N2</w:t>
                  </w:r>
                </w:p>
              </w:tc>
              <w:tc>
                <w:tcPr>
                  <w:tcW w:w="1897" w:type="dxa"/>
                  <w:shd w:val="clear" w:color="auto" w:fill="auto"/>
                  <w:vAlign w:val="center"/>
                </w:tcPr>
                <w:p>
                  <w:pPr>
                    <w:spacing w:before="24" w:beforeLines="10" w:after="24" w:afterLines="10"/>
                    <w:jc w:val="center"/>
                    <w:rPr>
                      <w:rFonts w:asciiTheme="minorEastAsia" w:hAnsiTheme="minorEastAsia" w:eastAsiaTheme="minorEastAsia" w:cstheme="minorEastAsia"/>
                      <w:b/>
                      <w:bCs/>
                      <w:color w:val="auto"/>
                      <w:szCs w:val="21"/>
                      <w:highlight w:val="none"/>
                    </w:rPr>
                  </w:pPr>
                  <w:r>
                    <w:rPr>
                      <w:rFonts w:hint="eastAsia" w:asciiTheme="minorEastAsia" w:hAnsiTheme="minorEastAsia" w:eastAsiaTheme="minorEastAsia" w:cstheme="minorEastAsia"/>
                      <w:b/>
                      <w:bCs/>
                      <w:color w:val="auto"/>
                      <w:szCs w:val="21"/>
                      <w:highlight w:val="none"/>
                    </w:rPr>
                    <w:t>厂界南侧外一米</w:t>
                  </w:r>
                </w:p>
              </w:tc>
              <w:tc>
                <w:tcPr>
                  <w:tcW w:w="1191" w:type="dxa"/>
                  <w:shd w:val="clear" w:color="auto" w:fill="auto"/>
                  <w:vAlign w:val="center"/>
                </w:tcPr>
                <w:p>
                  <w:pPr>
                    <w:pStyle w:val="2"/>
                    <w:spacing w:line="120" w:lineRule="atLeast"/>
                    <w:ind w:firstLine="0"/>
                    <w:jc w:val="center"/>
                    <w:rPr>
                      <w:b w:val="0"/>
                      <w:bCs/>
                      <w:color w:val="auto"/>
                      <w:sz w:val="21"/>
                      <w:szCs w:val="21"/>
                      <w:highlight w:val="none"/>
                    </w:rPr>
                  </w:pPr>
                  <w:r>
                    <w:rPr>
                      <w:rFonts w:eastAsia="仿宋"/>
                      <w:b w:val="0"/>
                      <w:bCs/>
                      <w:color w:val="auto"/>
                      <w:sz w:val="21"/>
                      <w:szCs w:val="21"/>
                      <w:highlight w:val="none"/>
                    </w:rPr>
                    <w:t>57.6</w:t>
                  </w:r>
                </w:p>
              </w:tc>
              <w:tc>
                <w:tcPr>
                  <w:tcW w:w="1549" w:type="dxa"/>
                  <w:shd w:val="clear" w:color="auto" w:fill="auto"/>
                  <w:vAlign w:val="center"/>
                </w:tcPr>
                <w:p>
                  <w:pPr>
                    <w:pStyle w:val="2"/>
                    <w:spacing w:line="120" w:lineRule="atLeast"/>
                    <w:ind w:firstLine="0"/>
                    <w:jc w:val="center"/>
                    <w:rPr>
                      <w:b w:val="0"/>
                      <w:bCs/>
                      <w:color w:val="auto"/>
                      <w:sz w:val="21"/>
                      <w:szCs w:val="21"/>
                      <w:highlight w:val="none"/>
                    </w:rPr>
                  </w:pPr>
                  <w:r>
                    <w:rPr>
                      <w:rFonts w:eastAsia="仿宋"/>
                      <w:b w:val="0"/>
                      <w:bCs/>
                      <w:color w:val="auto"/>
                      <w:sz w:val="21"/>
                      <w:szCs w:val="21"/>
                      <w:highlight w:val="none"/>
                    </w:rPr>
                    <w:t>47.8</w:t>
                  </w:r>
                </w:p>
              </w:tc>
              <w:tc>
                <w:tcPr>
                  <w:tcW w:w="1549" w:type="dxa"/>
                  <w:shd w:val="clear" w:color="auto" w:fill="auto"/>
                  <w:vAlign w:val="center"/>
                </w:tcPr>
                <w:p>
                  <w:pPr>
                    <w:pStyle w:val="2"/>
                    <w:spacing w:line="120" w:lineRule="atLeast"/>
                    <w:ind w:firstLine="0"/>
                    <w:jc w:val="center"/>
                    <w:rPr>
                      <w:b w:val="0"/>
                      <w:bCs/>
                      <w:color w:val="auto"/>
                      <w:sz w:val="21"/>
                      <w:szCs w:val="21"/>
                      <w:highlight w:val="none"/>
                    </w:rPr>
                  </w:pPr>
                  <w:r>
                    <w:rPr>
                      <w:rFonts w:eastAsia="仿宋"/>
                      <w:b w:val="0"/>
                      <w:bCs/>
                      <w:color w:val="auto"/>
                      <w:sz w:val="21"/>
                      <w:szCs w:val="21"/>
                      <w:highlight w:val="none"/>
                    </w:rPr>
                    <w:t>57.9</w:t>
                  </w:r>
                </w:p>
              </w:tc>
              <w:tc>
                <w:tcPr>
                  <w:tcW w:w="1409" w:type="dxa"/>
                  <w:shd w:val="clear" w:color="auto" w:fill="auto"/>
                  <w:vAlign w:val="center"/>
                </w:tcPr>
                <w:p>
                  <w:pPr>
                    <w:pStyle w:val="2"/>
                    <w:spacing w:line="120" w:lineRule="atLeast"/>
                    <w:ind w:firstLine="0"/>
                    <w:jc w:val="center"/>
                    <w:rPr>
                      <w:b w:val="0"/>
                      <w:bCs/>
                      <w:color w:val="auto"/>
                      <w:sz w:val="21"/>
                      <w:szCs w:val="21"/>
                      <w:highlight w:val="none"/>
                    </w:rPr>
                  </w:pPr>
                  <w:r>
                    <w:rPr>
                      <w:rFonts w:eastAsia="仿宋"/>
                      <w:b w:val="0"/>
                      <w:bCs/>
                      <w:color w:val="auto"/>
                      <w:sz w:val="21"/>
                      <w:szCs w:val="21"/>
                      <w:highlight w:val="none"/>
                    </w:rPr>
                    <w:t>47.8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3" w:type="dxa"/>
                  <w:shd w:val="clear" w:color="auto" w:fill="auto"/>
                  <w:vAlign w:val="center"/>
                </w:tcPr>
                <w:p>
                  <w:pPr>
                    <w:spacing w:line="360" w:lineRule="auto"/>
                    <w:jc w:val="center"/>
                    <w:rPr>
                      <w:b/>
                      <w:bCs/>
                      <w:color w:val="auto"/>
                      <w:szCs w:val="21"/>
                      <w:highlight w:val="none"/>
                    </w:rPr>
                  </w:pPr>
                  <w:r>
                    <w:rPr>
                      <w:b/>
                      <w:bCs/>
                      <w:color w:val="auto"/>
                      <w:szCs w:val="21"/>
                      <w:highlight w:val="none"/>
                    </w:rPr>
                    <w:t>N3</w:t>
                  </w:r>
                </w:p>
              </w:tc>
              <w:tc>
                <w:tcPr>
                  <w:tcW w:w="1897" w:type="dxa"/>
                  <w:shd w:val="clear" w:color="auto" w:fill="auto"/>
                  <w:vAlign w:val="center"/>
                </w:tcPr>
                <w:p>
                  <w:pPr>
                    <w:spacing w:before="24" w:beforeLines="10" w:after="24" w:afterLines="10"/>
                    <w:jc w:val="center"/>
                    <w:rPr>
                      <w:rFonts w:asciiTheme="minorEastAsia" w:hAnsiTheme="minorEastAsia" w:eastAsiaTheme="minorEastAsia" w:cstheme="minorEastAsia"/>
                      <w:b/>
                      <w:bCs/>
                      <w:color w:val="auto"/>
                      <w:szCs w:val="21"/>
                      <w:highlight w:val="none"/>
                    </w:rPr>
                  </w:pPr>
                  <w:r>
                    <w:rPr>
                      <w:rFonts w:hint="eastAsia" w:asciiTheme="minorEastAsia" w:hAnsiTheme="minorEastAsia" w:eastAsiaTheme="minorEastAsia" w:cstheme="minorEastAsia"/>
                      <w:b/>
                      <w:bCs/>
                      <w:color w:val="auto"/>
                      <w:szCs w:val="21"/>
                      <w:highlight w:val="none"/>
                    </w:rPr>
                    <w:t>厂界西侧外一米</w:t>
                  </w:r>
                </w:p>
              </w:tc>
              <w:tc>
                <w:tcPr>
                  <w:tcW w:w="1191" w:type="dxa"/>
                  <w:shd w:val="clear" w:color="auto" w:fill="auto"/>
                  <w:vAlign w:val="center"/>
                </w:tcPr>
                <w:p>
                  <w:pPr>
                    <w:pStyle w:val="2"/>
                    <w:spacing w:line="120" w:lineRule="atLeast"/>
                    <w:ind w:firstLine="0"/>
                    <w:jc w:val="center"/>
                    <w:rPr>
                      <w:b w:val="0"/>
                      <w:bCs/>
                      <w:color w:val="auto"/>
                      <w:sz w:val="21"/>
                      <w:szCs w:val="21"/>
                      <w:highlight w:val="none"/>
                    </w:rPr>
                  </w:pPr>
                  <w:r>
                    <w:rPr>
                      <w:rFonts w:eastAsia="仿宋"/>
                      <w:b w:val="0"/>
                      <w:bCs/>
                      <w:color w:val="auto"/>
                      <w:sz w:val="21"/>
                      <w:szCs w:val="21"/>
                      <w:highlight w:val="none"/>
                    </w:rPr>
                    <w:t>57.6</w:t>
                  </w:r>
                </w:p>
              </w:tc>
              <w:tc>
                <w:tcPr>
                  <w:tcW w:w="1549" w:type="dxa"/>
                  <w:shd w:val="clear" w:color="auto" w:fill="auto"/>
                  <w:vAlign w:val="center"/>
                </w:tcPr>
                <w:p>
                  <w:pPr>
                    <w:pStyle w:val="2"/>
                    <w:spacing w:line="120" w:lineRule="atLeast"/>
                    <w:ind w:firstLine="0"/>
                    <w:jc w:val="center"/>
                    <w:rPr>
                      <w:b w:val="0"/>
                      <w:bCs/>
                      <w:color w:val="auto"/>
                      <w:sz w:val="21"/>
                      <w:szCs w:val="21"/>
                      <w:highlight w:val="none"/>
                    </w:rPr>
                  </w:pPr>
                  <w:r>
                    <w:rPr>
                      <w:rFonts w:eastAsia="仿宋"/>
                      <w:b w:val="0"/>
                      <w:bCs/>
                      <w:color w:val="auto"/>
                      <w:sz w:val="21"/>
                      <w:szCs w:val="21"/>
                      <w:highlight w:val="none"/>
                    </w:rPr>
                    <w:t>47.3</w:t>
                  </w:r>
                </w:p>
              </w:tc>
              <w:tc>
                <w:tcPr>
                  <w:tcW w:w="1549" w:type="dxa"/>
                  <w:shd w:val="clear" w:color="auto" w:fill="auto"/>
                  <w:vAlign w:val="center"/>
                </w:tcPr>
                <w:p>
                  <w:pPr>
                    <w:pStyle w:val="2"/>
                    <w:spacing w:line="120" w:lineRule="atLeast"/>
                    <w:ind w:firstLine="0"/>
                    <w:jc w:val="center"/>
                    <w:rPr>
                      <w:b w:val="0"/>
                      <w:bCs/>
                      <w:color w:val="auto"/>
                      <w:sz w:val="21"/>
                      <w:szCs w:val="21"/>
                      <w:highlight w:val="none"/>
                    </w:rPr>
                  </w:pPr>
                  <w:r>
                    <w:rPr>
                      <w:rFonts w:eastAsia="仿宋"/>
                      <w:b w:val="0"/>
                      <w:bCs/>
                      <w:color w:val="auto"/>
                      <w:sz w:val="21"/>
                      <w:szCs w:val="21"/>
                      <w:highlight w:val="none"/>
                    </w:rPr>
                    <w:t>57.8</w:t>
                  </w:r>
                </w:p>
              </w:tc>
              <w:tc>
                <w:tcPr>
                  <w:tcW w:w="1409" w:type="dxa"/>
                  <w:shd w:val="clear" w:color="auto" w:fill="auto"/>
                  <w:vAlign w:val="center"/>
                </w:tcPr>
                <w:p>
                  <w:pPr>
                    <w:pStyle w:val="2"/>
                    <w:spacing w:line="120" w:lineRule="atLeast"/>
                    <w:ind w:firstLine="0"/>
                    <w:jc w:val="center"/>
                    <w:rPr>
                      <w:b w:val="0"/>
                      <w:bCs/>
                      <w:color w:val="auto"/>
                      <w:sz w:val="21"/>
                      <w:szCs w:val="21"/>
                      <w:highlight w:val="none"/>
                    </w:rPr>
                  </w:pPr>
                  <w:r>
                    <w:rPr>
                      <w:rFonts w:eastAsia="仿宋"/>
                      <w:b w:val="0"/>
                      <w:bCs/>
                      <w:color w:val="auto"/>
                      <w:sz w:val="21"/>
                      <w:szCs w:val="21"/>
                      <w:highlight w:val="none"/>
                    </w:rPr>
                    <w:t>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3" w:type="dxa"/>
                  <w:shd w:val="clear" w:color="auto" w:fill="auto"/>
                  <w:vAlign w:val="center"/>
                </w:tcPr>
                <w:p>
                  <w:pPr>
                    <w:spacing w:line="360" w:lineRule="auto"/>
                    <w:jc w:val="center"/>
                    <w:rPr>
                      <w:b/>
                      <w:bCs/>
                      <w:color w:val="auto"/>
                      <w:szCs w:val="21"/>
                      <w:highlight w:val="none"/>
                    </w:rPr>
                  </w:pPr>
                  <w:r>
                    <w:rPr>
                      <w:b/>
                      <w:bCs/>
                      <w:color w:val="auto"/>
                      <w:szCs w:val="21"/>
                      <w:highlight w:val="none"/>
                    </w:rPr>
                    <w:t>N4</w:t>
                  </w:r>
                </w:p>
              </w:tc>
              <w:tc>
                <w:tcPr>
                  <w:tcW w:w="1897" w:type="dxa"/>
                  <w:shd w:val="clear" w:color="auto" w:fill="auto"/>
                  <w:vAlign w:val="center"/>
                </w:tcPr>
                <w:p>
                  <w:pPr>
                    <w:spacing w:before="24" w:beforeLines="10" w:after="24" w:afterLines="10"/>
                    <w:jc w:val="center"/>
                    <w:rPr>
                      <w:rFonts w:asciiTheme="minorEastAsia" w:hAnsiTheme="minorEastAsia" w:eastAsiaTheme="minorEastAsia" w:cstheme="minorEastAsia"/>
                      <w:b/>
                      <w:bCs/>
                      <w:color w:val="auto"/>
                      <w:szCs w:val="21"/>
                      <w:highlight w:val="none"/>
                    </w:rPr>
                  </w:pPr>
                  <w:r>
                    <w:rPr>
                      <w:rFonts w:hint="eastAsia" w:asciiTheme="minorEastAsia" w:hAnsiTheme="minorEastAsia" w:eastAsiaTheme="minorEastAsia" w:cstheme="minorEastAsia"/>
                      <w:b/>
                      <w:bCs/>
                      <w:color w:val="auto"/>
                      <w:szCs w:val="21"/>
                      <w:highlight w:val="none"/>
                    </w:rPr>
                    <w:t>厂界北侧外一米</w:t>
                  </w:r>
                </w:p>
              </w:tc>
              <w:tc>
                <w:tcPr>
                  <w:tcW w:w="1191" w:type="dxa"/>
                  <w:shd w:val="clear" w:color="auto" w:fill="auto"/>
                  <w:vAlign w:val="center"/>
                </w:tcPr>
                <w:p>
                  <w:pPr>
                    <w:spacing w:before="48" w:beforeLines="20" w:after="48" w:afterLines="20"/>
                    <w:jc w:val="center"/>
                    <w:rPr>
                      <w:bCs/>
                      <w:color w:val="auto"/>
                      <w:szCs w:val="21"/>
                      <w:highlight w:val="none"/>
                    </w:rPr>
                  </w:pPr>
                  <w:r>
                    <w:rPr>
                      <w:rFonts w:eastAsia="仿宋"/>
                      <w:bCs/>
                      <w:color w:val="auto"/>
                      <w:szCs w:val="21"/>
                      <w:highlight w:val="none"/>
                    </w:rPr>
                    <w:t>57.7</w:t>
                  </w:r>
                </w:p>
              </w:tc>
              <w:tc>
                <w:tcPr>
                  <w:tcW w:w="1549" w:type="dxa"/>
                  <w:shd w:val="clear" w:color="auto" w:fill="auto"/>
                  <w:vAlign w:val="center"/>
                </w:tcPr>
                <w:p>
                  <w:pPr>
                    <w:spacing w:before="48" w:beforeLines="20" w:after="48" w:afterLines="20"/>
                    <w:jc w:val="center"/>
                    <w:rPr>
                      <w:bCs/>
                      <w:color w:val="auto"/>
                      <w:szCs w:val="21"/>
                      <w:highlight w:val="none"/>
                    </w:rPr>
                  </w:pPr>
                  <w:r>
                    <w:rPr>
                      <w:rFonts w:eastAsia="仿宋"/>
                      <w:bCs/>
                      <w:color w:val="auto"/>
                      <w:szCs w:val="21"/>
                      <w:highlight w:val="none"/>
                    </w:rPr>
                    <w:t>47.7</w:t>
                  </w:r>
                </w:p>
              </w:tc>
              <w:tc>
                <w:tcPr>
                  <w:tcW w:w="1549" w:type="dxa"/>
                  <w:shd w:val="clear" w:color="auto" w:fill="auto"/>
                  <w:vAlign w:val="center"/>
                </w:tcPr>
                <w:p>
                  <w:pPr>
                    <w:pStyle w:val="2"/>
                    <w:spacing w:line="120" w:lineRule="atLeast"/>
                    <w:ind w:firstLine="0"/>
                    <w:jc w:val="center"/>
                    <w:rPr>
                      <w:b w:val="0"/>
                      <w:bCs/>
                      <w:color w:val="auto"/>
                      <w:sz w:val="21"/>
                      <w:szCs w:val="21"/>
                      <w:highlight w:val="none"/>
                    </w:rPr>
                  </w:pPr>
                  <w:r>
                    <w:rPr>
                      <w:rFonts w:eastAsia="仿宋"/>
                      <w:b w:val="0"/>
                      <w:bCs/>
                      <w:color w:val="auto"/>
                      <w:sz w:val="21"/>
                      <w:szCs w:val="21"/>
                      <w:highlight w:val="none"/>
                    </w:rPr>
                    <w:t>58.6</w:t>
                  </w:r>
                </w:p>
              </w:tc>
              <w:tc>
                <w:tcPr>
                  <w:tcW w:w="1409" w:type="dxa"/>
                  <w:shd w:val="clear" w:color="auto" w:fill="auto"/>
                  <w:vAlign w:val="center"/>
                </w:tcPr>
                <w:p>
                  <w:pPr>
                    <w:pStyle w:val="2"/>
                    <w:spacing w:line="120" w:lineRule="atLeast"/>
                    <w:ind w:firstLine="0"/>
                    <w:jc w:val="center"/>
                    <w:rPr>
                      <w:b w:val="0"/>
                      <w:bCs/>
                      <w:color w:val="auto"/>
                      <w:sz w:val="21"/>
                      <w:szCs w:val="21"/>
                      <w:highlight w:val="none"/>
                    </w:rPr>
                  </w:pPr>
                  <w:r>
                    <w:rPr>
                      <w:rFonts w:eastAsia="仿宋"/>
                      <w:b w:val="0"/>
                      <w:bCs/>
                      <w:color w:val="auto"/>
                      <w:sz w:val="21"/>
                      <w:szCs w:val="21"/>
                      <w:highlight w:val="none"/>
                    </w:rPr>
                    <w:t>47.0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2640" w:type="dxa"/>
                  <w:gridSpan w:val="2"/>
                  <w:shd w:val="clear" w:color="auto" w:fill="auto"/>
                  <w:vAlign w:val="center"/>
                </w:tcPr>
                <w:p>
                  <w:pPr>
                    <w:spacing w:line="360" w:lineRule="auto"/>
                    <w:jc w:val="center"/>
                    <w:rPr>
                      <w:b/>
                      <w:bCs/>
                      <w:color w:val="auto"/>
                      <w:szCs w:val="21"/>
                      <w:highlight w:val="none"/>
                    </w:rPr>
                  </w:pPr>
                  <w:r>
                    <w:rPr>
                      <w:b/>
                      <w:bCs/>
                      <w:color w:val="auto"/>
                      <w:szCs w:val="21"/>
                      <w:highlight w:val="none"/>
                    </w:rPr>
                    <w:t>《声环境质量标准》(GB3096-2008)</w:t>
                  </w:r>
                  <w:r>
                    <w:rPr>
                      <w:rFonts w:hint="eastAsia"/>
                      <w:b/>
                      <w:bCs/>
                      <w:color w:val="auto"/>
                      <w:szCs w:val="21"/>
                      <w:highlight w:val="none"/>
                    </w:rPr>
                    <w:t>2</w:t>
                  </w:r>
                  <w:r>
                    <w:rPr>
                      <w:b/>
                      <w:bCs/>
                      <w:color w:val="auto"/>
                      <w:szCs w:val="21"/>
                      <w:highlight w:val="none"/>
                    </w:rPr>
                    <w:t>类标准</w:t>
                  </w:r>
                </w:p>
              </w:tc>
              <w:tc>
                <w:tcPr>
                  <w:tcW w:w="1191" w:type="dxa"/>
                  <w:shd w:val="clear" w:color="auto" w:fill="auto"/>
                  <w:vAlign w:val="center"/>
                </w:tcPr>
                <w:p>
                  <w:pPr>
                    <w:spacing w:line="360" w:lineRule="auto"/>
                    <w:jc w:val="center"/>
                    <w:rPr>
                      <w:color w:val="auto"/>
                      <w:szCs w:val="21"/>
                      <w:highlight w:val="none"/>
                    </w:rPr>
                  </w:pPr>
                  <w:r>
                    <w:rPr>
                      <w:color w:val="auto"/>
                      <w:szCs w:val="21"/>
                      <w:highlight w:val="none"/>
                    </w:rPr>
                    <w:t>6</w:t>
                  </w:r>
                  <w:r>
                    <w:rPr>
                      <w:rFonts w:hint="eastAsia"/>
                      <w:color w:val="auto"/>
                      <w:szCs w:val="21"/>
                      <w:highlight w:val="none"/>
                    </w:rPr>
                    <w:t>0</w:t>
                  </w:r>
                </w:p>
              </w:tc>
              <w:tc>
                <w:tcPr>
                  <w:tcW w:w="1549" w:type="dxa"/>
                  <w:shd w:val="clear" w:color="auto" w:fill="auto"/>
                  <w:vAlign w:val="center"/>
                </w:tcPr>
                <w:p>
                  <w:pPr>
                    <w:spacing w:line="360" w:lineRule="auto"/>
                    <w:jc w:val="center"/>
                    <w:rPr>
                      <w:color w:val="auto"/>
                      <w:szCs w:val="21"/>
                      <w:highlight w:val="none"/>
                    </w:rPr>
                  </w:pPr>
                  <w:r>
                    <w:rPr>
                      <w:color w:val="auto"/>
                      <w:szCs w:val="21"/>
                      <w:highlight w:val="none"/>
                    </w:rPr>
                    <w:t>5</w:t>
                  </w:r>
                  <w:r>
                    <w:rPr>
                      <w:rFonts w:hint="eastAsia"/>
                      <w:color w:val="auto"/>
                      <w:szCs w:val="21"/>
                      <w:highlight w:val="none"/>
                    </w:rPr>
                    <w:t>0</w:t>
                  </w:r>
                </w:p>
              </w:tc>
              <w:tc>
                <w:tcPr>
                  <w:tcW w:w="1549" w:type="dxa"/>
                  <w:shd w:val="clear" w:color="auto" w:fill="auto"/>
                  <w:vAlign w:val="center"/>
                </w:tcPr>
                <w:p>
                  <w:pPr>
                    <w:spacing w:line="360" w:lineRule="auto"/>
                    <w:jc w:val="center"/>
                    <w:rPr>
                      <w:color w:val="auto"/>
                      <w:szCs w:val="21"/>
                      <w:highlight w:val="none"/>
                    </w:rPr>
                  </w:pPr>
                  <w:r>
                    <w:rPr>
                      <w:color w:val="auto"/>
                      <w:szCs w:val="21"/>
                      <w:highlight w:val="none"/>
                    </w:rPr>
                    <w:t>6</w:t>
                  </w:r>
                  <w:r>
                    <w:rPr>
                      <w:rFonts w:hint="eastAsia"/>
                      <w:color w:val="auto"/>
                      <w:szCs w:val="21"/>
                      <w:highlight w:val="none"/>
                    </w:rPr>
                    <w:t>0</w:t>
                  </w:r>
                </w:p>
              </w:tc>
              <w:tc>
                <w:tcPr>
                  <w:tcW w:w="1409" w:type="dxa"/>
                  <w:shd w:val="clear" w:color="auto" w:fill="auto"/>
                  <w:vAlign w:val="center"/>
                </w:tcPr>
                <w:p>
                  <w:pPr>
                    <w:spacing w:line="360" w:lineRule="auto"/>
                    <w:jc w:val="center"/>
                    <w:rPr>
                      <w:color w:val="auto"/>
                      <w:kern w:val="0"/>
                      <w:szCs w:val="21"/>
                      <w:highlight w:val="none"/>
                      <w:lang w:bidi="ar"/>
                    </w:rPr>
                  </w:pPr>
                  <w:r>
                    <w:rPr>
                      <w:color w:val="auto"/>
                      <w:kern w:val="0"/>
                      <w:szCs w:val="21"/>
                      <w:highlight w:val="none"/>
                      <w:lang w:bidi="ar"/>
                    </w:rPr>
                    <w:t>5</w:t>
                  </w:r>
                  <w:r>
                    <w:rPr>
                      <w:rFonts w:hint="eastAsia"/>
                      <w:color w:val="auto"/>
                      <w:kern w:val="0"/>
                      <w:szCs w:val="21"/>
                      <w:highlight w:val="none"/>
                      <w:lang w:bidi="ar"/>
                    </w:rPr>
                    <w:t>0</w:t>
                  </w:r>
                </w:p>
              </w:tc>
            </w:tr>
            <w:bookmarkEnd w:id="17"/>
          </w:tbl>
          <w:p>
            <w:pPr>
              <w:adjustRightInd w:val="0"/>
              <w:snapToGrid w:val="0"/>
              <w:spacing w:line="360" w:lineRule="auto"/>
              <w:ind w:firstLine="480" w:firstLineChars="200"/>
              <w:rPr>
                <w:color w:val="auto"/>
                <w:sz w:val="24"/>
                <w:highlight w:val="none"/>
              </w:rPr>
            </w:pPr>
            <w:r>
              <w:rPr>
                <w:color w:val="auto"/>
                <w:sz w:val="24"/>
                <w:highlight w:val="none"/>
              </w:rPr>
              <w:t>从监测结果可以看出，项目所在地</w:t>
            </w:r>
            <w:r>
              <w:rPr>
                <w:rFonts w:hint="eastAsia"/>
                <w:color w:val="auto"/>
                <w:sz w:val="24"/>
                <w:highlight w:val="none"/>
              </w:rPr>
              <w:t>各</w:t>
            </w:r>
            <w:r>
              <w:rPr>
                <w:color w:val="auto"/>
                <w:sz w:val="24"/>
                <w:highlight w:val="none"/>
              </w:rPr>
              <w:t>监测点噪声值</w:t>
            </w:r>
            <w:r>
              <w:rPr>
                <w:rFonts w:hint="eastAsia"/>
                <w:color w:val="auto"/>
                <w:sz w:val="24"/>
                <w:highlight w:val="none"/>
              </w:rPr>
              <w:t>均达到</w:t>
            </w:r>
            <w:r>
              <w:rPr>
                <w:color w:val="auto"/>
                <w:sz w:val="24"/>
                <w:highlight w:val="none"/>
              </w:rPr>
              <w:t>《声环境质量标准》(GB3096—2008)</w:t>
            </w:r>
            <w:r>
              <w:rPr>
                <w:rFonts w:hint="eastAsia"/>
                <w:color w:val="auto"/>
                <w:sz w:val="24"/>
                <w:highlight w:val="none"/>
              </w:rPr>
              <w:t>2类</w:t>
            </w:r>
            <w:r>
              <w:rPr>
                <w:color w:val="auto"/>
                <w:sz w:val="24"/>
                <w:highlight w:val="none"/>
              </w:rPr>
              <w:t>标准（即昼间≤6</w:t>
            </w:r>
            <w:r>
              <w:rPr>
                <w:rFonts w:hint="eastAsia"/>
                <w:color w:val="auto"/>
                <w:sz w:val="24"/>
                <w:highlight w:val="none"/>
              </w:rPr>
              <w:t>0</w:t>
            </w:r>
            <w:r>
              <w:rPr>
                <w:color w:val="auto"/>
                <w:sz w:val="24"/>
                <w:highlight w:val="none"/>
              </w:rPr>
              <w:t>dB（A）、夜间≤5</w:t>
            </w:r>
            <w:r>
              <w:rPr>
                <w:rFonts w:hint="eastAsia"/>
                <w:color w:val="auto"/>
                <w:sz w:val="24"/>
                <w:highlight w:val="none"/>
              </w:rPr>
              <w:t>0</w:t>
            </w:r>
            <w:r>
              <w:rPr>
                <w:color w:val="auto"/>
                <w:sz w:val="24"/>
                <w:highlight w:val="none"/>
              </w:rPr>
              <w:t>dB（A））。结果表明项目所在地声环境质量</w:t>
            </w:r>
            <w:r>
              <w:rPr>
                <w:rFonts w:hint="eastAsia"/>
                <w:color w:val="auto"/>
                <w:sz w:val="24"/>
                <w:highlight w:val="none"/>
              </w:rPr>
              <w:t>较好</w:t>
            </w:r>
            <w:r>
              <w:rPr>
                <w:color w:val="auto"/>
                <w:sz w:val="24"/>
                <w:highlight w:val="none"/>
              </w:rPr>
              <w:t>。</w:t>
            </w:r>
          </w:p>
          <w:p>
            <w:pPr>
              <w:spacing w:before="120" w:line="360" w:lineRule="auto"/>
              <w:rPr>
                <w:b/>
                <w:bCs/>
                <w:color w:val="auto"/>
                <w:sz w:val="28"/>
                <w:szCs w:val="28"/>
                <w:highlight w:val="none"/>
              </w:rPr>
            </w:pPr>
            <w:r>
              <w:rPr>
                <w:color w:val="auto"/>
                <w:sz w:val="28"/>
                <w:highlight w:val="none"/>
              </w:rPr>
              <w:pict>
                <v:shape id="_x0000_s1038" o:spid="_x0000_s1038" style="position:absolute;left:0pt;margin-left:-5.65pt;margin-top:0.2pt;height:0pt;width:478.5pt;z-index:251658240;mso-width-relative:page;mso-height-relative:page;" filled="f" coordsize="9570,1" path="m0,0l9570,0e">
                  <v:path arrowok="t"/>
                  <v:fill on="f" focussize="0,0"/>
                  <v:stroke weight="0.5pt"/>
                  <v:imagedata o:title=""/>
                  <o:lock v:ext="edit"/>
                </v:shape>
              </w:pict>
            </w:r>
            <w:r>
              <w:rPr>
                <w:b/>
                <w:bCs/>
                <w:color w:val="auto"/>
                <w:sz w:val="28"/>
                <w:szCs w:val="28"/>
                <w:highlight w:val="none"/>
              </w:rPr>
              <w:t>主要环境保护目标(列出名单及保护级别):</w:t>
            </w:r>
          </w:p>
          <w:p>
            <w:pPr>
              <w:tabs>
                <w:tab w:val="left" w:pos="1770"/>
              </w:tabs>
              <w:adjustRightInd w:val="0"/>
              <w:snapToGrid w:val="0"/>
              <w:spacing w:line="360" w:lineRule="auto"/>
              <w:ind w:firstLine="480" w:firstLineChars="200"/>
              <w:rPr>
                <w:color w:val="auto"/>
                <w:sz w:val="24"/>
                <w:highlight w:val="none"/>
              </w:rPr>
            </w:pPr>
            <w:r>
              <w:rPr>
                <w:color w:val="auto"/>
                <w:sz w:val="24"/>
                <w:highlight w:val="none"/>
              </w:rPr>
              <w:t>项目的主要环境保护目标</w:t>
            </w:r>
            <w:r>
              <w:rPr>
                <w:rFonts w:hint="eastAsia"/>
                <w:color w:val="auto"/>
                <w:sz w:val="24"/>
                <w:highlight w:val="none"/>
              </w:rPr>
              <w:t>为项目周围范围内</w:t>
            </w:r>
            <w:r>
              <w:rPr>
                <w:color w:val="auto"/>
                <w:sz w:val="24"/>
                <w:highlight w:val="none"/>
              </w:rPr>
              <w:t>的环境空气质量、水环境质量和声环境质量。</w:t>
            </w:r>
          </w:p>
          <w:p>
            <w:pPr>
              <w:tabs>
                <w:tab w:val="left" w:pos="360"/>
              </w:tabs>
              <w:snapToGrid w:val="0"/>
              <w:spacing w:line="360" w:lineRule="auto"/>
              <w:ind w:left="269" w:leftChars="128" w:firstLine="241" w:firstLineChars="100"/>
              <w:rPr>
                <w:color w:val="auto"/>
                <w:sz w:val="24"/>
                <w:highlight w:val="none"/>
              </w:rPr>
            </w:pPr>
            <w:r>
              <w:rPr>
                <w:b/>
                <w:color w:val="auto"/>
                <w:sz w:val="24"/>
                <w:highlight w:val="none"/>
              </w:rPr>
              <w:t>1、水环境保护目标</w:t>
            </w:r>
          </w:p>
          <w:p>
            <w:pPr>
              <w:tabs>
                <w:tab w:val="left" w:pos="360"/>
              </w:tabs>
              <w:snapToGrid w:val="0"/>
              <w:spacing w:line="360" w:lineRule="auto"/>
              <w:ind w:left="4" w:firstLine="480" w:firstLineChars="200"/>
              <w:rPr>
                <w:color w:val="auto"/>
                <w:sz w:val="24"/>
                <w:highlight w:val="none"/>
              </w:rPr>
            </w:pPr>
            <w:r>
              <w:rPr>
                <w:color w:val="auto"/>
                <w:sz w:val="24"/>
                <w:highlight w:val="none"/>
              </w:rPr>
              <w:t>水环境保护目标是在该建设项目</w:t>
            </w:r>
            <w:r>
              <w:rPr>
                <w:rFonts w:hint="eastAsia"/>
                <w:color w:val="auto"/>
                <w:sz w:val="24"/>
                <w:highlight w:val="none"/>
              </w:rPr>
              <w:t>营业期间</w:t>
            </w:r>
            <w:r>
              <w:rPr>
                <w:color w:val="auto"/>
                <w:sz w:val="24"/>
                <w:highlight w:val="none"/>
              </w:rPr>
              <w:t>周围的河流水质不受明显的影响</w:t>
            </w:r>
            <w:r>
              <w:rPr>
                <w:rFonts w:hint="eastAsia"/>
                <w:color w:val="auto"/>
                <w:sz w:val="24"/>
                <w:highlight w:val="none"/>
              </w:rPr>
              <w:t>，</w:t>
            </w:r>
            <w:r>
              <w:rPr>
                <w:color w:val="auto"/>
                <w:sz w:val="24"/>
                <w:highlight w:val="none"/>
              </w:rPr>
              <w:t>控制</w:t>
            </w:r>
            <w:r>
              <w:rPr>
                <w:rFonts w:hint="eastAsia"/>
                <w:color w:val="auto"/>
                <w:sz w:val="24"/>
                <w:highlight w:val="none"/>
              </w:rPr>
              <w:t>废水</w:t>
            </w:r>
            <w:r>
              <w:rPr>
                <w:color w:val="auto"/>
                <w:sz w:val="24"/>
                <w:highlight w:val="none"/>
              </w:rPr>
              <w:t>排放对附近水环境</w:t>
            </w:r>
            <w:r>
              <w:rPr>
                <w:rFonts w:hint="eastAsia"/>
                <w:color w:val="auto"/>
                <w:sz w:val="24"/>
                <w:highlight w:val="none"/>
              </w:rPr>
              <w:t>的</w:t>
            </w:r>
            <w:r>
              <w:rPr>
                <w:color w:val="auto"/>
                <w:sz w:val="24"/>
                <w:highlight w:val="none"/>
              </w:rPr>
              <w:t>影响</w:t>
            </w:r>
            <w:r>
              <w:rPr>
                <w:rFonts w:hint="eastAsia"/>
                <w:color w:val="auto"/>
                <w:sz w:val="24"/>
                <w:highlight w:val="none"/>
              </w:rPr>
              <w:t>，使得附近水环境质量</w:t>
            </w:r>
            <w:r>
              <w:rPr>
                <w:rFonts w:hint="eastAsia" w:hAnsi="宋体"/>
                <w:color w:val="auto"/>
                <w:sz w:val="24"/>
                <w:highlight w:val="none"/>
              </w:rPr>
              <w:t>达到</w:t>
            </w:r>
            <w:r>
              <w:rPr>
                <w:rFonts w:hint="eastAsia"/>
                <w:color w:val="auto"/>
                <w:kern w:val="24"/>
                <w:sz w:val="24"/>
                <w:szCs w:val="20"/>
                <w:highlight w:val="none"/>
              </w:rPr>
              <w:t>《地表水环境质量标准》</w:t>
            </w:r>
            <w:r>
              <w:rPr>
                <w:color w:val="auto"/>
                <w:sz w:val="24"/>
                <w:highlight w:val="none"/>
              </w:rPr>
              <w:t>(GB3838-2002)</w:t>
            </w:r>
            <w:r>
              <w:rPr>
                <w:rFonts w:hint="eastAsia"/>
                <w:color w:val="auto"/>
                <w:sz w:val="24"/>
                <w:highlight w:val="none"/>
              </w:rPr>
              <w:t>Ⅱ类</w:t>
            </w:r>
            <w:r>
              <w:rPr>
                <w:rFonts w:hint="eastAsia"/>
                <w:color w:val="auto"/>
                <w:kern w:val="24"/>
                <w:sz w:val="24"/>
                <w:szCs w:val="20"/>
                <w:highlight w:val="none"/>
              </w:rPr>
              <w:t>水质标准的保护要求</w:t>
            </w:r>
            <w:r>
              <w:rPr>
                <w:color w:val="auto"/>
                <w:sz w:val="24"/>
                <w:highlight w:val="none"/>
              </w:rPr>
              <w:t>。</w:t>
            </w:r>
          </w:p>
          <w:p>
            <w:pPr>
              <w:tabs>
                <w:tab w:val="left" w:pos="360"/>
              </w:tabs>
              <w:snapToGrid w:val="0"/>
              <w:spacing w:line="360" w:lineRule="auto"/>
              <w:ind w:left="4" w:firstLine="482" w:firstLineChars="200"/>
              <w:rPr>
                <w:b/>
                <w:color w:val="auto"/>
                <w:sz w:val="24"/>
                <w:highlight w:val="none"/>
              </w:rPr>
            </w:pPr>
            <w:r>
              <w:rPr>
                <w:b/>
                <w:color w:val="auto"/>
                <w:sz w:val="24"/>
                <w:highlight w:val="none"/>
              </w:rPr>
              <w:t>2、环境空气保护目标</w:t>
            </w:r>
          </w:p>
          <w:p>
            <w:pPr>
              <w:snapToGrid w:val="0"/>
              <w:spacing w:line="360" w:lineRule="auto"/>
              <w:ind w:firstLine="480" w:firstLineChars="200"/>
              <w:rPr>
                <w:color w:val="auto"/>
                <w:sz w:val="24"/>
                <w:highlight w:val="none"/>
              </w:rPr>
            </w:pPr>
            <w:r>
              <w:rPr>
                <w:rFonts w:hint="eastAsia"/>
                <w:color w:val="auto"/>
                <w:sz w:val="24"/>
                <w:highlight w:val="none"/>
              </w:rPr>
              <w:t>环境空气质量符合</w:t>
            </w:r>
            <w:r>
              <w:rPr>
                <w:rFonts w:hint="eastAsia"/>
                <w:bCs/>
                <w:color w:val="auto"/>
                <w:sz w:val="24"/>
                <w:highlight w:val="none"/>
              </w:rPr>
              <w:t>《环境空气质量标准》（GB3095-2012）及”2018修改单”二级标准</w:t>
            </w:r>
            <w:r>
              <w:rPr>
                <w:rFonts w:hint="eastAsia"/>
                <w:color w:val="auto"/>
                <w:sz w:val="24"/>
                <w:highlight w:val="none"/>
              </w:rPr>
              <w:t>要求。控制废气排放对附近周围环境的影响。</w:t>
            </w:r>
          </w:p>
          <w:p>
            <w:pPr>
              <w:tabs>
                <w:tab w:val="left" w:pos="360"/>
              </w:tabs>
              <w:snapToGrid w:val="0"/>
              <w:spacing w:line="360" w:lineRule="auto"/>
              <w:ind w:left="4" w:firstLine="482" w:firstLineChars="200"/>
              <w:rPr>
                <w:b/>
                <w:color w:val="auto"/>
                <w:sz w:val="24"/>
                <w:highlight w:val="none"/>
              </w:rPr>
            </w:pPr>
            <w:r>
              <w:rPr>
                <w:b/>
                <w:color w:val="auto"/>
                <w:sz w:val="24"/>
                <w:highlight w:val="none"/>
              </w:rPr>
              <w:t>3、声环境保护目标</w:t>
            </w:r>
          </w:p>
          <w:p>
            <w:pPr>
              <w:spacing w:line="360" w:lineRule="auto"/>
              <w:ind w:left="4" w:firstLine="480" w:firstLineChars="200"/>
              <w:rPr>
                <w:color w:val="auto"/>
                <w:highlight w:val="none"/>
              </w:rPr>
            </w:pPr>
            <w:r>
              <w:rPr>
                <w:rFonts w:hint="eastAsia"/>
                <w:color w:val="auto"/>
                <w:sz w:val="24"/>
                <w:highlight w:val="none"/>
              </w:rPr>
              <w:t>声环境质量符合《声环境质量标准》（</w:t>
            </w:r>
            <w:r>
              <w:rPr>
                <w:color w:val="auto"/>
                <w:sz w:val="24"/>
                <w:highlight w:val="none"/>
              </w:rPr>
              <w:t>GB3096-2008</w:t>
            </w:r>
            <w:r>
              <w:rPr>
                <w:rFonts w:hint="eastAsia"/>
                <w:color w:val="auto"/>
                <w:sz w:val="24"/>
                <w:highlight w:val="none"/>
              </w:rPr>
              <w:t>）2类标准。控制各种噪声声源，要求项目边界噪声达到《工业企业厂界环境噪声排放标准》（</w:t>
            </w:r>
            <w:r>
              <w:rPr>
                <w:color w:val="auto"/>
                <w:sz w:val="24"/>
                <w:highlight w:val="none"/>
              </w:rPr>
              <w:t>GB12348-2008</w:t>
            </w:r>
            <w:r>
              <w:rPr>
                <w:rFonts w:hint="eastAsia"/>
                <w:color w:val="auto"/>
                <w:sz w:val="24"/>
                <w:highlight w:val="none"/>
              </w:rPr>
              <w:t>）2类</w:t>
            </w:r>
            <w:r>
              <w:rPr>
                <w:color w:val="auto"/>
                <w:sz w:val="24"/>
                <w:highlight w:val="none"/>
              </w:rPr>
              <w:t>标准。</w:t>
            </w:r>
          </w:p>
          <w:p>
            <w:pPr>
              <w:tabs>
                <w:tab w:val="left" w:pos="1770"/>
              </w:tabs>
              <w:adjustRightInd w:val="0"/>
              <w:snapToGrid w:val="0"/>
              <w:spacing w:line="360" w:lineRule="auto"/>
              <w:ind w:firstLine="482" w:firstLineChars="200"/>
              <w:rPr>
                <w:b/>
                <w:color w:val="auto"/>
                <w:sz w:val="24"/>
                <w:highlight w:val="none"/>
              </w:rPr>
            </w:pPr>
            <w:r>
              <w:rPr>
                <w:b/>
                <w:color w:val="auto"/>
                <w:sz w:val="24"/>
                <w:highlight w:val="none"/>
              </w:rPr>
              <w:t>4、环境敏感点及环境保护目标</w:t>
            </w:r>
          </w:p>
          <w:p>
            <w:pPr>
              <w:pStyle w:val="111"/>
              <w:spacing w:line="360" w:lineRule="auto"/>
              <w:rPr>
                <w:rFonts w:ascii="宋体" w:hAnsi="宋体"/>
                <w:color w:val="auto"/>
                <w:highlight w:val="none"/>
              </w:rPr>
            </w:pPr>
            <w:r>
              <w:rPr>
                <w:rFonts w:hint="eastAsia" w:ascii="宋体" w:hAnsi="宋体"/>
                <w:color w:val="auto"/>
                <w:highlight w:val="none"/>
              </w:rPr>
              <w:t>根据对本项目所在地的实地踏勘，在周边内没有名胜古迹等重要环境敏感点。建设项目附近主要环境保护目标见下表。</w:t>
            </w:r>
          </w:p>
          <w:p>
            <w:pPr>
              <w:pStyle w:val="138"/>
              <w:numPr>
                <w:ilvl w:val="0"/>
                <w:numId w:val="5"/>
              </w:numPr>
              <w:tabs>
                <w:tab w:val="left" w:pos="420"/>
              </w:tabs>
              <w:spacing w:line="360" w:lineRule="auto"/>
              <w:ind w:left="0" w:firstLine="471"/>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建设项目场址附近主要环境保护目标</w:t>
            </w:r>
          </w:p>
          <w:tbl>
            <w:tblPr>
              <w:tblStyle w:val="40"/>
              <w:tblW w:w="9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6"/>
              <w:gridCol w:w="1745"/>
              <w:gridCol w:w="855"/>
              <w:gridCol w:w="826"/>
              <w:gridCol w:w="942"/>
              <w:gridCol w:w="1149"/>
              <w:gridCol w:w="1290"/>
              <w:gridCol w:w="990"/>
              <w:gridCol w:w="9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586" w:type="dxa"/>
                  <w:vMerge w:val="restart"/>
                  <w:vAlign w:val="center"/>
                </w:tcPr>
                <w:p>
                  <w:pPr>
                    <w:jc w:val="center"/>
                    <w:rPr>
                      <w:b/>
                      <w:bCs/>
                      <w:color w:val="auto"/>
                      <w:szCs w:val="21"/>
                      <w:highlight w:val="none"/>
                    </w:rPr>
                  </w:pPr>
                  <w:r>
                    <w:rPr>
                      <w:b/>
                      <w:bCs/>
                      <w:color w:val="auto"/>
                      <w:szCs w:val="21"/>
                      <w:highlight w:val="none"/>
                    </w:rPr>
                    <w:t>序号</w:t>
                  </w:r>
                </w:p>
              </w:tc>
              <w:tc>
                <w:tcPr>
                  <w:tcW w:w="1745" w:type="dxa"/>
                  <w:vMerge w:val="restart"/>
                  <w:vAlign w:val="center"/>
                </w:tcPr>
                <w:p>
                  <w:pPr>
                    <w:jc w:val="center"/>
                    <w:rPr>
                      <w:b/>
                      <w:bCs/>
                      <w:color w:val="auto"/>
                      <w:szCs w:val="21"/>
                      <w:highlight w:val="none"/>
                    </w:rPr>
                  </w:pPr>
                  <w:r>
                    <w:rPr>
                      <w:b/>
                      <w:bCs/>
                      <w:color w:val="auto"/>
                      <w:szCs w:val="21"/>
                      <w:highlight w:val="none"/>
                    </w:rPr>
                    <w:t>保护目标名称</w:t>
                  </w:r>
                </w:p>
              </w:tc>
              <w:tc>
                <w:tcPr>
                  <w:tcW w:w="1681" w:type="dxa"/>
                  <w:gridSpan w:val="2"/>
                  <w:vAlign w:val="center"/>
                </w:tcPr>
                <w:p>
                  <w:pPr>
                    <w:jc w:val="center"/>
                    <w:rPr>
                      <w:b/>
                      <w:bCs/>
                      <w:color w:val="auto"/>
                      <w:szCs w:val="21"/>
                      <w:highlight w:val="none"/>
                    </w:rPr>
                  </w:pPr>
                  <w:r>
                    <w:rPr>
                      <w:b/>
                      <w:bCs/>
                      <w:color w:val="auto"/>
                      <w:szCs w:val="21"/>
                      <w:highlight w:val="none"/>
                    </w:rPr>
                    <w:t>坐标/m</w:t>
                  </w:r>
                </w:p>
              </w:tc>
              <w:tc>
                <w:tcPr>
                  <w:tcW w:w="942" w:type="dxa"/>
                  <w:vMerge w:val="restart"/>
                  <w:vAlign w:val="center"/>
                </w:tcPr>
                <w:p>
                  <w:pPr>
                    <w:jc w:val="center"/>
                    <w:rPr>
                      <w:b/>
                      <w:bCs/>
                      <w:color w:val="auto"/>
                      <w:szCs w:val="21"/>
                      <w:highlight w:val="none"/>
                    </w:rPr>
                  </w:pPr>
                  <w:r>
                    <w:rPr>
                      <w:b/>
                      <w:bCs/>
                      <w:color w:val="auto"/>
                      <w:szCs w:val="21"/>
                      <w:highlight w:val="none"/>
                    </w:rPr>
                    <w:t>保护对象</w:t>
                  </w:r>
                </w:p>
              </w:tc>
              <w:tc>
                <w:tcPr>
                  <w:tcW w:w="1149" w:type="dxa"/>
                  <w:vMerge w:val="restart"/>
                  <w:vAlign w:val="center"/>
                </w:tcPr>
                <w:p>
                  <w:pPr>
                    <w:jc w:val="center"/>
                    <w:rPr>
                      <w:color w:val="auto"/>
                      <w:highlight w:val="none"/>
                    </w:rPr>
                  </w:pPr>
                  <w:r>
                    <w:rPr>
                      <w:b/>
                      <w:bCs/>
                      <w:color w:val="auto"/>
                      <w:szCs w:val="21"/>
                      <w:highlight w:val="none"/>
                    </w:rPr>
                    <w:t>保护内容</w:t>
                  </w:r>
                </w:p>
              </w:tc>
              <w:tc>
                <w:tcPr>
                  <w:tcW w:w="1290" w:type="dxa"/>
                  <w:vMerge w:val="restart"/>
                  <w:vAlign w:val="center"/>
                </w:tcPr>
                <w:p>
                  <w:pPr>
                    <w:jc w:val="center"/>
                    <w:rPr>
                      <w:b/>
                      <w:bCs/>
                      <w:color w:val="auto"/>
                      <w:szCs w:val="21"/>
                      <w:highlight w:val="none"/>
                    </w:rPr>
                  </w:pPr>
                  <w:r>
                    <w:rPr>
                      <w:b/>
                      <w:bCs/>
                      <w:color w:val="auto"/>
                      <w:szCs w:val="21"/>
                      <w:highlight w:val="none"/>
                    </w:rPr>
                    <w:t>环境功能区</w:t>
                  </w:r>
                </w:p>
              </w:tc>
              <w:tc>
                <w:tcPr>
                  <w:tcW w:w="990" w:type="dxa"/>
                  <w:vMerge w:val="restart"/>
                  <w:vAlign w:val="center"/>
                </w:tcPr>
                <w:p>
                  <w:pPr>
                    <w:jc w:val="center"/>
                    <w:rPr>
                      <w:color w:val="auto"/>
                      <w:highlight w:val="none"/>
                    </w:rPr>
                  </w:pPr>
                  <w:r>
                    <w:rPr>
                      <w:b/>
                      <w:bCs/>
                      <w:color w:val="auto"/>
                      <w:szCs w:val="21"/>
                      <w:highlight w:val="none"/>
                    </w:rPr>
                    <w:t>相对厂址方位</w:t>
                  </w:r>
                </w:p>
              </w:tc>
              <w:tc>
                <w:tcPr>
                  <w:tcW w:w="997" w:type="dxa"/>
                  <w:vMerge w:val="restart"/>
                  <w:vAlign w:val="center"/>
                </w:tcPr>
                <w:p>
                  <w:pPr>
                    <w:jc w:val="center"/>
                    <w:rPr>
                      <w:color w:val="auto"/>
                      <w:highlight w:val="none"/>
                    </w:rPr>
                  </w:pPr>
                  <w:r>
                    <w:rPr>
                      <w:b/>
                      <w:bCs/>
                      <w:color w:val="auto"/>
                      <w:szCs w:val="21"/>
                      <w:highlight w:val="none"/>
                    </w:rPr>
                    <w:t>相对厂界距离距离/m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586" w:type="dxa"/>
                  <w:vMerge w:val="continue"/>
                  <w:vAlign w:val="center"/>
                </w:tcPr>
                <w:p>
                  <w:pPr>
                    <w:spacing w:line="360" w:lineRule="auto"/>
                    <w:jc w:val="center"/>
                    <w:rPr>
                      <w:b/>
                      <w:bCs/>
                      <w:color w:val="auto"/>
                      <w:szCs w:val="21"/>
                      <w:highlight w:val="none"/>
                    </w:rPr>
                  </w:pPr>
                </w:p>
              </w:tc>
              <w:tc>
                <w:tcPr>
                  <w:tcW w:w="1745" w:type="dxa"/>
                  <w:vMerge w:val="continue"/>
                  <w:vAlign w:val="center"/>
                </w:tcPr>
                <w:p>
                  <w:pPr>
                    <w:spacing w:line="360" w:lineRule="auto"/>
                    <w:jc w:val="center"/>
                    <w:rPr>
                      <w:b/>
                      <w:bCs/>
                      <w:color w:val="auto"/>
                      <w:szCs w:val="21"/>
                      <w:highlight w:val="none"/>
                    </w:rPr>
                  </w:pPr>
                </w:p>
              </w:tc>
              <w:tc>
                <w:tcPr>
                  <w:tcW w:w="855" w:type="dxa"/>
                  <w:vAlign w:val="center"/>
                </w:tcPr>
                <w:p>
                  <w:pPr>
                    <w:spacing w:line="360" w:lineRule="auto"/>
                    <w:jc w:val="center"/>
                    <w:rPr>
                      <w:b/>
                      <w:bCs/>
                      <w:color w:val="auto"/>
                      <w:szCs w:val="21"/>
                      <w:highlight w:val="none"/>
                    </w:rPr>
                  </w:pPr>
                  <w:r>
                    <w:rPr>
                      <w:b/>
                      <w:bCs/>
                      <w:color w:val="auto"/>
                      <w:szCs w:val="21"/>
                      <w:highlight w:val="none"/>
                    </w:rPr>
                    <w:t>X</w:t>
                  </w:r>
                </w:p>
              </w:tc>
              <w:tc>
                <w:tcPr>
                  <w:tcW w:w="826" w:type="dxa"/>
                  <w:vAlign w:val="center"/>
                </w:tcPr>
                <w:p>
                  <w:pPr>
                    <w:spacing w:line="360" w:lineRule="auto"/>
                    <w:jc w:val="center"/>
                    <w:rPr>
                      <w:b/>
                      <w:bCs/>
                      <w:color w:val="auto"/>
                      <w:szCs w:val="21"/>
                      <w:highlight w:val="none"/>
                    </w:rPr>
                  </w:pPr>
                  <w:r>
                    <w:rPr>
                      <w:b/>
                      <w:bCs/>
                      <w:color w:val="auto"/>
                      <w:szCs w:val="21"/>
                      <w:highlight w:val="none"/>
                    </w:rPr>
                    <w:t>Y</w:t>
                  </w:r>
                </w:p>
              </w:tc>
              <w:tc>
                <w:tcPr>
                  <w:tcW w:w="942" w:type="dxa"/>
                  <w:vMerge w:val="continue"/>
                  <w:vAlign w:val="center"/>
                </w:tcPr>
                <w:p>
                  <w:pPr>
                    <w:spacing w:line="360" w:lineRule="auto"/>
                    <w:jc w:val="center"/>
                    <w:rPr>
                      <w:b/>
                      <w:bCs/>
                      <w:color w:val="auto"/>
                      <w:szCs w:val="21"/>
                      <w:highlight w:val="none"/>
                    </w:rPr>
                  </w:pPr>
                </w:p>
              </w:tc>
              <w:tc>
                <w:tcPr>
                  <w:tcW w:w="1149" w:type="dxa"/>
                  <w:vMerge w:val="continue"/>
                  <w:vAlign w:val="center"/>
                </w:tcPr>
                <w:p>
                  <w:pPr>
                    <w:spacing w:line="360" w:lineRule="auto"/>
                    <w:jc w:val="center"/>
                    <w:rPr>
                      <w:color w:val="auto"/>
                      <w:highlight w:val="none"/>
                    </w:rPr>
                  </w:pPr>
                </w:p>
              </w:tc>
              <w:tc>
                <w:tcPr>
                  <w:tcW w:w="1290" w:type="dxa"/>
                  <w:vMerge w:val="continue"/>
                  <w:vAlign w:val="center"/>
                </w:tcPr>
                <w:p>
                  <w:pPr>
                    <w:spacing w:line="360" w:lineRule="auto"/>
                    <w:jc w:val="center"/>
                    <w:rPr>
                      <w:b/>
                      <w:bCs/>
                      <w:color w:val="auto"/>
                      <w:szCs w:val="21"/>
                      <w:highlight w:val="none"/>
                    </w:rPr>
                  </w:pPr>
                </w:p>
              </w:tc>
              <w:tc>
                <w:tcPr>
                  <w:tcW w:w="990" w:type="dxa"/>
                  <w:vMerge w:val="continue"/>
                  <w:vAlign w:val="center"/>
                </w:tcPr>
                <w:p>
                  <w:pPr>
                    <w:spacing w:line="360" w:lineRule="auto"/>
                    <w:jc w:val="center"/>
                    <w:rPr>
                      <w:color w:val="auto"/>
                      <w:highlight w:val="none"/>
                    </w:rPr>
                  </w:pPr>
                </w:p>
              </w:tc>
              <w:tc>
                <w:tcPr>
                  <w:tcW w:w="997" w:type="dxa"/>
                  <w:vMerge w:val="continue"/>
                  <w:vAlign w:val="center"/>
                </w:tcPr>
                <w:p>
                  <w:pPr>
                    <w:spacing w:line="360" w:lineRule="auto"/>
                    <w:jc w:val="center"/>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6" w:type="dxa"/>
                  <w:vAlign w:val="center"/>
                </w:tcPr>
                <w:p>
                  <w:pPr>
                    <w:spacing w:line="360" w:lineRule="auto"/>
                    <w:jc w:val="center"/>
                    <w:rPr>
                      <w:color w:val="auto"/>
                      <w:szCs w:val="21"/>
                      <w:highlight w:val="none"/>
                    </w:rPr>
                  </w:pPr>
                  <w:r>
                    <w:rPr>
                      <w:color w:val="auto"/>
                      <w:szCs w:val="21"/>
                      <w:highlight w:val="none"/>
                    </w:rPr>
                    <w:t>1</w:t>
                  </w:r>
                </w:p>
              </w:tc>
              <w:tc>
                <w:tcPr>
                  <w:tcW w:w="1745" w:type="dxa"/>
                  <w:vAlign w:val="center"/>
                </w:tcPr>
                <w:p>
                  <w:pPr>
                    <w:spacing w:line="360" w:lineRule="auto"/>
                    <w:jc w:val="center"/>
                    <w:rPr>
                      <w:color w:val="auto"/>
                      <w:szCs w:val="21"/>
                      <w:highlight w:val="none"/>
                    </w:rPr>
                  </w:pPr>
                  <w:r>
                    <w:rPr>
                      <w:rFonts w:hint="eastAsia"/>
                      <w:color w:val="auto"/>
                      <w:szCs w:val="21"/>
                      <w:highlight w:val="none"/>
                    </w:rPr>
                    <w:t>东园</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1513</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451</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1"/>
                      <w:highlight w:val="none"/>
                      <w:lang w:eastAsia="zh-CN"/>
                    </w:rPr>
                    <w:t>约</w:t>
                  </w:r>
                  <w:r>
                    <w:rPr>
                      <w:rFonts w:hint="eastAsia" w:cs="Times New Roman"/>
                      <w:color w:val="auto"/>
                      <w:kern w:val="2"/>
                      <w:sz w:val="21"/>
                      <w:szCs w:val="21"/>
                      <w:highlight w:val="none"/>
                      <w:lang w:val="en-US" w:eastAsia="zh-CN"/>
                    </w:rPr>
                    <w:t>400人</w:t>
                  </w:r>
                </w:p>
              </w:tc>
              <w:tc>
                <w:tcPr>
                  <w:tcW w:w="1290" w:type="dxa"/>
                  <w:vMerge w:val="restart"/>
                  <w:vAlign w:val="center"/>
                </w:tcPr>
                <w:p>
                  <w:pPr>
                    <w:jc w:val="center"/>
                    <w:rPr>
                      <w:color w:val="auto"/>
                      <w:szCs w:val="21"/>
                      <w:highlight w:val="none"/>
                    </w:rPr>
                  </w:pPr>
                  <w:r>
                    <w:rPr>
                      <w:color w:val="auto"/>
                      <w:szCs w:val="21"/>
                      <w:highlight w:val="none"/>
                    </w:rPr>
                    <w:t>《环境空气质量标准》环境空气功能二类区、《声环境质量标准》环境噪声功能2类区（200m内）</w:t>
                  </w:r>
                </w:p>
              </w:tc>
              <w:tc>
                <w:tcPr>
                  <w:tcW w:w="990" w:type="dxa"/>
                  <w:vAlign w:val="center"/>
                </w:tcPr>
                <w:p>
                  <w:pPr>
                    <w:spacing w:line="360" w:lineRule="auto"/>
                    <w:jc w:val="center"/>
                    <w:rPr>
                      <w:color w:val="auto"/>
                      <w:highlight w:val="none"/>
                    </w:rPr>
                  </w:pPr>
                  <w:r>
                    <w:rPr>
                      <w:rFonts w:hint="eastAsia"/>
                      <w:color w:val="auto"/>
                      <w:highlight w:val="none"/>
                    </w:rPr>
                    <w:t>东面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1475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2</w:t>
                  </w:r>
                </w:p>
              </w:tc>
              <w:tc>
                <w:tcPr>
                  <w:tcW w:w="1745" w:type="dxa"/>
                  <w:vAlign w:val="center"/>
                </w:tcPr>
                <w:p>
                  <w:pPr>
                    <w:spacing w:line="360" w:lineRule="auto"/>
                    <w:jc w:val="center"/>
                    <w:rPr>
                      <w:rFonts w:hint="eastAsia" w:eastAsia="宋体"/>
                      <w:color w:val="auto"/>
                      <w:szCs w:val="21"/>
                      <w:highlight w:val="none"/>
                      <w:lang w:eastAsia="zh-CN"/>
                    </w:rPr>
                  </w:pPr>
                  <w:r>
                    <w:rPr>
                      <w:rFonts w:hint="eastAsia"/>
                      <w:color w:val="auto"/>
                      <w:szCs w:val="21"/>
                      <w:highlight w:val="none"/>
                      <w:lang w:eastAsia="zh-CN"/>
                    </w:rPr>
                    <w:t>金龙里</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2080</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26</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szCs w:val="21"/>
                      <w:highlight w:val="none"/>
                    </w:rPr>
                  </w:pPr>
                  <w:r>
                    <w:rPr>
                      <w:rFonts w:hint="eastAsia" w:cs="Times New Roman"/>
                      <w:color w:val="auto"/>
                      <w:kern w:val="2"/>
                      <w:sz w:val="21"/>
                      <w:szCs w:val="21"/>
                      <w:highlight w:val="none"/>
                      <w:lang w:eastAsia="zh-CN"/>
                    </w:rPr>
                    <w:t>约</w:t>
                  </w:r>
                  <w:r>
                    <w:rPr>
                      <w:rFonts w:hint="eastAsia" w:cs="Times New Roman"/>
                      <w:color w:val="auto"/>
                      <w:kern w:val="2"/>
                      <w:sz w:val="21"/>
                      <w:szCs w:val="21"/>
                      <w:highlight w:val="none"/>
                      <w:lang w:val="en-US" w:eastAsia="zh-CN"/>
                    </w:rPr>
                    <w:t>300人</w:t>
                  </w:r>
                </w:p>
              </w:tc>
              <w:tc>
                <w:tcPr>
                  <w:tcW w:w="1290" w:type="dxa"/>
                  <w:vMerge w:val="continue"/>
                  <w:vAlign w:val="center"/>
                </w:tcPr>
                <w:p>
                  <w:pPr>
                    <w:jc w:val="center"/>
                    <w:rPr>
                      <w:color w:val="auto"/>
                      <w:szCs w:val="21"/>
                      <w:highlight w:val="none"/>
                    </w:rPr>
                  </w:pPr>
                </w:p>
              </w:tc>
              <w:tc>
                <w:tcPr>
                  <w:tcW w:w="990" w:type="dxa"/>
                  <w:vAlign w:val="center"/>
                </w:tcPr>
                <w:p>
                  <w:pPr>
                    <w:spacing w:line="360" w:lineRule="auto"/>
                    <w:jc w:val="center"/>
                    <w:rPr>
                      <w:rFonts w:hint="eastAsia"/>
                      <w:color w:val="auto"/>
                      <w:highlight w:val="none"/>
                    </w:rPr>
                  </w:pPr>
                  <w:r>
                    <w:rPr>
                      <w:rFonts w:hint="eastAsia"/>
                      <w:color w:val="auto"/>
                      <w:highlight w:val="none"/>
                    </w:rPr>
                    <w:t>东面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2055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3</w:t>
                  </w:r>
                </w:p>
              </w:tc>
              <w:tc>
                <w:tcPr>
                  <w:tcW w:w="1745" w:type="dxa"/>
                  <w:vAlign w:val="center"/>
                </w:tcPr>
                <w:p>
                  <w:pPr>
                    <w:spacing w:line="360" w:lineRule="auto"/>
                    <w:jc w:val="center"/>
                    <w:rPr>
                      <w:color w:val="auto"/>
                      <w:szCs w:val="21"/>
                      <w:highlight w:val="none"/>
                    </w:rPr>
                  </w:pPr>
                  <w:r>
                    <w:rPr>
                      <w:rFonts w:hint="eastAsia"/>
                      <w:color w:val="auto"/>
                      <w:szCs w:val="21"/>
                      <w:highlight w:val="none"/>
                    </w:rPr>
                    <w:t>泮村</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2230</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-584</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1"/>
                      <w:highlight w:val="none"/>
                      <w:lang w:eastAsia="zh-CN"/>
                    </w:rPr>
                    <w:t>约</w:t>
                  </w:r>
                  <w:r>
                    <w:rPr>
                      <w:rFonts w:hint="eastAsia" w:cs="Times New Roman"/>
                      <w:color w:val="auto"/>
                      <w:kern w:val="2"/>
                      <w:sz w:val="21"/>
                      <w:szCs w:val="21"/>
                      <w:highlight w:val="none"/>
                      <w:lang w:val="en-US" w:eastAsia="zh-CN"/>
                    </w:rPr>
                    <w:t>1400人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highlight w:val="none"/>
                    </w:rPr>
                  </w:pPr>
                  <w:r>
                    <w:rPr>
                      <w:rFonts w:hint="eastAsia"/>
                      <w:color w:val="auto"/>
                      <w:highlight w:val="none"/>
                    </w:rPr>
                    <w:t>东南面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2100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4</w:t>
                  </w:r>
                </w:p>
              </w:tc>
              <w:tc>
                <w:tcPr>
                  <w:tcW w:w="1745" w:type="dxa"/>
                  <w:vAlign w:val="center"/>
                </w:tcPr>
                <w:p>
                  <w:pPr>
                    <w:spacing w:line="360" w:lineRule="auto"/>
                    <w:jc w:val="center"/>
                    <w:rPr>
                      <w:color w:val="auto"/>
                      <w:szCs w:val="21"/>
                      <w:highlight w:val="none"/>
                    </w:rPr>
                  </w:pPr>
                  <w:r>
                    <w:rPr>
                      <w:rFonts w:hint="eastAsia"/>
                      <w:color w:val="auto"/>
                      <w:szCs w:val="21"/>
                      <w:highlight w:val="none"/>
                    </w:rPr>
                    <w:t>永安村</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2133</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-974</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1"/>
                      <w:highlight w:val="none"/>
                      <w:lang w:eastAsia="zh-CN"/>
                    </w:rPr>
                    <w:t>约</w:t>
                  </w:r>
                  <w:r>
                    <w:rPr>
                      <w:rFonts w:hint="eastAsia" w:cs="Times New Roman"/>
                      <w:color w:val="auto"/>
                      <w:kern w:val="2"/>
                      <w:sz w:val="21"/>
                      <w:szCs w:val="21"/>
                      <w:highlight w:val="none"/>
                      <w:lang w:val="en-US" w:eastAsia="zh-CN"/>
                    </w:rPr>
                    <w:t>500人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highlight w:val="none"/>
                    </w:rPr>
                  </w:pPr>
                  <w:r>
                    <w:rPr>
                      <w:rFonts w:hint="eastAsia"/>
                      <w:color w:val="auto"/>
                      <w:highlight w:val="none"/>
                    </w:rPr>
                    <w:t>东南面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2285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5</w:t>
                  </w:r>
                </w:p>
              </w:tc>
              <w:tc>
                <w:tcPr>
                  <w:tcW w:w="1745" w:type="dxa"/>
                  <w:vAlign w:val="center"/>
                </w:tcPr>
                <w:p>
                  <w:pPr>
                    <w:spacing w:line="360" w:lineRule="auto"/>
                    <w:jc w:val="center"/>
                    <w:rPr>
                      <w:color w:val="auto"/>
                      <w:szCs w:val="21"/>
                      <w:highlight w:val="none"/>
                    </w:rPr>
                  </w:pPr>
                  <w:r>
                    <w:rPr>
                      <w:rFonts w:hint="eastAsia"/>
                      <w:color w:val="auto"/>
                      <w:szCs w:val="21"/>
                      <w:highlight w:val="none"/>
                    </w:rPr>
                    <w:t>泮南村</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1779</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-1389</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1000人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highlight w:val="none"/>
                    </w:rPr>
                  </w:pPr>
                  <w:r>
                    <w:rPr>
                      <w:rFonts w:hint="eastAsia"/>
                      <w:color w:val="auto"/>
                      <w:highlight w:val="none"/>
                    </w:rPr>
                    <w:t>东南面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1849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6</w:t>
                  </w:r>
                </w:p>
              </w:tc>
              <w:tc>
                <w:tcPr>
                  <w:tcW w:w="1745" w:type="dxa"/>
                  <w:vAlign w:val="center"/>
                </w:tcPr>
                <w:p>
                  <w:pPr>
                    <w:spacing w:line="360" w:lineRule="auto"/>
                    <w:jc w:val="center"/>
                    <w:rPr>
                      <w:color w:val="auto"/>
                      <w:szCs w:val="21"/>
                      <w:highlight w:val="none"/>
                    </w:rPr>
                  </w:pPr>
                  <w:r>
                    <w:rPr>
                      <w:rFonts w:hint="eastAsia"/>
                      <w:color w:val="auto"/>
                      <w:szCs w:val="21"/>
                      <w:highlight w:val="none"/>
                    </w:rPr>
                    <w:t>东方红社区</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-239</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-664</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800人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highlight w:val="none"/>
                    </w:rPr>
                  </w:pPr>
                  <w:r>
                    <w:rPr>
                      <w:rFonts w:hint="eastAsia"/>
                      <w:color w:val="auto"/>
                      <w:highlight w:val="none"/>
                    </w:rPr>
                    <w:t>南面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590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7</w:t>
                  </w:r>
                </w:p>
              </w:tc>
              <w:tc>
                <w:tcPr>
                  <w:tcW w:w="1745" w:type="dxa"/>
                  <w:vAlign w:val="center"/>
                </w:tcPr>
                <w:p>
                  <w:pPr>
                    <w:spacing w:line="360" w:lineRule="auto"/>
                    <w:jc w:val="center"/>
                    <w:rPr>
                      <w:color w:val="auto"/>
                      <w:szCs w:val="21"/>
                      <w:highlight w:val="none"/>
                    </w:rPr>
                  </w:pPr>
                  <w:r>
                    <w:rPr>
                      <w:rFonts w:hint="eastAsia"/>
                      <w:color w:val="auto"/>
                      <w:szCs w:val="21"/>
                      <w:highlight w:val="none"/>
                    </w:rPr>
                    <w:t>新市社区</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106</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-1080</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3000人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highlight w:val="none"/>
                    </w:rPr>
                  </w:pPr>
                  <w:r>
                    <w:rPr>
                      <w:rFonts w:hint="eastAsia"/>
                      <w:color w:val="auto"/>
                      <w:highlight w:val="none"/>
                    </w:rPr>
                    <w:t>南面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751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8</w:t>
                  </w:r>
                </w:p>
              </w:tc>
              <w:tc>
                <w:tcPr>
                  <w:tcW w:w="1745" w:type="dxa"/>
                  <w:vAlign w:val="center"/>
                </w:tcPr>
                <w:p>
                  <w:pPr>
                    <w:spacing w:line="360" w:lineRule="auto"/>
                    <w:jc w:val="center"/>
                    <w:rPr>
                      <w:color w:val="auto"/>
                      <w:szCs w:val="21"/>
                      <w:highlight w:val="none"/>
                    </w:rPr>
                  </w:pPr>
                  <w:r>
                    <w:rPr>
                      <w:rFonts w:hint="eastAsia"/>
                      <w:color w:val="auto"/>
                      <w:szCs w:val="21"/>
                      <w:highlight w:val="none"/>
                    </w:rPr>
                    <w:t>公益</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-301</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-1991</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1200人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highlight w:val="none"/>
                    </w:rPr>
                  </w:pPr>
                  <w:r>
                    <w:rPr>
                      <w:rFonts w:hint="eastAsia"/>
                      <w:color w:val="auto"/>
                      <w:highlight w:val="none"/>
                    </w:rPr>
                    <w:t>南面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1727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9</w:t>
                  </w:r>
                </w:p>
              </w:tc>
              <w:tc>
                <w:tcPr>
                  <w:tcW w:w="1745" w:type="dxa"/>
                  <w:vAlign w:val="center"/>
                </w:tcPr>
                <w:p>
                  <w:pPr>
                    <w:spacing w:line="360" w:lineRule="auto"/>
                    <w:jc w:val="center"/>
                    <w:rPr>
                      <w:color w:val="auto"/>
                      <w:szCs w:val="21"/>
                      <w:highlight w:val="none"/>
                    </w:rPr>
                  </w:pPr>
                  <w:r>
                    <w:rPr>
                      <w:rFonts w:hint="eastAsia"/>
                      <w:color w:val="auto"/>
                      <w:szCs w:val="21"/>
                      <w:highlight w:val="none"/>
                    </w:rPr>
                    <w:t>人民社区</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-929</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-319</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2000人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highlight w:val="none"/>
                    </w:rPr>
                  </w:pPr>
                  <w:r>
                    <w:rPr>
                      <w:rFonts w:hint="eastAsia"/>
                      <w:color w:val="auto"/>
                      <w:highlight w:val="none"/>
                      <w:lang w:eastAsia="zh-CN"/>
                    </w:rPr>
                    <w:t>西</w:t>
                  </w:r>
                  <w:r>
                    <w:rPr>
                      <w:rFonts w:hint="eastAsia"/>
                      <w:color w:val="auto"/>
                      <w:highlight w:val="none"/>
                    </w:rPr>
                    <w:t>南面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547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10</w:t>
                  </w:r>
                </w:p>
              </w:tc>
              <w:tc>
                <w:tcPr>
                  <w:tcW w:w="1745" w:type="dxa"/>
                  <w:vAlign w:val="center"/>
                </w:tcPr>
                <w:p>
                  <w:pPr>
                    <w:spacing w:line="360" w:lineRule="auto"/>
                    <w:jc w:val="center"/>
                    <w:rPr>
                      <w:color w:val="auto"/>
                      <w:szCs w:val="21"/>
                      <w:highlight w:val="none"/>
                    </w:rPr>
                  </w:pPr>
                  <w:r>
                    <w:rPr>
                      <w:rFonts w:hint="eastAsia"/>
                      <w:color w:val="auto"/>
                      <w:szCs w:val="21"/>
                      <w:highlight w:val="none"/>
                    </w:rPr>
                    <w:t>红花村</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-1504</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248</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2000人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rFonts w:hint="eastAsia" w:eastAsia="宋体"/>
                      <w:color w:val="auto"/>
                      <w:highlight w:val="none"/>
                      <w:lang w:eastAsia="zh-CN"/>
                    </w:rPr>
                  </w:pPr>
                  <w:r>
                    <w:rPr>
                      <w:rFonts w:hint="eastAsia"/>
                      <w:color w:val="auto"/>
                      <w:highlight w:val="none"/>
                      <w:lang w:eastAsia="zh-CN"/>
                    </w:rPr>
                    <w:t>西南面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1101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11</w:t>
                  </w:r>
                </w:p>
              </w:tc>
              <w:tc>
                <w:tcPr>
                  <w:tcW w:w="1745" w:type="dxa"/>
                  <w:vAlign w:val="center"/>
                </w:tcPr>
                <w:p>
                  <w:pPr>
                    <w:spacing w:line="360" w:lineRule="auto"/>
                    <w:jc w:val="center"/>
                    <w:rPr>
                      <w:color w:val="auto"/>
                      <w:szCs w:val="21"/>
                      <w:highlight w:val="none"/>
                    </w:rPr>
                  </w:pPr>
                  <w:r>
                    <w:rPr>
                      <w:rFonts w:hint="eastAsia"/>
                      <w:color w:val="auto"/>
                      <w:szCs w:val="21"/>
                      <w:highlight w:val="none"/>
                    </w:rPr>
                    <w:t>贝龙里</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-832</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1053</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800人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szCs w:val="21"/>
                      <w:highlight w:val="none"/>
                    </w:rPr>
                  </w:pPr>
                  <w:r>
                    <w:rPr>
                      <w:rFonts w:hint="eastAsia"/>
                      <w:color w:val="auto"/>
                      <w:szCs w:val="21"/>
                      <w:highlight w:val="none"/>
                    </w:rPr>
                    <w:t>西北面</w:t>
                  </w:r>
                </w:p>
              </w:tc>
              <w:tc>
                <w:tcPr>
                  <w:tcW w:w="997"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12</w:t>
                  </w:r>
                </w:p>
              </w:tc>
              <w:tc>
                <w:tcPr>
                  <w:tcW w:w="1745" w:type="dxa"/>
                  <w:vAlign w:val="center"/>
                </w:tcPr>
                <w:p>
                  <w:pPr>
                    <w:spacing w:line="360" w:lineRule="auto"/>
                    <w:jc w:val="center"/>
                    <w:rPr>
                      <w:color w:val="auto"/>
                      <w:szCs w:val="21"/>
                      <w:highlight w:val="none"/>
                    </w:rPr>
                  </w:pPr>
                  <w:r>
                    <w:rPr>
                      <w:rFonts w:hint="eastAsia"/>
                      <w:color w:val="auto"/>
                      <w:szCs w:val="21"/>
                      <w:highlight w:val="none"/>
                    </w:rPr>
                    <w:t>龙腾里</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-1770</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1584</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200人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szCs w:val="21"/>
                      <w:highlight w:val="none"/>
                    </w:rPr>
                  </w:pPr>
                  <w:r>
                    <w:rPr>
                      <w:rFonts w:hint="eastAsia"/>
                      <w:color w:val="auto"/>
                      <w:szCs w:val="21"/>
                      <w:highlight w:val="none"/>
                    </w:rPr>
                    <w:t>西北面</w:t>
                  </w:r>
                </w:p>
              </w:tc>
              <w:tc>
                <w:tcPr>
                  <w:tcW w:w="997"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2390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13</w:t>
                  </w:r>
                </w:p>
              </w:tc>
              <w:tc>
                <w:tcPr>
                  <w:tcW w:w="1745" w:type="dxa"/>
                  <w:vAlign w:val="center"/>
                </w:tcPr>
                <w:p>
                  <w:pPr>
                    <w:spacing w:line="360" w:lineRule="auto"/>
                    <w:jc w:val="center"/>
                    <w:rPr>
                      <w:color w:val="auto"/>
                      <w:szCs w:val="21"/>
                      <w:highlight w:val="none"/>
                    </w:rPr>
                  </w:pPr>
                  <w:r>
                    <w:rPr>
                      <w:rFonts w:hint="eastAsia"/>
                      <w:color w:val="auto"/>
                      <w:szCs w:val="21"/>
                      <w:highlight w:val="none"/>
                    </w:rPr>
                    <w:t>昆阳村</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-1593</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2380</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1200人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szCs w:val="21"/>
                      <w:highlight w:val="none"/>
                    </w:rPr>
                  </w:pPr>
                  <w:r>
                    <w:rPr>
                      <w:rFonts w:hint="eastAsia"/>
                      <w:color w:val="auto"/>
                      <w:szCs w:val="21"/>
                      <w:highlight w:val="none"/>
                    </w:rPr>
                    <w:t>西北面</w:t>
                  </w:r>
                </w:p>
              </w:tc>
              <w:tc>
                <w:tcPr>
                  <w:tcW w:w="997"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2833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14</w:t>
                  </w:r>
                </w:p>
              </w:tc>
              <w:tc>
                <w:tcPr>
                  <w:tcW w:w="1745" w:type="dxa"/>
                  <w:vAlign w:val="center"/>
                </w:tcPr>
                <w:p>
                  <w:pPr>
                    <w:spacing w:line="360" w:lineRule="auto"/>
                    <w:jc w:val="center"/>
                    <w:rPr>
                      <w:color w:val="auto"/>
                      <w:szCs w:val="21"/>
                      <w:highlight w:val="none"/>
                    </w:rPr>
                  </w:pPr>
                  <w:r>
                    <w:rPr>
                      <w:rFonts w:hint="eastAsia"/>
                      <w:color w:val="auto"/>
                      <w:szCs w:val="21"/>
                      <w:highlight w:val="none"/>
                    </w:rPr>
                    <w:t>东溪村</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-513</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2159</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600人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szCs w:val="21"/>
                      <w:highlight w:val="none"/>
                    </w:rPr>
                  </w:pPr>
                  <w:r>
                    <w:rPr>
                      <w:rFonts w:hint="eastAsia"/>
                      <w:color w:val="auto"/>
                      <w:szCs w:val="21"/>
                      <w:highlight w:val="none"/>
                      <w:lang w:eastAsia="zh-CN"/>
                    </w:rPr>
                    <w:t>西</w:t>
                  </w:r>
                  <w:r>
                    <w:rPr>
                      <w:rFonts w:hint="eastAsia"/>
                      <w:color w:val="auto"/>
                      <w:szCs w:val="21"/>
                      <w:highlight w:val="none"/>
                    </w:rPr>
                    <w:t>北面</w:t>
                  </w:r>
                </w:p>
              </w:tc>
              <w:tc>
                <w:tcPr>
                  <w:tcW w:w="997"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15</w:t>
                  </w:r>
                </w:p>
              </w:tc>
              <w:tc>
                <w:tcPr>
                  <w:tcW w:w="1745" w:type="dxa"/>
                  <w:vAlign w:val="center"/>
                </w:tcPr>
                <w:p>
                  <w:pPr>
                    <w:spacing w:line="360" w:lineRule="auto"/>
                    <w:jc w:val="center"/>
                    <w:rPr>
                      <w:color w:val="auto"/>
                      <w:szCs w:val="21"/>
                      <w:highlight w:val="none"/>
                    </w:rPr>
                  </w:pPr>
                  <w:r>
                    <w:rPr>
                      <w:rFonts w:hint="eastAsia"/>
                      <w:color w:val="auto"/>
                      <w:szCs w:val="21"/>
                      <w:highlight w:val="none"/>
                    </w:rPr>
                    <w:t>庆宁</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752</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1018</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500人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szCs w:val="21"/>
                      <w:highlight w:val="none"/>
                    </w:rPr>
                  </w:pPr>
                  <w:r>
                    <w:rPr>
                      <w:rFonts w:hint="eastAsia"/>
                      <w:color w:val="auto"/>
                      <w:szCs w:val="21"/>
                      <w:highlight w:val="none"/>
                    </w:rPr>
                    <w:t>东北面</w:t>
                  </w:r>
                </w:p>
              </w:tc>
              <w:tc>
                <w:tcPr>
                  <w:tcW w:w="997"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974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16</w:t>
                  </w:r>
                </w:p>
              </w:tc>
              <w:tc>
                <w:tcPr>
                  <w:tcW w:w="1745" w:type="dxa"/>
                  <w:vAlign w:val="center"/>
                </w:tcPr>
                <w:p>
                  <w:pPr>
                    <w:spacing w:line="360" w:lineRule="auto"/>
                    <w:jc w:val="center"/>
                    <w:rPr>
                      <w:color w:val="auto"/>
                      <w:szCs w:val="21"/>
                      <w:highlight w:val="none"/>
                    </w:rPr>
                  </w:pPr>
                  <w:r>
                    <w:rPr>
                      <w:rFonts w:hint="eastAsia"/>
                      <w:color w:val="auto"/>
                      <w:szCs w:val="21"/>
                      <w:highlight w:val="none"/>
                    </w:rPr>
                    <w:t>唐联村</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1832</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1407</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800人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szCs w:val="21"/>
                      <w:highlight w:val="none"/>
                    </w:rPr>
                  </w:pPr>
                  <w:r>
                    <w:rPr>
                      <w:rFonts w:hint="eastAsia"/>
                      <w:color w:val="auto"/>
                      <w:szCs w:val="21"/>
                      <w:highlight w:val="none"/>
                    </w:rPr>
                    <w:t>东北面</w:t>
                  </w:r>
                </w:p>
              </w:tc>
              <w:tc>
                <w:tcPr>
                  <w:tcW w:w="997"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hint="default"/>
                      <w:color w:val="auto"/>
                      <w:szCs w:val="21"/>
                      <w:highlight w:val="none"/>
                      <w:lang w:val="en-US" w:eastAsia="zh-CN"/>
                    </w:rPr>
                  </w:pPr>
                  <w:r>
                    <w:rPr>
                      <w:rFonts w:hint="eastAsia"/>
                      <w:color w:val="auto"/>
                      <w:szCs w:val="21"/>
                      <w:highlight w:val="none"/>
                      <w:lang w:val="en-US" w:eastAsia="zh-CN"/>
                    </w:rPr>
                    <w:t>17</w:t>
                  </w:r>
                </w:p>
              </w:tc>
              <w:tc>
                <w:tcPr>
                  <w:tcW w:w="1745" w:type="dxa"/>
                  <w:vAlign w:val="center"/>
                </w:tcPr>
                <w:p>
                  <w:pPr>
                    <w:spacing w:line="360" w:lineRule="auto"/>
                    <w:jc w:val="center"/>
                    <w:rPr>
                      <w:rFonts w:hint="eastAsia" w:eastAsia="宋体"/>
                      <w:color w:val="auto"/>
                      <w:szCs w:val="21"/>
                      <w:highlight w:val="none"/>
                      <w:lang w:eastAsia="zh-CN"/>
                    </w:rPr>
                  </w:pPr>
                  <w:r>
                    <w:rPr>
                      <w:rFonts w:hint="eastAsia"/>
                      <w:color w:val="auto"/>
                      <w:szCs w:val="21"/>
                      <w:highlight w:val="none"/>
                      <w:lang w:eastAsia="zh-CN"/>
                    </w:rPr>
                    <w:t>潭江</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-168</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1469</w:t>
                  </w:r>
                </w:p>
              </w:tc>
              <w:tc>
                <w:tcPr>
                  <w:tcW w:w="942" w:type="dxa"/>
                  <w:vAlign w:val="center"/>
                </w:tcPr>
                <w:p>
                  <w:pPr>
                    <w:widowControl w:val="0"/>
                    <w:spacing w:after="0" w:line="360" w:lineRule="auto"/>
                    <w:jc w:val="center"/>
                    <w:rPr>
                      <w:color w:val="auto"/>
                      <w:szCs w:val="21"/>
                      <w:highlight w:val="none"/>
                    </w:rPr>
                  </w:pPr>
                  <w:r>
                    <w:rPr>
                      <w:rFonts w:hint="eastAsia" w:ascii="Times New Roman" w:hAnsi="Times New Roman" w:eastAsia="宋体" w:cs="Times New Roman"/>
                      <w:color w:val="auto"/>
                      <w:kern w:val="2"/>
                      <w:sz w:val="21"/>
                      <w:szCs w:val="21"/>
                      <w:highlight w:val="none"/>
                      <w:lang w:eastAsia="zh-CN"/>
                    </w:rPr>
                    <w:t>河流</w:t>
                  </w:r>
                </w:p>
              </w:tc>
              <w:tc>
                <w:tcPr>
                  <w:tcW w:w="1149" w:type="dxa"/>
                  <w:vAlign w:val="center"/>
                </w:tcPr>
                <w:p>
                  <w:pPr>
                    <w:widowControl w:val="0"/>
                    <w:spacing w:after="0" w:line="360" w:lineRule="auto"/>
                    <w:jc w:val="center"/>
                    <w:rPr>
                      <w:rFonts w:hint="eastAsia"/>
                      <w:color w:val="auto"/>
                      <w:szCs w:val="21"/>
                      <w:highlight w:val="none"/>
                      <w:lang w:eastAsia="zh-CN"/>
                    </w:rPr>
                  </w:pPr>
                  <w:r>
                    <w:rPr>
                      <w:rFonts w:hint="eastAsia" w:cs="Times New Roman"/>
                      <w:color w:val="auto"/>
                      <w:kern w:val="2"/>
                      <w:sz w:val="21"/>
                      <w:szCs w:val="21"/>
                      <w:highlight w:val="none"/>
                      <w:lang w:eastAsia="zh-CN"/>
                    </w:rPr>
                    <w:t>——</w:t>
                  </w:r>
                </w:p>
              </w:tc>
              <w:tc>
                <w:tcPr>
                  <w:tcW w:w="1290" w:type="dxa"/>
                  <w:vAlign w:val="center"/>
                </w:tcPr>
                <w:p>
                  <w:pPr>
                    <w:widowControl w:val="0"/>
                    <w:spacing w:after="0" w:line="240" w:lineRule="auto"/>
                    <w:jc w:val="center"/>
                    <w:rPr>
                      <w:color w:val="auto"/>
                      <w:szCs w:val="21"/>
                      <w:highlight w:val="none"/>
                    </w:rPr>
                  </w:pPr>
                  <w:r>
                    <w:rPr>
                      <w:rFonts w:hint="eastAsia" w:ascii="Times New Roman" w:hAnsi="Times New Roman" w:eastAsia="宋体" w:cs="Times New Roman"/>
                      <w:color w:val="auto"/>
                      <w:kern w:val="2"/>
                      <w:sz w:val="21"/>
                      <w:szCs w:val="21"/>
                      <w:highlight w:val="none"/>
                    </w:rPr>
                    <w:t>《地表水环境质量标准》</w:t>
                  </w:r>
                  <w:r>
                    <w:rPr>
                      <w:rFonts w:hint="eastAsia" w:ascii="Times New Roman" w:hAnsi="Times New Roman" w:eastAsia="宋体" w:cs="Times New Roman"/>
                      <w:color w:val="auto"/>
                      <w:kern w:val="2"/>
                      <w:sz w:val="21"/>
                      <w:szCs w:val="21"/>
                      <w:highlight w:val="none"/>
                      <w:lang w:eastAsia="zh-CN"/>
                    </w:rPr>
                    <w:t>地表水功能</w:t>
                  </w:r>
                  <w:r>
                    <w:rPr>
                      <w:rFonts w:hint="default" w:ascii="Times New Roman" w:hAnsi="Times New Roman" w:cs="Times New Roman"/>
                      <w:color w:val="auto"/>
                      <w:sz w:val="21"/>
                      <w:szCs w:val="21"/>
                      <w:highlight w:val="none"/>
                      <w:shd w:val="clear" w:color="auto" w:fill="auto"/>
                    </w:rPr>
                    <w:t>Ⅱ类</w:t>
                  </w:r>
                  <w:r>
                    <w:rPr>
                      <w:rFonts w:hint="eastAsia" w:ascii="Times New Roman" w:hAnsi="Times New Roman" w:cs="Times New Roman"/>
                      <w:color w:val="auto"/>
                      <w:sz w:val="21"/>
                      <w:szCs w:val="21"/>
                      <w:highlight w:val="none"/>
                      <w:shd w:val="clear" w:color="auto" w:fill="auto"/>
                      <w:lang w:eastAsia="zh-CN"/>
                    </w:rPr>
                    <w:t>区</w:t>
                  </w:r>
                </w:p>
              </w:tc>
              <w:tc>
                <w:tcPr>
                  <w:tcW w:w="990" w:type="dxa"/>
                  <w:vAlign w:val="center"/>
                </w:tcPr>
                <w:p>
                  <w:pPr>
                    <w:widowControl w:val="0"/>
                    <w:spacing w:after="0" w:line="360" w:lineRule="auto"/>
                    <w:jc w:val="center"/>
                    <w:rPr>
                      <w:rFonts w:hint="eastAsia"/>
                      <w:color w:val="auto"/>
                      <w:szCs w:val="21"/>
                      <w:highlight w:val="none"/>
                    </w:rPr>
                  </w:pPr>
                  <w:r>
                    <w:rPr>
                      <w:rFonts w:hint="eastAsia" w:cs="Times New Roman"/>
                      <w:color w:val="auto"/>
                      <w:kern w:val="2"/>
                      <w:sz w:val="21"/>
                      <w:szCs w:val="21"/>
                      <w:highlight w:val="none"/>
                      <w:lang w:eastAsia="zh-CN"/>
                    </w:rPr>
                    <w:t>南面</w:t>
                  </w:r>
                </w:p>
              </w:tc>
              <w:tc>
                <w:tcPr>
                  <w:tcW w:w="997" w:type="dxa"/>
                  <w:vAlign w:val="center"/>
                </w:tcPr>
                <w:p>
                  <w:pPr>
                    <w:widowControl w:val="0"/>
                    <w:spacing w:after="0" w:line="360" w:lineRule="auto"/>
                    <w:jc w:val="center"/>
                    <w:rPr>
                      <w:rFonts w:hint="default"/>
                      <w:color w:val="auto"/>
                      <w:szCs w:val="21"/>
                      <w:highlight w:val="none"/>
                      <w:lang w:val="en-US" w:eastAsia="zh-CN"/>
                    </w:rPr>
                  </w:pPr>
                  <w:r>
                    <w:rPr>
                      <w:rFonts w:hint="eastAsia" w:cs="Times New Roman"/>
                      <w:color w:val="auto"/>
                      <w:kern w:val="2"/>
                      <w:sz w:val="21"/>
                      <w:szCs w:val="21"/>
                      <w:highlight w:val="none"/>
                      <w:lang w:val="en-US" w:eastAsia="zh-CN"/>
                    </w:rPr>
                    <w:t>1287</w:t>
                  </w:r>
                </w:p>
              </w:tc>
            </w:tr>
          </w:tbl>
          <w:p>
            <w:pPr>
              <w:adjustRightInd w:val="0"/>
              <w:snapToGrid w:val="0"/>
              <w:ind w:firstLine="480" w:firstLineChars="200"/>
              <w:rPr>
                <w:color w:val="auto"/>
                <w:sz w:val="24"/>
                <w:highlight w:val="none"/>
              </w:rPr>
            </w:pPr>
          </w:p>
        </w:tc>
      </w:tr>
    </w:tbl>
    <w:p>
      <w:pPr>
        <w:pStyle w:val="38"/>
        <w:jc w:val="left"/>
        <w:rPr>
          <w:rFonts w:ascii="Times New Roman" w:hAnsi="Times New Roman"/>
          <w:color w:val="auto"/>
          <w:highlight w:val="none"/>
        </w:rPr>
      </w:pPr>
      <w:r>
        <w:rPr>
          <w:rFonts w:hint="eastAsia" w:ascii="Times New Roman" w:hAnsi="Times New Roman"/>
          <w:color w:val="auto"/>
          <w:highlight w:val="none"/>
        </w:rPr>
        <w:t>评价适用标准</w:t>
      </w:r>
    </w:p>
    <w:tbl>
      <w:tblPr>
        <w:tblStyle w:val="40"/>
        <w:tblW w:w="952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813"/>
        <w:gridCol w:w="871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1918" w:hRule="atLeast"/>
        </w:trPr>
        <w:tc>
          <w:tcPr>
            <w:tcW w:w="813" w:type="dxa"/>
            <w:textDirection w:val="tbRlV"/>
            <w:vAlign w:val="center"/>
          </w:tcPr>
          <w:p>
            <w:pPr>
              <w:pStyle w:val="54"/>
              <w:topLinePunct w:val="0"/>
              <w:autoSpaceDE/>
              <w:autoSpaceDN/>
              <w:adjustRightInd/>
              <w:spacing w:before="120" w:line="360" w:lineRule="auto"/>
              <w:ind w:left="113" w:right="113"/>
              <w:textAlignment w:val="auto"/>
              <w:rPr>
                <w:rFonts w:ascii="Times New Roman" w:hAnsi="Times New Roman"/>
                <w:color w:val="auto"/>
                <w:kern w:val="2"/>
                <w:highlight w:val="none"/>
              </w:rPr>
            </w:pPr>
            <w:r>
              <w:rPr>
                <w:rFonts w:hint="eastAsia" w:ascii="Times New Roman" w:hAnsi="Times New Roman"/>
                <w:color w:val="auto"/>
                <w:kern w:val="2"/>
                <w:highlight w:val="none"/>
              </w:rPr>
              <w:t>环  境  质  量  标  准</w:t>
            </w:r>
          </w:p>
        </w:tc>
        <w:tc>
          <w:tcPr>
            <w:tcW w:w="8715" w:type="dxa"/>
            <w:vAlign w:val="center"/>
          </w:tcPr>
          <w:p>
            <w:pPr>
              <w:pStyle w:val="29"/>
              <w:numPr>
                <w:ilvl w:val="0"/>
                <w:numId w:val="7"/>
              </w:numPr>
              <w:spacing w:line="360" w:lineRule="auto"/>
              <w:ind w:firstLine="0"/>
              <w:rPr>
                <w:color w:val="auto"/>
                <w:szCs w:val="24"/>
                <w:highlight w:val="none"/>
              </w:rPr>
            </w:pPr>
            <w:r>
              <w:rPr>
                <w:rFonts w:hint="eastAsia"/>
                <w:color w:val="auto"/>
                <w:szCs w:val="24"/>
                <w:highlight w:val="none"/>
              </w:rPr>
              <w:t>《地表水环境质量标准》</w:t>
            </w:r>
            <w:r>
              <w:rPr>
                <w:color w:val="auto"/>
                <w:szCs w:val="24"/>
                <w:highlight w:val="none"/>
              </w:rPr>
              <w:t>(</w:t>
            </w:r>
            <w:r>
              <w:rPr>
                <w:rFonts w:hint="eastAsia"/>
                <w:color w:val="auto"/>
                <w:szCs w:val="24"/>
                <w:highlight w:val="none"/>
              </w:rPr>
              <w:t>GB3838-2002</w:t>
            </w:r>
            <w:r>
              <w:rPr>
                <w:color w:val="auto"/>
                <w:szCs w:val="24"/>
                <w:highlight w:val="none"/>
              </w:rPr>
              <w:t>)</w:t>
            </w:r>
            <w:r>
              <w:rPr>
                <w:color w:val="auto"/>
                <w:highlight w:val="none"/>
              </w:rPr>
              <w:t xml:space="preserve"> </w:t>
            </w:r>
            <w:r>
              <w:rPr>
                <w:rFonts w:hint="eastAsia"/>
                <w:color w:val="auto"/>
                <w:highlight w:val="none"/>
              </w:rPr>
              <w:t>Ⅱ类</w:t>
            </w:r>
            <w:r>
              <w:rPr>
                <w:rFonts w:hint="eastAsia"/>
                <w:color w:val="auto"/>
                <w:szCs w:val="24"/>
                <w:highlight w:val="none"/>
              </w:rPr>
              <w:t>水质标准；</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hint="eastAsia" w:eastAsia="宋体" w:cs="Times New Roman"/>
                <w:b/>
                <w:color w:val="auto"/>
                <w:sz w:val="21"/>
                <w:szCs w:val="21"/>
                <w:highlight w:val="none"/>
              </w:rPr>
              <w:t>地表水环境质量标准（摘录）     单位：mg/L</w:t>
            </w:r>
          </w:p>
          <w:tbl>
            <w:tblPr>
              <w:tblStyle w:val="40"/>
              <w:tblW w:w="8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1"/>
              <w:gridCol w:w="838"/>
              <w:gridCol w:w="849"/>
              <w:gridCol w:w="1017"/>
              <w:gridCol w:w="941"/>
              <w:gridCol w:w="983"/>
              <w:gridCol w:w="834"/>
              <w:gridCol w:w="861"/>
              <w:gridCol w:w="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1" w:type="dxa"/>
                  <w:vAlign w:val="center"/>
                </w:tcPr>
                <w:p>
                  <w:pPr>
                    <w:spacing w:line="360" w:lineRule="auto"/>
                    <w:jc w:val="center"/>
                    <w:rPr>
                      <w:b/>
                      <w:color w:val="auto"/>
                      <w:szCs w:val="21"/>
                      <w:highlight w:val="none"/>
                    </w:rPr>
                  </w:pPr>
                  <w:r>
                    <w:rPr>
                      <w:rFonts w:hAnsi="宋体"/>
                      <w:b/>
                      <w:color w:val="auto"/>
                      <w:szCs w:val="21"/>
                      <w:highlight w:val="none"/>
                    </w:rPr>
                    <w:t>类别</w:t>
                  </w:r>
                </w:p>
              </w:tc>
              <w:tc>
                <w:tcPr>
                  <w:tcW w:w="838" w:type="dxa"/>
                  <w:vAlign w:val="center"/>
                </w:tcPr>
                <w:p>
                  <w:pPr>
                    <w:spacing w:line="360" w:lineRule="auto"/>
                    <w:jc w:val="center"/>
                    <w:rPr>
                      <w:rFonts w:ascii="宋体" w:hAnsi="宋体"/>
                      <w:b/>
                      <w:color w:val="auto"/>
                      <w:szCs w:val="21"/>
                      <w:highlight w:val="none"/>
                    </w:rPr>
                  </w:pPr>
                  <w:r>
                    <w:rPr>
                      <w:rFonts w:hint="eastAsia" w:ascii="宋体" w:hAnsi="宋体"/>
                      <w:b/>
                      <w:color w:val="auto"/>
                      <w:szCs w:val="21"/>
                      <w:highlight w:val="none"/>
                    </w:rPr>
                    <w:t>pH</w:t>
                  </w:r>
                </w:p>
              </w:tc>
              <w:tc>
                <w:tcPr>
                  <w:tcW w:w="849" w:type="dxa"/>
                  <w:vAlign w:val="center"/>
                </w:tcPr>
                <w:p>
                  <w:pPr>
                    <w:spacing w:line="360" w:lineRule="auto"/>
                    <w:jc w:val="center"/>
                    <w:rPr>
                      <w:rFonts w:ascii="宋体" w:hAnsi="宋体"/>
                      <w:b/>
                      <w:color w:val="auto"/>
                      <w:szCs w:val="21"/>
                      <w:highlight w:val="none"/>
                    </w:rPr>
                  </w:pPr>
                  <w:r>
                    <w:rPr>
                      <w:rFonts w:hint="eastAsia" w:ascii="宋体" w:hAnsi="宋体"/>
                      <w:b/>
                      <w:color w:val="auto"/>
                      <w:szCs w:val="21"/>
                      <w:highlight w:val="none"/>
                    </w:rPr>
                    <w:t>COD</w:t>
                  </w:r>
                  <w:r>
                    <w:rPr>
                      <w:rFonts w:hint="eastAsia" w:ascii="宋体" w:hAnsi="宋体"/>
                      <w:b/>
                      <w:color w:val="auto"/>
                      <w:szCs w:val="21"/>
                      <w:highlight w:val="none"/>
                      <w:vertAlign w:val="subscript"/>
                    </w:rPr>
                    <w:t>Cr</w:t>
                  </w:r>
                </w:p>
              </w:tc>
              <w:tc>
                <w:tcPr>
                  <w:tcW w:w="1017" w:type="dxa"/>
                  <w:vAlign w:val="center"/>
                </w:tcPr>
                <w:p>
                  <w:pPr>
                    <w:spacing w:line="360" w:lineRule="auto"/>
                    <w:jc w:val="center"/>
                    <w:rPr>
                      <w:rFonts w:ascii="宋体" w:hAnsi="宋体"/>
                      <w:b/>
                      <w:color w:val="auto"/>
                      <w:szCs w:val="21"/>
                      <w:highlight w:val="none"/>
                    </w:rPr>
                  </w:pPr>
                  <w:r>
                    <w:rPr>
                      <w:rFonts w:hint="eastAsia" w:ascii="宋体" w:hAnsi="宋体"/>
                      <w:b/>
                      <w:color w:val="auto"/>
                      <w:szCs w:val="21"/>
                      <w:highlight w:val="none"/>
                    </w:rPr>
                    <w:t>BOD</w:t>
                  </w:r>
                  <w:r>
                    <w:rPr>
                      <w:rFonts w:hint="eastAsia" w:ascii="宋体" w:hAnsi="宋体"/>
                      <w:b/>
                      <w:color w:val="auto"/>
                      <w:szCs w:val="21"/>
                      <w:highlight w:val="none"/>
                      <w:vertAlign w:val="subscript"/>
                    </w:rPr>
                    <w:t>5</w:t>
                  </w:r>
                </w:p>
              </w:tc>
              <w:tc>
                <w:tcPr>
                  <w:tcW w:w="941" w:type="dxa"/>
                  <w:vAlign w:val="center"/>
                </w:tcPr>
                <w:p>
                  <w:pPr>
                    <w:spacing w:line="360" w:lineRule="auto"/>
                    <w:jc w:val="center"/>
                    <w:rPr>
                      <w:rFonts w:ascii="宋体" w:hAnsi="宋体"/>
                      <w:b/>
                      <w:color w:val="auto"/>
                      <w:szCs w:val="21"/>
                      <w:highlight w:val="none"/>
                    </w:rPr>
                  </w:pPr>
                  <w:r>
                    <w:rPr>
                      <w:rFonts w:hint="eastAsia" w:ascii="宋体" w:hAnsi="宋体"/>
                      <w:b/>
                      <w:color w:val="auto"/>
                      <w:szCs w:val="21"/>
                      <w:highlight w:val="none"/>
                    </w:rPr>
                    <w:t>DO</w:t>
                  </w:r>
                </w:p>
              </w:tc>
              <w:tc>
                <w:tcPr>
                  <w:tcW w:w="983" w:type="dxa"/>
                  <w:vAlign w:val="center"/>
                </w:tcPr>
                <w:p>
                  <w:pPr>
                    <w:spacing w:line="360" w:lineRule="auto"/>
                    <w:jc w:val="center"/>
                    <w:rPr>
                      <w:rFonts w:ascii="宋体" w:hAnsi="宋体"/>
                      <w:b/>
                      <w:color w:val="auto"/>
                      <w:szCs w:val="21"/>
                      <w:highlight w:val="none"/>
                    </w:rPr>
                  </w:pPr>
                  <w:r>
                    <w:rPr>
                      <w:rFonts w:hint="eastAsia" w:ascii="宋体" w:hAnsi="宋体"/>
                      <w:b/>
                      <w:color w:val="auto"/>
                      <w:szCs w:val="21"/>
                      <w:highlight w:val="none"/>
                    </w:rPr>
                    <w:t>NH</w:t>
                  </w:r>
                  <w:r>
                    <w:rPr>
                      <w:rFonts w:hint="eastAsia" w:ascii="宋体" w:hAnsi="宋体"/>
                      <w:b/>
                      <w:color w:val="auto"/>
                      <w:szCs w:val="21"/>
                      <w:highlight w:val="none"/>
                      <w:vertAlign w:val="subscript"/>
                    </w:rPr>
                    <w:t>3</w:t>
                  </w:r>
                  <w:r>
                    <w:rPr>
                      <w:rFonts w:hint="eastAsia" w:ascii="宋体" w:hAnsi="宋体"/>
                      <w:b/>
                      <w:color w:val="auto"/>
                      <w:szCs w:val="21"/>
                      <w:highlight w:val="none"/>
                    </w:rPr>
                    <w:t>-N</w:t>
                  </w:r>
                </w:p>
              </w:tc>
              <w:tc>
                <w:tcPr>
                  <w:tcW w:w="834" w:type="dxa"/>
                  <w:vAlign w:val="center"/>
                </w:tcPr>
                <w:p>
                  <w:pPr>
                    <w:spacing w:line="360" w:lineRule="auto"/>
                    <w:jc w:val="center"/>
                    <w:rPr>
                      <w:rFonts w:ascii="宋体" w:hAnsi="宋体"/>
                      <w:b/>
                      <w:color w:val="auto"/>
                      <w:szCs w:val="21"/>
                      <w:highlight w:val="none"/>
                    </w:rPr>
                  </w:pPr>
                  <w:r>
                    <w:rPr>
                      <w:rFonts w:hint="eastAsia" w:ascii="宋体" w:hAnsi="宋体"/>
                      <w:b/>
                      <w:color w:val="auto"/>
                      <w:szCs w:val="21"/>
                      <w:highlight w:val="none"/>
                    </w:rPr>
                    <w:t>总磷</w:t>
                  </w:r>
                </w:p>
              </w:tc>
              <w:tc>
                <w:tcPr>
                  <w:tcW w:w="861" w:type="dxa"/>
                  <w:vAlign w:val="center"/>
                </w:tcPr>
                <w:p>
                  <w:pPr>
                    <w:spacing w:line="360" w:lineRule="auto"/>
                    <w:jc w:val="center"/>
                    <w:rPr>
                      <w:rFonts w:ascii="宋体" w:hAnsi="宋体"/>
                      <w:b/>
                      <w:color w:val="auto"/>
                      <w:szCs w:val="21"/>
                      <w:highlight w:val="none"/>
                    </w:rPr>
                  </w:pPr>
                  <w:r>
                    <w:rPr>
                      <w:rFonts w:hint="eastAsia" w:ascii="宋体" w:hAnsi="宋体"/>
                      <w:b/>
                      <w:color w:val="auto"/>
                      <w:szCs w:val="21"/>
                      <w:highlight w:val="none"/>
                    </w:rPr>
                    <w:t>LAS</w:t>
                  </w:r>
                </w:p>
              </w:tc>
              <w:tc>
                <w:tcPr>
                  <w:tcW w:w="856" w:type="dxa"/>
                  <w:vAlign w:val="center"/>
                </w:tcPr>
                <w:p>
                  <w:pPr>
                    <w:spacing w:line="360" w:lineRule="auto"/>
                    <w:jc w:val="center"/>
                    <w:rPr>
                      <w:rFonts w:ascii="宋体" w:hAnsi="宋体"/>
                      <w:b/>
                      <w:color w:val="auto"/>
                      <w:szCs w:val="21"/>
                      <w:highlight w:val="none"/>
                    </w:rPr>
                  </w:pPr>
                  <w:r>
                    <w:rPr>
                      <w:rFonts w:hint="eastAsia" w:ascii="宋体" w:hAnsi="宋体"/>
                      <w:b/>
                      <w:color w:val="auto"/>
                      <w:szCs w:val="21"/>
                      <w:highlight w:val="none"/>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1" w:type="dxa"/>
                  <w:vAlign w:val="center"/>
                </w:tcPr>
                <w:p>
                  <w:pPr>
                    <w:jc w:val="center"/>
                    <w:rPr>
                      <w:b/>
                      <w:color w:val="auto"/>
                      <w:szCs w:val="21"/>
                      <w:highlight w:val="none"/>
                    </w:rPr>
                  </w:pPr>
                  <w:r>
                    <w:rPr>
                      <w:rFonts w:hint="eastAsia"/>
                      <w:b/>
                      <w:color w:val="auto"/>
                      <w:szCs w:val="21"/>
                      <w:highlight w:val="none"/>
                    </w:rPr>
                    <w:t>Ⅱ</w:t>
                  </w:r>
                  <w:r>
                    <w:rPr>
                      <w:rFonts w:hint="eastAsia" w:ascii="宋体" w:hAnsi="宋体"/>
                      <w:b/>
                      <w:color w:val="auto"/>
                      <w:szCs w:val="21"/>
                      <w:highlight w:val="none"/>
                    </w:rPr>
                    <w:t>类标准</w:t>
                  </w:r>
                </w:p>
              </w:tc>
              <w:tc>
                <w:tcPr>
                  <w:tcW w:w="838" w:type="dxa"/>
                  <w:vAlign w:val="center"/>
                </w:tcPr>
                <w:p>
                  <w:pPr>
                    <w:jc w:val="center"/>
                    <w:rPr>
                      <w:color w:val="auto"/>
                      <w:szCs w:val="21"/>
                      <w:highlight w:val="none"/>
                    </w:rPr>
                  </w:pPr>
                  <w:r>
                    <w:rPr>
                      <w:color w:val="auto"/>
                      <w:szCs w:val="21"/>
                      <w:highlight w:val="none"/>
                    </w:rPr>
                    <w:t>6-9</w:t>
                  </w:r>
                </w:p>
              </w:tc>
              <w:tc>
                <w:tcPr>
                  <w:tcW w:w="849" w:type="dxa"/>
                  <w:vAlign w:val="center"/>
                </w:tcPr>
                <w:p>
                  <w:pPr>
                    <w:jc w:val="center"/>
                    <w:rPr>
                      <w:color w:val="auto"/>
                      <w:szCs w:val="21"/>
                      <w:highlight w:val="none"/>
                    </w:rPr>
                  </w:pPr>
                  <w:r>
                    <w:rPr>
                      <w:color w:val="auto"/>
                      <w:szCs w:val="21"/>
                      <w:highlight w:val="none"/>
                    </w:rPr>
                    <w:t>≤</w:t>
                  </w:r>
                  <w:r>
                    <w:rPr>
                      <w:rFonts w:hint="eastAsia"/>
                      <w:color w:val="auto"/>
                      <w:szCs w:val="21"/>
                      <w:highlight w:val="none"/>
                    </w:rPr>
                    <w:t>15</w:t>
                  </w:r>
                </w:p>
              </w:tc>
              <w:tc>
                <w:tcPr>
                  <w:tcW w:w="1017" w:type="dxa"/>
                  <w:vAlign w:val="center"/>
                </w:tcPr>
                <w:p>
                  <w:pPr>
                    <w:jc w:val="center"/>
                    <w:rPr>
                      <w:color w:val="auto"/>
                      <w:szCs w:val="21"/>
                      <w:highlight w:val="none"/>
                    </w:rPr>
                  </w:pPr>
                  <w:r>
                    <w:rPr>
                      <w:color w:val="auto"/>
                      <w:szCs w:val="21"/>
                      <w:highlight w:val="none"/>
                    </w:rPr>
                    <w:t>≤</w:t>
                  </w:r>
                  <w:r>
                    <w:rPr>
                      <w:rFonts w:hint="eastAsia"/>
                      <w:color w:val="auto"/>
                      <w:szCs w:val="21"/>
                      <w:highlight w:val="none"/>
                    </w:rPr>
                    <w:t>3</w:t>
                  </w:r>
                </w:p>
              </w:tc>
              <w:tc>
                <w:tcPr>
                  <w:tcW w:w="941" w:type="dxa"/>
                  <w:vAlign w:val="center"/>
                </w:tcPr>
                <w:p>
                  <w:pPr>
                    <w:jc w:val="center"/>
                    <w:rPr>
                      <w:color w:val="auto"/>
                      <w:szCs w:val="21"/>
                      <w:highlight w:val="none"/>
                    </w:rPr>
                  </w:pPr>
                  <w:r>
                    <w:rPr>
                      <w:color w:val="auto"/>
                      <w:szCs w:val="21"/>
                      <w:highlight w:val="none"/>
                    </w:rPr>
                    <w:t>≥</w:t>
                  </w:r>
                  <w:r>
                    <w:rPr>
                      <w:rFonts w:hint="eastAsia"/>
                      <w:color w:val="auto"/>
                      <w:szCs w:val="21"/>
                      <w:highlight w:val="none"/>
                    </w:rPr>
                    <w:t>6</w:t>
                  </w:r>
                </w:p>
              </w:tc>
              <w:tc>
                <w:tcPr>
                  <w:tcW w:w="983" w:type="dxa"/>
                  <w:vAlign w:val="center"/>
                </w:tcPr>
                <w:p>
                  <w:pPr>
                    <w:jc w:val="center"/>
                    <w:rPr>
                      <w:color w:val="auto"/>
                      <w:szCs w:val="21"/>
                      <w:highlight w:val="none"/>
                    </w:rPr>
                  </w:pPr>
                  <w:r>
                    <w:rPr>
                      <w:color w:val="auto"/>
                      <w:szCs w:val="21"/>
                      <w:highlight w:val="none"/>
                    </w:rPr>
                    <w:t>≤</w:t>
                  </w:r>
                  <w:r>
                    <w:rPr>
                      <w:rFonts w:hint="eastAsia"/>
                      <w:color w:val="auto"/>
                      <w:szCs w:val="21"/>
                      <w:highlight w:val="none"/>
                    </w:rPr>
                    <w:t>0.5</w:t>
                  </w:r>
                </w:p>
              </w:tc>
              <w:tc>
                <w:tcPr>
                  <w:tcW w:w="834" w:type="dxa"/>
                  <w:vAlign w:val="center"/>
                </w:tcPr>
                <w:p>
                  <w:pPr>
                    <w:jc w:val="center"/>
                    <w:rPr>
                      <w:color w:val="auto"/>
                      <w:szCs w:val="21"/>
                      <w:highlight w:val="none"/>
                    </w:rPr>
                  </w:pPr>
                  <w:r>
                    <w:rPr>
                      <w:color w:val="auto"/>
                      <w:szCs w:val="21"/>
                      <w:highlight w:val="none"/>
                    </w:rPr>
                    <w:t>≤</w:t>
                  </w:r>
                  <w:r>
                    <w:rPr>
                      <w:rFonts w:hint="eastAsia"/>
                      <w:color w:val="auto"/>
                      <w:szCs w:val="21"/>
                      <w:highlight w:val="none"/>
                    </w:rPr>
                    <w:t>0.1</w:t>
                  </w:r>
                </w:p>
              </w:tc>
              <w:tc>
                <w:tcPr>
                  <w:tcW w:w="861" w:type="dxa"/>
                  <w:vAlign w:val="center"/>
                </w:tcPr>
                <w:p>
                  <w:pPr>
                    <w:jc w:val="center"/>
                    <w:rPr>
                      <w:color w:val="auto"/>
                      <w:szCs w:val="21"/>
                      <w:highlight w:val="none"/>
                    </w:rPr>
                  </w:pPr>
                  <w:r>
                    <w:rPr>
                      <w:rFonts w:hint="eastAsia"/>
                      <w:color w:val="auto"/>
                      <w:szCs w:val="21"/>
                      <w:highlight w:val="none"/>
                    </w:rPr>
                    <w:t>≤0.2</w:t>
                  </w:r>
                </w:p>
              </w:tc>
              <w:tc>
                <w:tcPr>
                  <w:tcW w:w="856" w:type="dxa"/>
                  <w:vAlign w:val="center"/>
                </w:tcPr>
                <w:p>
                  <w:pPr>
                    <w:jc w:val="center"/>
                    <w:rPr>
                      <w:color w:val="auto"/>
                      <w:szCs w:val="21"/>
                      <w:highlight w:val="none"/>
                    </w:rPr>
                  </w:pPr>
                  <w:r>
                    <w:rPr>
                      <w:rFonts w:hint="eastAsia"/>
                      <w:color w:val="auto"/>
                      <w:szCs w:val="21"/>
                      <w:highlight w:val="none"/>
                    </w:rPr>
                    <w:t>≤0.05</w:t>
                  </w:r>
                </w:p>
              </w:tc>
            </w:tr>
          </w:tbl>
          <w:p>
            <w:pPr>
              <w:pStyle w:val="29"/>
              <w:numPr>
                <w:ilvl w:val="0"/>
                <w:numId w:val="7"/>
              </w:numPr>
              <w:spacing w:line="360" w:lineRule="auto"/>
              <w:ind w:firstLine="0"/>
              <w:rPr>
                <w:color w:val="auto"/>
                <w:szCs w:val="24"/>
                <w:highlight w:val="none"/>
              </w:rPr>
            </w:pPr>
            <w:r>
              <w:rPr>
                <w:rFonts w:hint="eastAsia"/>
                <w:color w:val="auto"/>
                <w:szCs w:val="24"/>
                <w:highlight w:val="none"/>
              </w:rPr>
              <w:t>《环境空气质量标准》（GB3095-2012）及”2018修改单”二级标准；</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 xml:space="preserve">环境空气质量标准 （摘录）   </w:t>
            </w:r>
          </w:p>
          <w:tbl>
            <w:tblPr>
              <w:tblStyle w:val="40"/>
              <w:tblW w:w="8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5"/>
              <w:gridCol w:w="2115"/>
              <w:gridCol w:w="2130"/>
              <w:gridCol w:w="1500"/>
              <w:gridCol w:w="16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tcBorders>
                    <w:tl2br w:val="nil"/>
                    <w:tr2bl w:val="nil"/>
                  </w:tcBorders>
                  <w:vAlign w:val="center"/>
                </w:tcPr>
                <w:p>
                  <w:pPr>
                    <w:spacing w:line="288" w:lineRule="auto"/>
                    <w:jc w:val="center"/>
                    <w:rPr>
                      <w:color w:val="auto"/>
                      <w:szCs w:val="21"/>
                      <w:highlight w:val="none"/>
                    </w:rPr>
                  </w:pPr>
                  <w:r>
                    <w:rPr>
                      <w:rFonts w:eastAsia="Times New Roman"/>
                      <w:b/>
                      <w:bCs/>
                      <w:color w:val="auto"/>
                      <w:szCs w:val="21"/>
                      <w:highlight w:val="none"/>
                    </w:rPr>
                    <w:t>序号</w:t>
                  </w:r>
                </w:p>
              </w:tc>
              <w:tc>
                <w:tcPr>
                  <w:tcW w:w="2115" w:type="dxa"/>
                  <w:tcBorders>
                    <w:tl2br w:val="nil"/>
                    <w:tr2bl w:val="nil"/>
                  </w:tcBorders>
                  <w:vAlign w:val="center"/>
                </w:tcPr>
                <w:p>
                  <w:pPr>
                    <w:spacing w:line="288" w:lineRule="auto"/>
                    <w:jc w:val="center"/>
                    <w:rPr>
                      <w:color w:val="auto"/>
                      <w:szCs w:val="21"/>
                      <w:highlight w:val="none"/>
                    </w:rPr>
                  </w:pPr>
                  <w:r>
                    <w:rPr>
                      <w:rFonts w:eastAsia="Times New Roman"/>
                      <w:b/>
                      <w:bCs/>
                      <w:color w:val="auto"/>
                      <w:szCs w:val="21"/>
                      <w:highlight w:val="none"/>
                    </w:rPr>
                    <w:t>污染物名称</w:t>
                  </w:r>
                </w:p>
              </w:tc>
              <w:tc>
                <w:tcPr>
                  <w:tcW w:w="2130" w:type="dxa"/>
                  <w:tcBorders>
                    <w:tl2br w:val="nil"/>
                    <w:tr2bl w:val="nil"/>
                  </w:tcBorders>
                  <w:vAlign w:val="center"/>
                </w:tcPr>
                <w:p>
                  <w:pPr>
                    <w:spacing w:line="288" w:lineRule="auto"/>
                    <w:jc w:val="center"/>
                    <w:rPr>
                      <w:color w:val="auto"/>
                      <w:szCs w:val="21"/>
                      <w:highlight w:val="none"/>
                    </w:rPr>
                  </w:pPr>
                  <w:r>
                    <w:rPr>
                      <w:rFonts w:eastAsia="Times New Roman"/>
                      <w:b/>
                      <w:bCs/>
                      <w:color w:val="auto"/>
                      <w:szCs w:val="21"/>
                      <w:highlight w:val="none"/>
                    </w:rPr>
                    <w:t>取值时间</w:t>
                  </w:r>
                </w:p>
              </w:tc>
              <w:tc>
                <w:tcPr>
                  <w:tcW w:w="1500" w:type="dxa"/>
                  <w:tcBorders>
                    <w:tl2br w:val="nil"/>
                    <w:tr2bl w:val="nil"/>
                  </w:tcBorders>
                  <w:vAlign w:val="center"/>
                </w:tcPr>
                <w:p>
                  <w:pPr>
                    <w:spacing w:line="288" w:lineRule="auto"/>
                    <w:jc w:val="center"/>
                    <w:rPr>
                      <w:color w:val="auto"/>
                      <w:szCs w:val="21"/>
                      <w:highlight w:val="none"/>
                    </w:rPr>
                  </w:pPr>
                  <w:r>
                    <w:rPr>
                      <w:rFonts w:eastAsia="Times New Roman"/>
                      <w:b/>
                      <w:bCs/>
                      <w:color w:val="auto"/>
                      <w:szCs w:val="21"/>
                      <w:highlight w:val="none"/>
                    </w:rPr>
                    <w:t>二级标准</w:t>
                  </w:r>
                </w:p>
              </w:tc>
              <w:tc>
                <w:tcPr>
                  <w:tcW w:w="1640" w:type="dxa"/>
                  <w:tcBorders>
                    <w:tl2br w:val="nil"/>
                    <w:tr2bl w:val="nil"/>
                  </w:tcBorders>
                  <w:vAlign w:val="center"/>
                </w:tcPr>
                <w:p>
                  <w:pPr>
                    <w:spacing w:line="288" w:lineRule="auto"/>
                    <w:jc w:val="center"/>
                    <w:rPr>
                      <w:b/>
                      <w:bCs/>
                      <w:color w:val="auto"/>
                      <w:szCs w:val="21"/>
                      <w:highlight w:val="none"/>
                    </w:rPr>
                  </w:pPr>
                  <w:r>
                    <w:rPr>
                      <w:rFonts w:hint="eastAsia"/>
                      <w:b/>
                      <w:bCs/>
                      <w:color w:val="auto"/>
                      <w:szCs w:val="21"/>
                      <w:highlight w:val="none"/>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1</w:t>
                  </w:r>
                </w:p>
              </w:tc>
              <w:tc>
                <w:tcPr>
                  <w:tcW w:w="2115" w:type="dxa"/>
                  <w:vMerge w:val="restart"/>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二氧化硫（SO</w:t>
                  </w:r>
                  <w:r>
                    <w:rPr>
                      <w:rFonts w:eastAsia="Times New Roman"/>
                      <w:color w:val="auto"/>
                      <w:szCs w:val="21"/>
                      <w:highlight w:val="none"/>
                      <w:vertAlign w:val="subscript"/>
                    </w:rPr>
                    <w:t>2</w:t>
                  </w:r>
                  <w:r>
                    <w:rPr>
                      <w:rFonts w:eastAsia="Times New Roman"/>
                      <w:color w:val="auto"/>
                      <w:szCs w:val="21"/>
                      <w:highlight w:val="none"/>
                    </w:rPr>
                    <w:t>）</w:t>
                  </w:r>
                </w:p>
              </w:tc>
              <w:tc>
                <w:tcPr>
                  <w:tcW w:w="2130" w:type="dxa"/>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年平均值</w:t>
                  </w:r>
                </w:p>
              </w:tc>
              <w:tc>
                <w:tcPr>
                  <w:tcW w:w="1500" w:type="dxa"/>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60</w:t>
                  </w:r>
                </w:p>
              </w:tc>
              <w:tc>
                <w:tcPr>
                  <w:tcW w:w="1640" w:type="dxa"/>
                  <w:tcBorders>
                    <w:tl2br w:val="nil"/>
                    <w:tr2bl w:val="nil"/>
                  </w:tcBorders>
                  <w:vAlign w:val="center"/>
                </w:tcPr>
                <w:p>
                  <w:pPr>
                    <w:spacing w:line="288" w:lineRule="auto"/>
                    <w:jc w:val="center"/>
                    <w:rPr>
                      <w:rFonts w:eastAsia="Times New Roman"/>
                      <w:bCs/>
                      <w:color w:val="auto"/>
                      <w:szCs w:val="21"/>
                      <w:highlight w:val="none"/>
                    </w:rPr>
                  </w:pPr>
                  <w:r>
                    <w:rPr>
                      <w:bCs/>
                      <w:color w:val="auto"/>
                      <w:szCs w:val="21"/>
                      <w:highlight w:val="none"/>
                    </w:rPr>
                    <w:t>μg/m</w:t>
                  </w:r>
                  <w:r>
                    <w:rPr>
                      <w:bCs/>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highlight w:val="none"/>
                    </w:rPr>
                  </w:pPr>
                </w:p>
              </w:tc>
              <w:tc>
                <w:tcPr>
                  <w:tcW w:w="2115" w:type="dxa"/>
                  <w:vMerge w:val="continue"/>
                  <w:tcBorders>
                    <w:tl2br w:val="nil"/>
                    <w:tr2bl w:val="nil"/>
                  </w:tcBorders>
                  <w:vAlign w:val="center"/>
                </w:tcPr>
                <w:p>
                  <w:pPr>
                    <w:spacing w:line="288" w:lineRule="auto"/>
                    <w:jc w:val="center"/>
                    <w:rPr>
                      <w:color w:val="auto"/>
                      <w:szCs w:val="21"/>
                      <w:highlight w:val="none"/>
                    </w:rPr>
                  </w:pPr>
                </w:p>
              </w:tc>
              <w:tc>
                <w:tcPr>
                  <w:tcW w:w="2130" w:type="dxa"/>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日平均值</w:t>
                  </w:r>
                </w:p>
              </w:tc>
              <w:tc>
                <w:tcPr>
                  <w:tcW w:w="1500" w:type="dxa"/>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150</w:t>
                  </w:r>
                </w:p>
              </w:tc>
              <w:tc>
                <w:tcPr>
                  <w:tcW w:w="1640" w:type="dxa"/>
                  <w:tcBorders>
                    <w:tl2br w:val="nil"/>
                    <w:tr2bl w:val="nil"/>
                  </w:tcBorders>
                  <w:vAlign w:val="center"/>
                </w:tcPr>
                <w:p>
                  <w:pPr>
                    <w:spacing w:line="288" w:lineRule="auto"/>
                    <w:jc w:val="center"/>
                    <w:rPr>
                      <w:rFonts w:eastAsia="Times New Roman"/>
                      <w:bCs/>
                      <w:color w:val="auto"/>
                      <w:szCs w:val="21"/>
                      <w:highlight w:val="none"/>
                    </w:rPr>
                  </w:pPr>
                  <w:r>
                    <w:rPr>
                      <w:bCs/>
                      <w:color w:val="auto"/>
                      <w:szCs w:val="21"/>
                      <w:highlight w:val="none"/>
                    </w:rPr>
                    <w:t>μg/m</w:t>
                  </w:r>
                  <w:r>
                    <w:rPr>
                      <w:bCs/>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highlight w:val="none"/>
                    </w:rPr>
                  </w:pPr>
                </w:p>
              </w:tc>
              <w:tc>
                <w:tcPr>
                  <w:tcW w:w="2115" w:type="dxa"/>
                  <w:vMerge w:val="continue"/>
                  <w:tcBorders>
                    <w:tl2br w:val="nil"/>
                    <w:tr2bl w:val="nil"/>
                  </w:tcBorders>
                  <w:vAlign w:val="center"/>
                </w:tcPr>
                <w:p>
                  <w:pPr>
                    <w:spacing w:line="288" w:lineRule="auto"/>
                    <w:jc w:val="center"/>
                    <w:rPr>
                      <w:color w:val="auto"/>
                      <w:szCs w:val="21"/>
                      <w:highlight w:val="none"/>
                    </w:rPr>
                  </w:pPr>
                </w:p>
              </w:tc>
              <w:tc>
                <w:tcPr>
                  <w:tcW w:w="2130" w:type="dxa"/>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1小时平均值</w:t>
                  </w:r>
                </w:p>
              </w:tc>
              <w:tc>
                <w:tcPr>
                  <w:tcW w:w="1500" w:type="dxa"/>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500</w:t>
                  </w:r>
                </w:p>
              </w:tc>
              <w:tc>
                <w:tcPr>
                  <w:tcW w:w="1640" w:type="dxa"/>
                  <w:tcBorders>
                    <w:tl2br w:val="nil"/>
                    <w:tr2bl w:val="nil"/>
                  </w:tcBorders>
                  <w:vAlign w:val="center"/>
                </w:tcPr>
                <w:p>
                  <w:pPr>
                    <w:spacing w:line="288" w:lineRule="auto"/>
                    <w:jc w:val="center"/>
                    <w:rPr>
                      <w:rFonts w:eastAsia="Times New Roman"/>
                      <w:bCs/>
                      <w:color w:val="auto"/>
                      <w:szCs w:val="21"/>
                      <w:highlight w:val="none"/>
                    </w:rPr>
                  </w:pPr>
                  <w:r>
                    <w:rPr>
                      <w:bCs/>
                      <w:color w:val="auto"/>
                      <w:szCs w:val="21"/>
                      <w:highlight w:val="none"/>
                    </w:rPr>
                    <w:t>μg/m</w:t>
                  </w:r>
                  <w:r>
                    <w:rPr>
                      <w:bCs/>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2</w:t>
                  </w:r>
                </w:p>
              </w:tc>
              <w:tc>
                <w:tcPr>
                  <w:tcW w:w="2115" w:type="dxa"/>
                  <w:vMerge w:val="restart"/>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二氧化氮（NO</w:t>
                  </w:r>
                  <w:r>
                    <w:rPr>
                      <w:rFonts w:eastAsia="Times New Roman"/>
                      <w:color w:val="auto"/>
                      <w:szCs w:val="21"/>
                      <w:highlight w:val="none"/>
                      <w:vertAlign w:val="subscript"/>
                    </w:rPr>
                    <w:t>2</w:t>
                  </w:r>
                  <w:r>
                    <w:rPr>
                      <w:rFonts w:eastAsia="Times New Roman"/>
                      <w:color w:val="auto"/>
                      <w:szCs w:val="21"/>
                      <w:highlight w:val="none"/>
                    </w:rPr>
                    <w:t>）</w:t>
                  </w:r>
                </w:p>
              </w:tc>
              <w:tc>
                <w:tcPr>
                  <w:tcW w:w="2130" w:type="dxa"/>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年平均值</w:t>
                  </w:r>
                </w:p>
              </w:tc>
              <w:tc>
                <w:tcPr>
                  <w:tcW w:w="1500" w:type="dxa"/>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40</w:t>
                  </w:r>
                </w:p>
              </w:tc>
              <w:tc>
                <w:tcPr>
                  <w:tcW w:w="1640" w:type="dxa"/>
                  <w:tcBorders>
                    <w:tl2br w:val="nil"/>
                    <w:tr2bl w:val="nil"/>
                  </w:tcBorders>
                  <w:vAlign w:val="center"/>
                </w:tcPr>
                <w:p>
                  <w:pPr>
                    <w:spacing w:line="288" w:lineRule="auto"/>
                    <w:jc w:val="center"/>
                    <w:rPr>
                      <w:rFonts w:eastAsia="Times New Roman"/>
                      <w:bCs/>
                      <w:color w:val="auto"/>
                      <w:szCs w:val="21"/>
                      <w:highlight w:val="none"/>
                    </w:rPr>
                  </w:pPr>
                  <w:r>
                    <w:rPr>
                      <w:bCs/>
                      <w:color w:val="auto"/>
                      <w:szCs w:val="21"/>
                      <w:highlight w:val="none"/>
                    </w:rPr>
                    <w:t>μg/m</w:t>
                  </w:r>
                  <w:r>
                    <w:rPr>
                      <w:bCs/>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highlight w:val="none"/>
                    </w:rPr>
                  </w:pPr>
                </w:p>
              </w:tc>
              <w:tc>
                <w:tcPr>
                  <w:tcW w:w="2115" w:type="dxa"/>
                  <w:vMerge w:val="continue"/>
                  <w:tcBorders>
                    <w:tl2br w:val="nil"/>
                    <w:tr2bl w:val="nil"/>
                  </w:tcBorders>
                  <w:vAlign w:val="center"/>
                </w:tcPr>
                <w:p>
                  <w:pPr>
                    <w:spacing w:line="288" w:lineRule="auto"/>
                    <w:jc w:val="center"/>
                    <w:rPr>
                      <w:color w:val="auto"/>
                      <w:szCs w:val="21"/>
                      <w:highlight w:val="none"/>
                    </w:rPr>
                  </w:pPr>
                </w:p>
              </w:tc>
              <w:tc>
                <w:tcPr>
                  <w:tcW w:w="2130" w:type="dxa"/>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日平均值</w:t>
                  </w:r>
                </w:p>
              </w:tc>
              <w:tc>
                <w:tcPr>
                  <w:tcW w:w="1500" w:type="dxa"/>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80</w:t>
                  </w:r>
                </w:p>
              </w:tc>
              <w:tc>
                <w:tcPr>
                  <w:tcW w:w="1640" w:type="dxa"/>
                  <w:tcBorders>
                    <w:tl2br w:val="nil"/>
                    <w:tr2bl w:val="nil"/>
                  </w:tcBorders>
                  <w:vAlign w:val="center"/>
                </w:tcPr>
                <w:p>
                  <w:pPr>
                    <w:spacing w:line="288" w:lineRule="auto"/>
                    <w:jc w:val="center"/>
                    <w:rPr>
                      <w:rFonts w:eastAsia="Times New Roman"/>
                      <w:bCs/>
                      <w:color w:val="auto"/>
                      <w:szCs w:val="21"/>
                      <w:highlight w:val="none"/>
                    </w:rPr>
                  </w:pPr>
                  <w:r>
                    <w:rPr>
                      <w:bCs/>
                      <w:color w:val="auto"/>
                      <w:szCs w:val="21"/>
                      <w:highlight w:val="none"/>
                    </w:rPr>
                    <w:t>μg/m</w:t>
                  </w:r>
                  <w:r>
                    <w:rPr>
                      <w:bCs/>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highlight w:val="none"/>
                    </w:rPr>
                  </w:pPr>
                </w:p>
              </w:tc>
              <w:tc>
                <w:tcPr>
                  <w:tcW w:w="2115" w:type="dxa"/>
                  <w:vMerge w:val="continue"/>
                  <w:tcBorders>
                    <w:tl2br w:val="nil"/>
                    <w:tr2bl w:val="nil"/>
                  </w:tcBorders>
                  <w:vAlign w:val="center"/>
                </w:tcPr>
                <w:p>
                  <w:pPr>
                    <w:spacing w:line="288" w:lineRule="auto"/>
                    <w:jc w:val="center"/>
                    <w:rPr>
                      <w:color w:val="auto"/>
                      <w:szCs w:val="21"/>
                      <w:highlight w:val="none"/>
                    </w:rPr>
                  </w:pPr>
                </w:p>
              </w:tc>
              <w:tc>
                <w:tcPr>
                  <w:tcW w:w="2130" w:type="dxa"/>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1小时平均值</w:t>
                  </w:r>
                </w:p>
              </w:tc>
              <w:tc>
                <w:tcPr>
                  <w:tcW w:w="1500" w:type="dxa"/>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200</w:t>
                  </w:r>
                </w:p>
              </w:tc>
              <w:tc>
                <w:tcPr>
                  <w:tcW w:w="1640" w:type="dxa"/>
                  <w:tcBorders>
                    <w:tl2br w:val="nil"/>
                    <w:tr2bl w:val="nil"/>
                  </w:tcBorders>
                  <w:vAlign w:val="center"/>
                </w:tcPr>
                <w:p>
                  <w:pPr>
                    <w:spacing w:line="288" w:lineRule="auto"/>
                    <w:jc w:val="center"/>
                    <w:rPr>
                      <w:rFonts w:eastAsia="Times New Roman"/>
                      <w:bCs/>
                      <w:color w:val="auto"/>
                      <w:szCs w:val="21"/>
                      <w:highlight w:val="none"/>
                    </w:rPr>
                  </w:pPr>
                  <w:r>
                    <w:rPr>
                      <w:bCs/>
                      <w:color w:val="auto"/>
                      <w:szCs w:val="21"/>
                      <w:highlight w:val="none"/>
                    </w:rPr>
                    <w:t>μg/m</w:t>
                  </w:r>
                  <w:r>
                    <w:rPr>
                      <w:bCs/>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spacing w:line="288" w:lineRule="auto"/>
                    <w:jc w:val="center"/>
                    <w:rPr>
                      <w:color w:val="auto"/>
                      <w:szCs w:val="21"/>
                      <w:highlight w:val="none"/>
                    </w:rPr>
                  </w:pPr>
                  <w:r>
                    <w:rPr>
                      <w:color w:val="auto"/>
                      <w:szCs w:val="21"/>
                      <w:highlight w:val="none"/>
                    </w:rPr>
                    <w:t>3</w:t>
                  </w:r>
                </w:p>
              </w:tc>
              <w:tc>
                <w:tcPr>
                  <w:tcW w:w="2115" w:type="dxa"/>
                  <w:vMerge w:val="restart"/>
                  <w:tcBorders>
                    <w:tl2br w:val="nil"/>
                    <w:tr2bl w:val="nil"/>
                  </w:tcBorders>
                  <w:vAlign w:val="center"/>
                </w:tcPr>
                <w:p>
                  <w:pPr>
                    <w:spacing w:line="288" w:lineRule="auto"/>
                    <w:jc w:val="center"/>
                    <w:rPr>
                      <w:color w:val="auto"/>
                      <w:szCs w:val="21"/>
                      <w:highlight w:val="none"/>
                    </w:rPr>
                  </w:pPr>
                  <w:r>
                    <w:rPr>
                      <w:color w:val="auto"/>
                      <w:szCs w:val="21"/>
                      <w:highlight w:val="none"/>
                    </w:rPr>
                    <w:t>一氧化碳（CO）</w:t>
                  </w:r>
                </w:p>
              </w:tc>
              <w:tc>
                <w:tcPr>
                  <w:tcW w:w="2130" w:type="dxa"/>
                  <w:tcBorders>
                    <w:tl2br w:val="nil"/>
                    <w:tr2bl w:val="nil"/>
                  </w:tcBorders>
                  <w:vAlign w:val="center"/>
                </w:tcPr>
                <w:p>
                  <w:pPr>
                    <w:spacing w:line="288" w:lineRule="auto"/>
                    <w:jc w:val="center"/>
                    <w:rPr>
                      <w:color w:val="auto"/>
                      <w:szCs w:val="21"/>
                      <w:highlight w:val="none"/>
                    </w:rPr>
                  </w:pPr>
                  <w:r>
                    <w:rPr>
                      <w:rFonts w:eastAsia="Times New Roman"/>
                      <w:color w:val="auto"/>
                      <w:szCs w:val="21"/>
                      <w:highlight w:val="none"/>
                    </w:rPr>
                    <w:t>日平均值</w:t>
                  </w:r>
                </w:p>
              </w:tc>
              <w:tc>
                <w:tcPr>
                  <w:tcW w:w="1500" w:type="dxa"/>
                  <w:tcBorders>
                    <w:tl2br w:val="nil"/>
                    <w:tr2bl w:val="nil"/>
                  </w:tcBorders>
                  <w:vAlign w:val="center"/>
                </w:tcPr>
                <w:p>
                  <w:pPr>
                    <w:spacing w:line="288" w:lineRule="auto"/>
                    <w:jc w:val="center"/>
                    <w:rPr>
                      <w:color w:val="auto"/>
                      <w:szCs w:val="21"/>
                      <w:highlight w:val="none"/>
                    </w:rPr>
                  </w:pPr>
                  <w:r>
                    <w:rPr>
                      <w:color w:val="auto"/>
                      <w:szCs w:val="21"/>
                      <w:highlight w:val="none"/>
                    </w:rPr>
                    <w:t>4.00</w:t>
                  </w:r>
                </w:p>
              </w:tc>
              <w:tc>
                <w:tcPr>
                  <w:tcW w:w="1640" w:type="dxa"/>
                  <w:tcBorders>
                    <w:tl2br w:val="nil"/>
                    <w:tr2bl w:val="nil"/>
                  </w:tcBorders>
                  <w:vAlign w:val="center"/>
                </w:tcPr>
                <w:p>
                  <w:pPr>
                    <w:spacing w:line="288" w:lineRule="auto"/>
                    <w:jc w:val="center"/>
                    <w:rPr>
                      <w:bCs/>
                      <w:color w:val="auto"/>
                      <w:szCs w:val="21"/>
                      <w:highlight w:val="none"/>
                    </w:rPr>
                  </w:pPr>
                  <w:r>
                    <w:rPr>
                      <w:rFonts w:hint="eastAsia"/>
                      <w:bCs/>
                      <w:color w:val="auto"/>
                      <w:szCs w:val="21"/>
                      <w:highlight w:val="none"/>
                    </w:rPr>
                    <w:t>m</w:t>
                  </w:r>
                  <w:r>
                    <w:rPr>
                      <w:bCs/>
                      <w:color w:val="auto"/>
                      <w:szCs w:val="21"/>
                      <w:highlight w:val="none"/>
                    </w:rPr>
                    <w:t>g/m</w:t>
                  </w:r>
                  <w:r>
                    <w:rPr>
                      <w:bCs/>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highlight w:val="none"/>
                    </w:rPr>
                  </w:pPr>
                </w:p>
              </w:tc>
              <w:tc>
                <w:tcPr>
                  <w:tcW w:w="2115" w:type="dxa"/>
                  <w:vMerge w:val="continue"/>
                  <w:tcBorders>
                    <w:tl2br w:val="nil"/>
                    <w:tr2bl w:val="nil"/>
                  </w:tcBorders>
                  <w:vAlign w:val="center"/>
                </w:tcPr>
                <w:p>
                  <w:pPr>
                    <w:spacing w:line="288" w:lineRule="auto"/>
                    <w:jc w:val="center"/>
                    <w:rPr>
                      <w:color w:val="auto"/>
                      <w:szCs w:val="21"/>
                      <w:highlight w:val="none"/>
                    </w:rPr>
                  </w:pPr>
                </w:p>
              </w:tc>
              <w:tc>
                <w:tcPr>
                  <w:tcW w:w="2130" w:type="dxa"/>
                  <w:tcBorders>
                    <w:tl2br w:val="nil"/>
                    <w:tr2bl w:val="nil"/>
                  </w:tcBorders>
                  <w:vAlign w:val="center"/>
                </w:tcPr>
                <w:p>
                  <w:pPr>
                    <w:spacing w:line="288" w:lineRule="auto"/>
                    <w:jc w:val="center"/>
                    <w:rPr>
                      <w:rFonts w:eastAsia="Times New Roman"/>
                      <w:color w:val="auto"/>
                      <w:szCs w:val="21"/>
                      <w:highlight w:val="none"/>
                    </w:rPr>
                  </w:pPr>
                  <w:r>
                    <w:rPr>
                      <w:rFonts w:eastAsia="Times New Roman"/>
                      <w:color w:val="auto"/>
                      <w:szCs w:val="21"/>
                      <w:highlight w:val="none"/>
                    </w:rPr>
                    <w:t>1小时平均值</w:t>
                  </w:r>
                </w:p>
              </w:tc>
              <w:tc>
                <w:tcPr>
                  <w:tcW w:w="1500" w:type="dxa"/>
                  <w:tcBorders>
                    <w:tl2br w:val="nil"/>
                    <w:tr2bl w:val="nil"/>
                  </w:tcBorders>
                  <w:vAlign w:val="center"/>
                </w:tcPr>
                <w:p>
                  <w:pPr>
                    <w:spacing w:line="288" w:lineRule="auto"/>
                    <w:jc w:val="center"/>
                    <w:rPr>
                      <w:color w:val="auto"/>
                      <w:szCs w:val="21"/>
                      <w:highlight w:val="none"/>
                    </w:rPr>
                  </w:pPr>
                  <w:r>
                    <w:rPr>
                      <w:color w:val="auto"/>
                      <w:szCs w:val="21"/>
                      <w:highlight w:val="none"/>
                    </w:rPr>
                    <w:t>10.00</w:t>
                  </w:r>
                </w:p>
              </w:tc>
              <w:tc>
                <w:tcPr>
                  <w:tcW w:w="1640" w:type="dxa"/>
                  <w:tcBorders>
                    <w:tl2br w:val="nil"/>
                    <w:tr2bl w:val="nil"/>
                  </w:tcBorders>
                  <w:vAlign w:val="center"/>
                </w:tcPr>
                <w:p>
                  <w:pPr>
                    <w:spacing w:line="288" w:lineRule="auto"/>
                    <w:jc w:val="center"/>
                    <w:rPr>
                      <w:bCs/>
                      <w:color w:val="auto"/>
                      <w:szCs w:val="21"/>
                      <w:highlight w:val="none"/>
                    </w:rPr>
                  </w:pPr>
                  <w:r>
                    <w:rPr>
                      <w:rFonts w:hint="eastAsia"/>
                      <w:bCs/>
                      <w:color w:val="auto"/>
                      <w:szCs w:val="21"/>
                      <w:highlight w:val="none"/>
                    </w:rPr>
                    <w:t>m</w:t>
                  </w:r>
                  <w:r>
                    <w:rPr>
                      <w:bCs/>
                      <w:color w:val="auto"/>
                      <w:szCs w:val="21"/>
                      <w:highlight w:val="none"/>
                    </w:rPr>
                    <w:t>g/m</w:t>
                  </w:r>
                  <w:r>
                    <w:rPr>
                      <w:bCs/>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spacing w:line="288" w:lineRule="auto"/>
                    <w:jc w:val="center"/>
                    <w:rPr>
                      <w:color w:val="auto"/>
                      <w:szCs w:val="21"/>
                      <w:highlight w:val="none"/>
                    </w:rPr>
                  </w:pPr>
                  <w:r>
                    <w:rPr>
                      <w:color w:val="auto"/>
                      <w:szCs w:val="21"/>
                      <w:highlight w:val="none"/>
                    </w:rPr>
                    <w:t>4</w:t>
                  </w:r>
                </w:p>
              </w:tc>
              <w:tc>
                <w:tcPr>
                  <w:tcW w:w="2115" w:type="dxa"/>
                  <w:vMerge w:val="restart"/>
                  <w:tcBorders>
                    <w:tl2br w:val="nil"/>
                    <w:tr2bl w:val="nil"/>
                  </w:tcBorders>
                  <w:vAlign w:val="center"/>
                </w:tcPr>
                <w:p>
                  <w:pPr>
                    <w:spacing w:line="288" w:lineRule="auto"/>
                    <w:jc w:val="center"/>
                    <w:rPr>
                      <w:color w:val="auto"/>
                      <w:szCs w:val="21"/>
                      <w:highlight w:val="none"/>
                    </w:rPr>
                  </w:pPr>
                  <w:r>
                    <w:rPr>
                      <w:color w:val="auto"/>
                      <w:szCs w:val="21"/>
                      <w:highlight w:val="none"/>
                    </w:rPr>
                    <w:t>臭氧（O</w:t>
                  </w:r>
                  <w:r>
                    <w:rPr>
                      <w:color w:val="auto"/>
                      <w:szCs w:val="21"/>
                      <w:highlight w:val="none"/>
                      <w:vertAlign w:val="subscript"/>
                    </w:rPr>
                    <w:t>3</w:t>
                  </w:r>
                  <w:r>
                    <w:rPr>
                      <w:color w:val="auto"/>
                      <w:szCs w:val="21"/>
                      <w:highlight w:val="none"/>
                    </w:rPr>
                    <w:t>）</w:t>
                  </w:r>
                </w:p>
              </w:tc>
              <w:tc>
                <w:tcPr>
                  <w:tcW w:w="2130" w:type="dxa"/>
                  <w:tcBorders>
                    <w:tl2br w:val="nil"/>
                    <w:tr2bl w:val="nil"/>
                  </w:tcBorders>
                  <w:vAlign w:val="center"/>
                </w:tcPr>
                <w:p>
                  <w:pPr>
                    <w:spacing w:line="288" w:lineRule="auto"/>
                    <w:jc w:val="center"/>
                    <w:rPr>
                      <w:color w:val="auto"/>
                      <w:szCs w:val="21"/>
                      <w:highlight w:val="none"/>
                    </w:rPr>
                  </w:pPr>
                  <w:r>
                    <w:rPr>
                      <w:color w:val="auto"/>
                      <w:szCs w:val="21"/>
                      <w:highlight w:val="none"/>
                    </w:rPr>
                    <w:t>日最大8小时平均值</w:t>
                  </w:r>
                </w:p>
              </w:tc>
              <w:tc>
                <w:tcPr>
                  <w:tcW w:w="1500" w:type="dxa"/>
                  <w:tcBorders>
                    <w:tl2br w:val="nil"/>
                    <w:tr2bl w:val="nil"/>
                  </w:tcBorders>
                  <w:vAlign w:val="center"/>
                </w:tcPr>
                <w:p>
                  <w:pPr>
                    <w:spacing w:line="288" w:lineRule="auto"/>
                    <w:jc w:val="center"/>
                    <w:rPr>
                      <w:color w:val="auto"/>
                      <w:szCs w:val="21"/>
                      <w:highlight w:val="none"/>
                    </w:rPr>
                  </w:pPr>
                  <w:r>
                    <w:rPr>
                      <w:color w:val="auto"/>
                      <w:szCs w:val="21"/>
                      <w:highlight w:val="none"/>
                    </w:rPr>
                    <w:t>160</w:t>
                  </w:r>
                </w:p>
              </w:tc>
              <w:tc>
                <w:tcPr>
                  <w:tcW w:w="1640" w:type="dxa"/>
                  <w:tcBorders>
                    <w:tl2br w:val="nil"/>
                    <w:tr2bl w:val="nil"/>
                  </w:tcBorders>
                  <w:vAlign w:val="center"/>
                </w:tcPr>
                <w:p>
                  <w:pPr>
                    <w:spacing w:line="288" w:lineRule="auto"/>
                    <w:jc w:val="center"/>
                    <w:rPr>
                      <w:bCs/>
                      <w:color w:val="auto"/>
                      <w:szCs w:val="21"/>
                      <w:highlight w:val="none"/>
                    </w:rPr>
                  </w:pPr>
                  <w:r>
                    <w:rPr>
                      <w:bCs/>
                      <w:color w:val="auto"/>
                      <w:szCs w:val="21"/>
                      <w:highlight w:val="none"/>
                    </w:rPr>
                    <w:t>μg/m</w:t>
                  </w:r>
                  <w:r>
                    <w:rPr>
                      <w:bCs/>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highlight w:val="none"/>
                    </w:rPr>
                  </w:pPr>
                </w:p>
              </w:tc>
              <w:tc>
                <w:tcPr>
                  <w:tcW w:w="2115" w:type="dxa"/>
                  <w:vMerge w:val="continue"/>
                  <w:tcBorders>
                    <w:tl2br w:val="nil"/>
                    <w:tr2bl w:val="nil"/>
                  </w:tcBorders>
                  <w:vAlign w:val="center"/>
                </w:tcPr>
                <w:p>
                  <w:pPr>
                    <w:spacing w:line="288" w:lineRule="auto"/>
                    <w:jc w:val="center"/>
                    <w:rPr>
                      <w:color w:val="auto"/>
                      <w:szCs w:val="21"/>
                      <w:highlight w:val="none"/>
                    </w:rPr>
                  </w:pPr>
                </w:p>
              </w:tc>
              <w:tc>
                <w:tcPr>
                  <w:tcW w:w="2130" w:type="dxa"/>
                  <w:tcBorders>
                    <w:tl2br w:val="nil"/>
                    <w:tr2bl w:val="nil"/>
                  </w:tcBorders>
                  <w:vAlign w:val="center"/>
                </w:tcPr>
                <w:p>
                  <w:pPr>
                    <w:spacing w:line="288" w:lineRule="auto"/>
                    <w:jc w:val="center"/>
                    <w:rPr>
                      <w:rFonts w:eastAsia="Times New Roman"/>
                      <w:color w:val="auto"/>
                      <w:szCs w:val="21"/>
                      <w:highlight w:val="none"/>
                    </w:rPr>
                  </w:pPr>
                  <w:r>
                    <w:rPr>
                      <w:rFonts w:eastAsia="Times New Roman"/>
                      <w:color w:val="auto"/>
                      <w:szCs w:val="21"/>
                      <w:highlight w:val="none"/>
                    </w:rPr>
                    <w:t>日平均值</w:t>
                  </w:r>
                </w:p>
              </w:tc>
              <w:tc>
                <w:tcPr>
                  <w:tcW w:w="1500" w:type="dxa"/>
                  <w:tcBorders>
                    <w:tl2br w:val="nil"/>
                    <w:tr2bl w:val="nil"/>
                  </w:tcBorders>
                  <w:vAlign w:val="center"/>
                </w:tcPr>
                <w:p>
                  <w:pPr>
                    <w:spacing w:line="288" w:lineRule="auto"/>
                    <w:jc w:val="center"/>
                    <w:rPr>
                      <w:color w:val="auto"/>
                      <w:szCs w:val="21"/>
                      <w:highlight w:val="none"/>
                    </w:rPr>
                  </w:pPr>
                  <w:r>
                    <w:rPr>
                      <w:color w:val="auto"/>
                      <w:szCs w:val="21"/>
                      <w:highlight w:val="none"/>
                    </w:rPr>
                    <w:t>200</w:t>
                  </w:r>
                </w:p>
              </w:tc>
              <w:tc>
                <w:tcPr>
                  <w:tcW w:w="1640" w:type="dxa"/>
                  <w:tcBorders>
                    <w:tl2br w:val="nil"/>
                    <w:tr2bl w:val="nil"/>
                  </w:tcBorders>
                  <w:vAlign w:val="center"/>
                </w:tcPr>
                <w:p>
                  <w:pPr>
                    <w:spacing w:line="288" w:lineRule="auto"/>
                    <w:jc w:val="center"/>
                    <w:rPr>
                      <w:bCs/>
                      <w:color w:val="auto"/>
                      <w:szCs w:val="21"/>
                      <w:highlight w:val="none"/>
                    </w:rPr>
                  </w:pPr>
                  <w:r>
                    <w:rPr>
                      <w:bCs/>
                      <w:color w:val="auto"/>
                      <w:szCs w:val="21"/>
                      <w:highlight w:val="none"/>
                    </w:rPr>
                    <w:t>μg/m</w:t>
                  </w:r>
                  <w:r>
                    <w:rPr>
                      <w:bCs/>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spacing w:line="288" w:lineRule="auto"/>
                    <w:jc w:val="center"/>
                    <w:rPr>
                      <w:color w:val="auto"/>
                      <w:szCs w:val="21"/>
                      <w:highlight w:val="none"/>
                    </w:rPr>
                  </w:pPr>
                  <w:r>
                    <w:rPr>
                      <w:color w:val="auto"/>
                      <w:szCs w:val="21"/>
                      <w:highlight w:val="none"/>
                    </w:rPr>
                    <w:t>5</w:t>
                  </w:r>
                </w:p>
              </w:tc>
              <w:tc>
                <w:tcPr>
                  <w:tcW w:w="2115" w:type="dxa"/>
                  <w:vMerge w:val="restart"/>
                  <w:tcBorders>
                    <w:tl2br w:val="nil"/>
                    <w:tr2bl w:val="nil"/>
                  </w:tcBorders>
                  <w:vAlign w:val="center"/>
                </w:tcPr>
                <w:p>
                  <w:pPr>
                    <w:spacing w:line="288" w:lineRule="auto"/>
                    <w:jc w:val="center"/>
                    <w:rPr>
                      <w:color w:val="auto"/>
                      <w:szCs w:val="21"/>
                      <w:highlight w:val="none"/>
                    </w:rPr>
                  </w:pPr>
                  <w:r>
                    <w:rPr>
                      <w:color w:val="auto"/>
                      <w:szCs w:val="21"/>
                      <w:highlight w:val="none"/>
                    </w:rPr>
                    <w:t>颗粒物（PM</w:t>
                  </w:r>
                  <w:r>
                    <w:rPr>
                      <w:color w:val="auto"/>
                      <w:szCs w:val="21"/>
                      <w:highlight w:val="none"/>
                      <w:vertAlign w:val="subscript"/>
                    </w:rPr>
                    <w:t>10</w:t>
                  </w:r>
                  <w:r>
                    <w:rPr>
                      <w:color w:val="auto"/>
                      <w:szCs w:val="21"/>
                      <w:highlight w:val="none"/>
                    </w:rPr>
                    <w:t>）</w:t>
                  </w:r>
                </w:p>
              </w:tc>
              <w:tc>
                <w:tcPr>
                  <w:tcW w:w="2130" w:type="dxa"/>
                  <w:tcBorders>
                    <w:tl2br w:val="nil"/>
                    <w:tr2bl w:val="nil"/>
                  </w:tcBorders>
                  <w:vAlign w:val="center"/>
                </w:tcPr>
                <w:p>
                  <w:pPr>
                    <w:spacing w:line="288" w:lineRule="auto"/>
                    <w:jc w:val="center"/>
                    <w:rPr>
                      <w:rFonts w:eastAsia="Times New Roman"/>
                      <w:color w:val="auto"/>
                      <w:szCs w:val="21"/>
                      <w:highlight w:val="none"/>
                    </w:rPr>
                  </w:pPr>
                  <w:r>
                    <w:rPr>
                      <w:rFonts w:eastAsia="Times New Roman"/>
                      <w:color w:val="auto"/>
                      <w:szCs w:val="21"/>
                      <w:highlight w:val="none"/>
                    </w:rPr>
                    <w:t>年平均值</w:t>
                  </w:r>
                </w:p>
              </w:tc>
              <w:tc>
                <w:tcPr>
                  <w:tcW w:w="1500" w:type="dxa"/>
                  <w:tcBorders>
                    <w:tl2br w:val="nil"/>
                    <w:tr2bl w:val="nil"/>
                  </w:tcBorders>
                  <w:vAlign w:val="center"/>
                </w:tcPr>
                <w:p>
                  <w:pPr>
                    <w:spacing w:line="288" w:lineRule="auto"/>
                    <w:jc w:val="center"/>
                    <w:rPr>
                      <w:color w:val="auto"/>
                      <w:szCs w:val="21"/>
                      <w:highlight w:val="none"/>
                    </w:rPr>
                  </w:pPr>
                  <w:r>
                    <w:rPr>
                      <w:color w:val="auto"/>
                      <w:szCs w:val="21"/>
                      <w:highlight w:val="none"/>
                    </w:rPr>
                    <w:t>70</w:t>
                  </w:r>
                </w:p>
              </w:tc>
              <w:tc>
                <w:tcPr>
                  <w:tcW w:w="1640" w:type="dxa"/>
                  <w:tcBorders>
                    <w:tl2br w:val="nil"/>
                    <w:tr2bl w:val="nil"/>
                  </w:tcBorders>
                  <w:vAlign w:val="center"/>
                </w:tcPr>
                <w:p>
                  <w:pPr>
                    <w:spacing w:line="288" w:lineRule="auto"/>
                    <w:jc w:val="center"/>
                    <w:rPr>
                      <w:bCs/>
                      <w:color w:val="auto"/>
                      <w:szCs w:val="21"/>
                      <w:highlight w:val="none"/>
                    </w:rPr>
                  </w:pPr>
                  <w:r>
                    <w:rPr>
                      <w:bCs/>
                      <w:color w:val="auto"/>
                      <w:szCs w:val="21"/>
                      <w:highlight w:val="none"/>
                    </w:rPr>
                    <w:t>μg/m</w:t>
                  </w:r>
                  <w:r>
                    <w:rPr>
                      <w:bCs/>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highlight w:val="none"/>
                    </w:rPr>
                  </w:pPr>
                </w:p>
              </w:tc>
              <w:tc>
                <w:tcPr>
                  <w:tcW w:w="2115" w:type="dxa"/>
                  <w:vMerge w:val="continue"/>
                  <w:tcBorders>
                    <w:tl2br w:val="nil"/>
                    <w:tr2bl w:val="nil"/>
                  </w:tcBorders>
                  <w:vAlign w:val="center"/>
                </w:tcPr>
                <w:p>
                  <w:pPr>
                    <w:spacing w:line="288" w:lineRule="auto"/>
                    <w:jc w:val="center"/>
                    <w:rPr>
                      <w:color w:val="auto"/>
                      <w:szCs w:val="21"/>
                      <w:highlight w:val="none"/>
                    </w:rPr>
                  </w:pPr>
                </w:p>
              </w:tc>
              <w:tc>
                <w:tcPr>
                  <w:tcW w:w="2130" w:type="dxa"/>
                  <w:tcBorders>
                    <w:tl2br w:val="nil"/>
                    <w:tr2bl w:val="nil"/>
                  </w:tcBorders>
                  <w:vAlign w:val="center"/>
                </w:tcPr>
                <w:p>
                  <w:pPr>
                    <w:spacing w:line="288" w:lineRule="auto"/>
                    <w:jc w:val="center"/>
                    <w:rPr>
                      <w:rFonts w:eastAsia="Times New Roman"/>
                      <w:color w:val="auto"/>
                      <w:szCs w:val="21"/>
                      <w:highlight w:val="none"/>
                    </w:rPr>
                  </w:pPr>
                  <w:r>
                    <w:rPr>
                      <w:rFonts w:eastAsia="Times New Roman"/>
                      <w:color w:val="auto"/>
                      <w:szCs w:val="21"/>
                      <w:highlight w:val="none"/>
                    </w:rPr>
                    <w:t>日平均值</w:t>
                  </w:r>
                </w:p>
              </w:tc>
              <w:tc>
                <w:tcPr>
                  <w:tcW w:w="1500" w:type="dxa"/>
                  <w:tcBorders>
                    <w:tl2br w:val="nil"/>
                    <w:tr2bl w:val="nil"/>
                  </w:tcBorders>
                  <w:vAlign w:val="center"/>
                </w:tcPr>
                <w:p>
                  <w:pPr>
                    <w:spacing w:line="288" w:lineRule="auto"/>
                    <w:jc w:val="center"/>
                    <w:rPr>
                      <w:color w:val="auto"/>
                      <w:szCs w:val="21"/>
                      <w:highlight w:val="none"/>
                    </w:rPr>
                  </w:pPr>
                  <w:r>
                    <w:rPr>
                      <w:color w:val="auto"/>
                      <w:szCs w:val="21"/>
                      <w:highlight w:val="none"/>
                    </w:rPr>
                    <w:t>150</w:t>
                  </w:r>
                </w:p>
              </w:tc>
              <w:tc>
                <w:tcPr>
                  <w:tcW w:w="1640" w:type="dxa"/>
                  <w:tcBorders>
                    <w:tl2br w:val="nil"/>
                    <w:tr2bl w:val="nil"/>
                  </w:tcBorders>
                  <w:vAlign w:val="center"/>
                </w:tcPr>
                <w:p>
                  <w:pPr>
                    <w:spacing w:line="288" w:lineRule="auto"/>
                    <w:jc w:val="center"/>
                    <w:rPr>
                      <w:bCs/>
                      <w:color w:val="auto"/>
                      <w:szCs w:val="21"/>
                      <w:highlight w:val="none"/>
                    </w:rPr>
                  </w:pPr>
                  <w:r>
                    <w:rPr>
                      <w:bCs/>
                      <w:color w:val="auto"/>
                      <w:szCs w:val="21"/>
                      <w:highlight w:val="none"/>
                    </w:rPr>
                    <w:t>μg/m</w:t>
                  </w:r>
                  <w:r>
                    <w:rPr>
                      <w:bCs/>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915" w:type="dxa"/>
                  <w:vMerge w:val="restart"/>
                  <w:tcBorders>
                    <w:tl2br w:val="nil"/>
                    <w:tr2bl w:val="nil"/>
                  </w:tcBorders>
                  <w:vAlign w:val="center"/>
                </w:tcPr>
                <w:p>
                  <w:pPr>
                    <w:spacing w:line="288" w:lineRule="auto"/>
                    <w:jc w:val="center"/>
                    <w:rPr>
                      <w:color w:val="auto"/>
                      <w:szCs w:val="21"/>
                      <w:highlight w:val="none"/>
                    </w:rPr>
                  </w:pPr>
                  <w:r>
                    <w:rPr>
                      <w:rFonts w:hint="eastAsia"/>
                      <w:color w:val="auto"/>
                      <w:szCs w:val="21"/>
                      <w:highlight w:val="none"/>
                    </w:rPr>
                    <w:t>6</w:t>
                  </w:r>
                </w:p>
              </w:tc>
              <w:tc>
                <w:tcPr>
                  <w:tcW w:w="2115" w:type="dxa"/>
                  <w:vMerge w:val="restart"/>
                  <w:tcBorders>
                    <w:tl2br w:val="nil"/>
                    <w:tr2bl w:val="nil"/>
                  </w:tcBorders>
                  <w:vAlign w:val="center"/>
                </w:tcPr>
                <w:p>
                  <w:pPr>
                    <w:spacing w:line="360" w:lineRule="auto"/>
                    <w:jc w:val="center"/>
                    <w:rPr>
                      <w:color w:val="auto"/>
                      <w:szCs w:val="21"/>
                      <w:highlight w:val="none"/>
                    </w:rPr>
                  </w:pPr>
                  <w:r>
                    <w:rPr>
                      <w:color w:val="auto"/>
                      <w:szCs w:val="21"/>
                      <w:highlight w:val="none"/>
                    </w:rPr>
                    <w:t>颗粒物（PM</w:t>
                  </w:r>
                  <w:r>
                    <w:rPr>
                      <w:rFonts w:hint="eastAsia"/>
                      <w:color w:val="auto"/>
                      <w:szCs w:val="21"/>
                      <w:highlight w:val="none"/>
                      <w:vertAlign w:val="subscript"/>
                    </w:rPr>
                    <w:t>2.5</w:t>
                  </w:r>
                  <w:r>
                    <w:rPr>
                      <w:color w:val="auto"/>
                      <w:szCs w:val="21"/>
                      <w:highlight w:val="none"/>
                    </w:rPr>
                    <w:t>）</w:t>
                  </w:r>
                </w:p>
              </w:tc>
              <w:tc>
                <w:tcPr>
                  <w:tcW w:w="2130" w:type="dxa"/>
                  <w:tcBorders>
                    <w:tl2br w:val="nil"/>
                    <w:tr2bl w:val="nil"/>
                  </w:tcBorders>
                  <w:vAlign w:val="center"/>
                </w:tcPr>
                <w:p>
                  <w:pPr>
                    <w:spacing w:line="288" w:lineRule="auto"/>
                    <w:jc w:val="center"/>
                    <w:rPr>
                      <w:color w:val="auto"/>
                      <w:szCs w:val="21"/>
                      <w:highlight w:val="none"/>
                    </w:rPr>
                  </w:pPr>
                  <w:r>
                    <w:rPr>
                      <w:color w:val="auto"/>
                      <w:szCs w:val="21"/>
                      <w:highlight w:val="none"/>
                    </w:rPr>
                    <w:t>年平均值</w:t>
                  </w:r>
                </w:p>
              </w:tc>
              <w:tc>
                <w:tcPr>
                  <w:tcW w:w="1500" w:type="dxa"/>
                  <w:tcBorders>
                    <w:tl2br w:val="nil"/>
                    <w:tr2bl w:val="nil"/>
                  </w:tcBorders>
                  <w:vAlign w:val="center"/>
                </w:tcPr>
                <w:p>
                  <w:pPr>
                    <w:spacing w:line="288" w:lineRule="auto"/>
                    <w:jc w:val="center"/>
                    <w:rPr>
                      <w:color w:val="auto"/>
                      <w:szCs w:val="21"/>
                      <w:highlight w:val="none"/>
                    </w:rPr>
                  </w:pPr>
                  <w:r>
                    <w:rPr>
                      <w:rFonts w:hint="eastAsia"/>
                      <w:color w:val="auto"/>
                      <w:szCs w:val="21"/>
                      <w:highlight w:val="none"/>
                    </w:rPr>
                    <w:t>35</w:t>
                  </w:r>
                </w:p>
              </w:tc>
              <w:tc>
                <w:tcPr>
                  <w:tcW w:w="1640" w:type="dxa"/>
                  <w:tcBorders>
                    <w:tl2br w:val="nil"/>
                    <w:tr2bl w:val="nil"/>
                  </w:tcBorders>
                  <w:vAlign w:val="center"/>
                </w:tcPr>
                <w:p>
                  <w:pPr>
                    <w:spacing w:line="288" w:lineRule="auto"/>
                    <w:jc w:val="center"/>
                    <w:rPr>
                      <w:bCs/>
                      <w:color w:val="auto"/>
                      <w:szCs w:val="21"/>
                      <w:highlight w:val="none"/>
                    </w:rPr>
                  </w:pPr>
                  <w:r>
                    <w:rPr>
                      <w:bCs/>
                      <w:color w:val="auto"/>
                      <w:szCs w:val="21"/>
                      <w:highlight w:val="none"/>
                    </w:rPr>
                    <w:t>μg/m</w:t>
                  </w:r>
                  <w:r>
                    <w:rPr>
                      <w:bCs/>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highlight w:val="none"/>
                    </w:rPr>
                  </w:pPr>
                </w:p>
              </w:tc>
              <w:tc>
                <w:tcPr>
                  <w:tcW w:w="2115" w:type="dxa"/>
                  <w:vMerge w:val="continue"/>
                  <w:tcBorders>
                    <w:tl2br w:val="nil"/>
                    <w:tr2bl w:val="nil"/>
                  </w:tcBorders>
                  <w:vAlign w:val="center"/>
                </w:tcPr>
                <w:p>
                  <w:pPr>
                    <w:spacing w:line="360" w:lineRule="auto"/>
                    <w:jc w:val="center"/>
                    <w:rPr>
                      <w:color w:val="auto"/>
                      <w:szCs w:val="21"/>
                      <w:highlight w:val="none"/>
                    </w:rPr>
                  </w:pPr>
                </w:p>
              </w:tc>
              <w:tc>
                <w:tcPr>
                  <w:tcW w:w="2130" w:type="dxa"/>
                  <w:tcBorders>
                    <w:tl2br w:val="nil"/>
                    <w:tr2bl w:val="nil"/>
                  </w:tcBorders>
                  <w:vAlign w:val="center"/>
                </w:tcPr>
                <w:p>
                  <w:pPr>
                    <w:spacing w:line="288" w:lineRule="auto"/>
                    <w:jc w:val="center"/>
                    <w:rPr>
                      <w:color w:val="auto"/>
                      <w:szCs w:val="21"/>
                      <w:highlight w:val="none"/>
                    </w:rPr>
                  </w:pPr>
                  <w:r>
                    <w:rPr>
                      <w:color w:val="auto"/>
                      <w:szCs w:val="21"/>
                      <w:highlight w:val="none"/>
                    </w:rPr>
                    <w:t>日平均值</w:t>
                  </w:r>
                </w:p>
              </w:tc>
              <w:tc>
                <w:tcPr>
                  <w:tcW w:w="1500" w:type="dxa"/>
                  <w:tcBorders>
                    <w:tl2br w:val="nil"/>
                    <w:tr2bl w:val="nil"/>
                  </w:tcBorders>
                  <w:vAlign w:val="center"/>
                </w:tcPr>
                <w:p>
                  <w:pPr>
                    <w:spacing w:line="288" w:lineRule="auto"/>
                    <w:jc w:val="center"/>
                    <w:rPr>
                      <w:color w:val="auto"/>
                      <w:szCs w:val="21"/>
                      <w:highlight w:val="none"/>
                    </w:rPr>
                  </w:pPr>
                  <w:r>
                    <w:rPr>
                      <w:rFonts w:hint="eastAsia"/>
                      <w:color w:val="auto"/>
                      <w:szCs w:val="21"/>
                      <w:highlight w:val="none"/>
                    </w:rPr>
                    <w:t>75</w:t>
                  </w:r>
                </w:p>
              </w:tc>
              <w:tc>
                <w:tcPr>
                  <w:tcW w:w="1640" w:type="dxa"/>
                  <w:tcBorders>
                    <w:tl2br w:val="nil"/>
                    <w:tr2bl w:val="nil"/>
                  </w:tcBorders>
                  <w:vAlign w:val="center"/>
                </w:tcPr>
                <w:p>
                  <w:pPr>
                    <w:spacing w:line="288" w:lineRule="auto"/>
                    <w:jc w:val="center"/>
                    <w:rPr>
                      <w:bCs/>
                      <w:color w:val="auto"/>
                      <w:szCs w:val="21"/>
                      <w:highlight w:val="none"/>
                    </w:rPr>
                  </w:pPr>
                  <w:r>
                    <w:rPr>
                      <w:bCs/>
                      <w:color w:val="auto"/>
                      <w:szCs w:val="21"/>
                      <w:highlight w:val="none"/>
                    </w:rPr>
                    <w:t>μg/m</w:t>
                  </w:r>
                  <w:r>
                    <w:rPr>
                      <w:bCs/>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spacing w:line="288" w:lineRule="auto"/>
                    <w:jc w:val="center"/>
                    <w:rPr>
                      <w:color w:val="auto"/>
                      <w:szCs w:val="21"/>
                      <w:highlight w:val="none"/>
                    </w:rPr>
                  </w:pPr>
                  <w:r>
                    <w:rPr>
                      <w:rFonts w:hint="eastAsia"/>
                      <w:color w:val="auto"/>
                      <w:szCs w:val="21"/>
                      <w:highlight w:val="none"/>
                    </w:rPr>
                    <w:t>7</w:t>
                  </w:r>
                </w:p>
              </w:tc>
              <w:tc>
                <w:tcPr>
                  <w:tcW w:w="2115" w:type="dxa"/>
                  <w:vMerge w:val="restart"/>
                  <w:tcBorders>
                    <w:tl2br w:val="nil"/>
                    <w:tr2bl w:val="nil"/>
                  </w:tcBorders>
                  <w:vAlign w:val="center"/>
                </w:tcPr>
                <w:p>
                  <w:pPr>
                    <w:spacing w:line="360" w:lineRule="auto"/>
                    <w:jc w:val="center"/>
                    <w:rPr>
                      <w:rFonts w:hint="eastAsia" w:eastAsia="宋体"/>
                      <w:color w:val="auto"/>
                      <w:szCs w:val="21"/>
                      <w:highlight w:val="none"/>
                      <w:lang w:eastAsia="zh-CN"/>
                    </w:rPr>
                  </w:pPr>
                  <w:r>
                    <w:rPr>
                      <w:rFonts w:hint="eastAsia"/>
                      <w:color w:val="auto"/>
                      <w:szCs w:val="21"/>
                      <w:highlight w:val="none"/>
                    </w:rPr>
                    <w:t>TSP</w:t>
                  </w:r>
                  <w:r>
                    <w:rPr>
                      <w:rFonts w:hint="eastAsia"/>
                      <w:color w:val="auto"/>
                      <w:szCs w:val="21"/>
                      <w:highlight w:val="none"/>
                      <w:lang w:eastAsia="zh-CN"/>
                    </w:rPr>
                    <w:t>（总悬浮颗粒物）</w:t>
                  </w:r>
                </w:p>
              </w:tc>
              <w:tc>
                <w:tcPr>
                  <w:tcW w:w="2130" w:type="dxa"/>
                  <w:tcBorders>
                    <w:tl2br w:val="nil"/>
                    <w:tr2bl w:val="nil"/>
                  </w:tcBorders>
                  <w:vAlign w:val="center"/>
                </w:tcPr>
                <w:p>
                  <w:pPr>
                    <w:spacing w:line="288" w:lineRule="auto"/>
                    <w:jc w:val="center"/>
                    <w:rPr>
                      <w:color w:val="auto"/>
                      <w:szCs w:val="21"/>
                      <w:highlight w:val="none"/>
                    </w:rPr>
                  </w:pPr>
                  <w:r>
                    <w:rPr>
                      <w:color w:val="auto"/>
                      <w:szCs w:val="21"/>
                      <w:highlight w:val="none"/>
                    </w:rPr>
                    <w:t>年平均值</w:t>
                  </w:r>
                </w:p>
              </w:tc>
              <w:tc>
                <w:tcPr>
                  <w:tcW w:w="1500" w:type="dxa"/>
                  <w:tcBorders>
                    <w:tl2br w:val="nil"/>
                    <w:tr2bl w:val="nil"/>
                  </w:tcBorders>
                  <w:vAlign w:val="center"/>
                </w:tcPr>
                <w:p>
                  <w:pPr>
                    <w:spacing w:line="288" w:lineRule="auto"/>
                    <w:jc w:val="center"/>
                    <w:rPr>
                      <w:color w:val="auto"/>
                      <w:szCs w:val="21"/>
                      <w:highlight w:val="none"/>
                    </w:rPr>
                  </w:pPr>
                  <w:r>
                    <w:rPr>
                      <w:rFonts w:hint="eastAsia"/>
                      <w:color w:val="auto"/>
                      <w:szCs w:val="21"/>
                      <w:highlight w:val="none"/>
                    </w:rPr>
                    <w:t>200</w:t>
                  </w:r>
                </w:p>
              </w:tc>
              <w:tc>
                <w:tcPr>
                  <w:tcW w:w="1640" w:type="dxa"/>
                  <w:tcBorders>
                    <w:tl2br w:val="nil"/>
                    <w:tr2bl w:val="nil"/>
                  </w:tcBorders>
                  <w:vAlign w:val="center"/>
                </w:tcPr>
                <w:p>
                  <w:pPr>
                    <w:spacing w:line="288" w:lineRule="auto"/>
                    <w:jc w:val="center"/>
                    <w:rPr>
                      <w:bCs/>
                      <w:color w:val="auto"/>
                      <w:szCs w:val="21"/>
                      <w:highlight w:val="none"/>
                    </w:rPr>
                  </w:pPr>
                  <w:r>
                    <w:rPr>
                      <w:bCs/>
                      <w:color w:val="auto"/>
                      <w:szCs w:val="21"/>
                      <w:highlight w:val="none"/>
                    </w:rPr>
                    <w:t>μg/m</w:t>
                  </w:r>
                  <w:r>
                    <w:rPr>
                      <w:bCs/>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highlight w:val="none"/>
                    </w:rPr>
                  </w:pPr>
                </w:p>
              </w:tc>
              <w:tc>
                <w:tcPr>
                  <w:tcW w:w="2115" w:type="dxa"/>
                  <w:vMerge w:val="continue"/>
                  <w:tcBorders>
                    <w:tl2br w:val="nil"/>
                    <w:tr2bl w:val="nil"/>
                  </w:tcBorders>
                  <w:vAlign w:val="center"/>
                </w:tcPr>
                <w:p>
                  <w:pPr>
                    <w:spacing w:line="360" w:lineRule="auto"/>
                    <w:jc w:val="center"/>
                    <w:rPr>
                      <w:color w:val="auto"/>
                      <w:szCs w:val="21"/>
                      <w:highlight w:val="none"/>
                    </w:rPr>
                  </w:pPr>
                </w:p>
              </w:tc>
              <w:tc>
                <w:tcPr>
                  <w:tcW w:w="2130" w:type="dxa"/>
                  <w:tcBorders>
                    <w:tl2br w:val="nil"/>
                    <w:tr2bl w:val="nil"/>
                  </w:tcBorders>
                  <w:vAlign w:val="center"/>
                </w:tcPr>
                <w:p>
                  <w:pPr>
                    <w:spacing w:line="288" w:lineRule="auto"/>
                    <w:jc w:val="center"/>
                    <w:rPr>
                      <w:color w:val="auto"/>
                      <w:szCs w:val="21"/>
                      <w:highlight w:val="none"/>
                    </w:rPr>
                  </w:pPr>
                  <w:r>
                    <w:rPr>
                      <w:color w:val="auto"/>
                      <w:szCs w:val="21"/>
                      <w:highlight w:val="none"/>
                    </w:rPr>
                    <w:t>日平均值</w:t>
                  </w:r>
                </w:p>
              </w:tc>
              <w:tc>
                <w:tcPr>
                  <w:tcW w:w="1500" w:type="dxa"/>
                  <w:tcBorders>
                    <w:tl2br w:val="nil"/>
                    <w:tr2bl w:val="nil"/>
                  </w:tcBorders>
                  <w:vAlign w:val="center"/>
                </w:tcPr>
                <w:p>
                  <w:pPr>
                    <w:spacing w:line="288" w:lineRule="auto"/>
                    <w:jc w:val="center"/>
                    <w:rPr>
                      <w:color w:val="auto"/>
                      <w:szCs w:val="21"/>
                      <w:highlight w:val="none"/>
                    </w:rPr>
                  </w:pPr>
                  <w:r>
                    <w:rPr>
                      <w:rFonts w:hint="eastAsia"/>
                      <w:color w:val="auto"/>
                      <w:szCs w:val="21"/>
                      <w:highlight w:val="none"/>
                    </w:rPr>
                    <w:t>300</w:t>
                  </w:r>
                </w:p>
              </w:tc>
              <w:tc>
                <w:tcPr>
                  <w:tcW w:w="1640" w:type="dxa"/>
                  <w:tcBorders>
                    <w:tl2br w:val="nil"/>
                    <w:tr2bl w:val="nil"/>
                  </w:tcBorders>
                  <w:vAlign w:val="center"/>
                </w:tcPr>
                <w:p>
                  <w:pPr>
                    <w:spacing w:line="288" w:lineRule="auto"/>
                    <w:jc w:val="center"/>
                    <w:rPr>
                      <w:bCs/>
                      <w:color w:val="auto"/>
                      <w:szCs w:val="21"/>
                      <w:highlight w:val="none"/>
                    </w:rPr>
                  </w:pPr>
                  <w:r>
                    <w:rPr>
                      <w:bCs/>
                      <w:color w:val="auto"/>
                      <w:szCs w:val="21"/>
                      <w:highlight w:val="none"/>
                    </w:rPr>
                    <w:t>μg/m</w:t>
                  </w:r>
                  <w:r>
                    <w:rPr>
                      <w:bCs/>
                      <w:color w:val="auto"/>
                      <w:szCs w:val="21"/>
                      <w:highlight w:val="none"/>
                      <w:vertAlign w:val="superscript"/>
                    </w:rPr>
                    <w:t>3</w:t>
                  </w:r>
                </w:p>
              </w:tc>
            </w:tr>
          </w:tbl>
          <w:p>
            <w:pPr>
              <w:pStyle w:val="29"/>
              <w:numPr>
                <w:ilvl w:val="0"/>
                <w:numId w:val="7"/>
              </w:numPr>
              <w:spacing w:line="360" w:lineRule="auto"/>
              <w:ind w:firstLine="0"/>
              <w:rPr>
                <w:color w:val="auto"/>
                <w:szCs w:val="24"/>
                <w:highlight w:val="none"/>
              </w:rPr>
            </w:pPr>
            <w:r>
              <w:rPr>
                <w:color w:val="auto"/>
                <w:highlight w:val="none"/>
              </w:rPr>
              <w:t>《</w:t>
            </w:r>
            <w:r>
              <w:rPr>
                <w:rFonts w:hint="eastAsia"/>
                <w:color w:val="auto"/>
                <w:highlight w:val="none"/>
              </w:rPr>
              <w:t>声环境质量标准</w:t>
            </w:r>
            <w:r>
              <w:rPr>
                <w:color w:val="auto"/>
                <w:highlight w:val="none"/>
              </w:rPr>
              <w:t>》(GB309</w:t>
            </w:r>
            <w:r>
              <w:rPr>
                <w:rFonts w:hint="eastAsia"/>
                <w:color w:val="auto"/>
                <w:highlight w:val="none"/>
              </w:rPr>
              <w:t>6</w:t>
            </w:r>
            <w:r>
              <w:rPr>
                <w:color w:val="auto"/>
                <w:highlight w:val="none"/>
              </w:rPr>
              <w:t>—</w:t>
            </w:r>
            <w:r>
              <w:rPr>
                <w:rFonts w:hint="eastAsia"/>
                <w:color w:val="auto"/>
                <w:highlight w:val="none"/>
              </w:rPr>
              <w:t>2008</w:t>
            </w:r>
            <w:r>
              <w:rPr>
                <w:color w:val="auto"/>
                <w:highlight w:val="none"/>
              </w:rPr>
              <w:t>)</w:t>
            </w:r>
            <w:r>
              <w:rPr>
                <w:rFonts w:hint="eastAsia"/>
                <w:color w:val="auto"/>
                <w:highlight w:val="none"/>
              </w:rPr>
              <w:t xml:space="preserve"> 2类</w:t>
            </w:r>
            <w:r>
              <w:rPr>
                <w:color w:val="auto"/>
                <w:highlight w:val="none"/>
              </w:rPr>
              <w:t>标准</w:t>
            </w:r>
            <w:r>
              <w:rPr>
                <w:rFonts w:hint="eastAsia"/>
                <w:color w:val="auto"/>
                <w:szCs w:val="24"/>
                <w:highlight w:val="none"/>
              </w:rPr>
              <w:t>；</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hint="eastAsia" w:eastAsia="宋体" w:cs="Times New Roman"/>
                <w:b/>
                <w:color w:val="auto"/>
                <w:sz w:val="21"/>
                <w:szCs w:val="21"/>
                <w:highlight w:val="none"/>
              </w:rPr>
              <w:t>项目所在区域环境噪声标准限值    单位：dB（A）</w:t>
            </w:r>
          </w:p>
          <w:tbl>
            <w:tblPr>
              <w:tblStyle w:val="40"/>
              <w:tblW w:w="858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643"/>
              <w:gridCol w:w="1939"/>
              <w:gridCol w:w="200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643" w:type="dxa"/>
                  <w:vAlign w:val="center"/>
                </w:tcPr>
                <w:p>
                  <w:pPr>
                    <w:adjustRightInd w:val="0"/>
                    <w:snapToGrid w:val="0"/>
                    <w:spacing w:line="360" w:lineRule="auto"/>
                    <w:jc w:val="center"/>
                    <w:rPr>
                      <w:b/>
                      <w:color w:val="auto"/>
                      <w:szCs w:val="21"/>
                      <w:highlight w:val="none"/>
                    </w:rPr>
                  </w:pPr>
                  <w:r>
                    <w:rPr>
                      <w:rFonts w:hAnsi="宋体"/>
                      <w:b/>
                      <w:color w:val="auto"/>
                      <w:szCs w:val="21"/>
                      <w:highlight w:val="none"/>
                    </w:rPr>
                    <w:t>类</w:t>
                  </w:r>
                  <w:r>
                    <w:rPr>
                      <w:b/>
                      <w:color w:val="auto"/>
                      <w:szCs w:val="21"/>
                      <w:highlight w:val="none"/>
                    </w:rPr>
                    <w:t xml:space="preserve">  </w:t>
                  </w:r>
                  <w:r>
                    <w:rPr>
                      <w:rFonts w:hAnsi="宋体"/>
                      <w:b/>
                      <w:color w:val="auto"/>
                      <w:szCs w:val="21"/>
                      <w:highlight w:val="none"/>
                    </w:rPr>
                    <w:t>别</w:t>
                  </w:r>
                </w:p>
              </w:tc>
              <w:tc>
                <w:tcPr>
                  <w:tcW w:w="1939" w:type="dxa"/>
                  <w:vAlign w:val="center"/>
                </w:tcPr>
                <w:p>
                  <w:pPr>
                    <w:adjustRightInd w:val="0"/>
                    <w:snapToGrid w:val="0"/>
                    <w:spacing w:line="360" w:lineRule="auto"/>
                    <w:jc w:val="center"/>
                    <w:rPr>
                      <w:b/>
                      <w:color w:val="auto"/>
                      <w:szCs w:val="21"/>
                      <w:highlight w:val="none"/>
                    </w:rPr>
                  </w:pPr>
                  <w:r>
                    <w:rPr>
                      <w:rFonts w:hAnsi="宋体"/>
                      <w:b/>
                      <w:color w:val="auto"/>
                      <w:szCs w:val="21"/>
                      <w:highlight w:val="none"/>
                    </w:rPr>
                    <w:t>昼</w:t>
                  </w:r>
                  <w:r>
                    <w:rPr>
                      <w:b/>
                      <w:color w:val="auto"/>
                      <w:szCs w:val="21"/>
                      <w:highlight w:val="none"/>
                    </w:rPr>
                    <w:t xml:space="preserve">  </w:t>
                  </w:r>
                  <w:r>
                    <w:rPr>
                      <w:rFonts w:hAnsi="宋体"/>
                      <w:b/>
                      <w:color w:val="auto"/>
                      <w:szCs w:val="21"/>
                      <w:highlight w:val="none"/>
                    </w:rPr>
                    <w:t>间</w:t>
                  </w:r>
                </w:p>
              </w:tc>
              <w:tc>
                <w:tcPr>
                  <w:tcW w:w="2002" w:type="dxa"/>
                  <w:vAlign w:val="center"/>
                </w:tcPr>
                <w:p>
                  <w:pPr>
                    <w:adjustRightInd w:val="0"/>
                    <w:snapToGrid w:val="0"/>
                    <w:spacing w:line="360" w:lineRule="auto"/>
                    <w:jc w:val="center"/>
                    <w:rPr>
                      <w:b/>
                      <w:color w:val="auto"/>
                      <w:szCs w:val="21"/>
                      <w:highlight w:val="none"/>
                    </w:rPr>
                  </w:pPr>
                  <w:r>
                    <w:rPr>
                      <w:rFonts w:hAnsi="宋体"/>
                      <w:b/>
                      <w:color w:val="auto"/>
                      <w:szCs w:val="21"/>
                      <w:highlight w:val="none"/>
                    </w:rPr>
                    <w:t>夜</w:t>
                  </w:r>
                  <w:r>
                    <w:rPr>
                      <w:b/>
                      <w:color w:val="auto"/>
                      <w:szCs w:val="21"/>
                      <w:highlight w:val="none"/>
                    </w:rPr>
                    <w:t xml:space="preserve">  </w:t>
                  </w:r>
                  <w:r>
                    <w:rPr>
                      <w:rFonts w:hAnsi="宋体"/>
                      <w:b/>
                      <w:color w:val="auto"/>
                      <w:szCs w:val="21"/>
                      <w:highlight w:val="none"/>
                    </w:rPr>
                    <w:t>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643" w:type="dxa"/>
                  <w:vAlign w:val="center"/>
                </w:tcPr>
                <w:p>
                  <w:pPr>
                    <w:adjustRightInd w:val="0"/>
                    <w:snapToGrid w:val="0"/>
                    <w:jc w:val="center"/>
                    <w:rPr>
                      <w:b/>
                      <w:color w:val="auto"/>
                      <w:szCs w:val="21"/>
                      <w:highlight w:val="none"/>
                    </w:rPr>
                  </w:pPr>
                  <w:r>
                    <w:rPr>
                      <w:rFonts w:hAnsi="宋体"/>
                      <w:b/>
                      <w:color w:val="auto"/>
                      <w:szCs w:val="21"/>
                      <w:highlight w:val="none"/>
                    </w:rPr>
                    <w:t>《声环境质量标准》</w:t>
                  </w:r>
                  <w:r>
                    <w:rPr>
                      <w:rFonts w:hint="eastAsia"/>
                      <w:b/>
                      <w:color w:val="auto"/>
                      <w:szCs w:val="21"/>
                      <w:highlight w:val="none"/>
                    </w:rPr>
                    <w:t>2</w:t>
                  </w:r>
                  <w:r>
                    <w:rPr>
                      <w:rFonts w:hAnsi="宋体"/>
                      <w:b/>
                      <w:color w:val="auto"/>
                      <w:szCs w:val="21"/>
                      <w:highlight w:val="none"/>
                    </w:rPr>
                    <w:t>类</w:t>
                  </w:r>
                </w:p>
              </w:tc>
              <w:tc>
                <w:tcPr>
                  <w:tcW w:w="1939" w:type="dxa"/>
                  <w:vAlign w:val="center"/>
                </w:tcPr>
                <w:p>
                  <w:pPr>
                    <w:adjustRightInd w:val="0"/>
                    <w:snapToGrid w:val="0"/>
                    <w:jc w:val="center"/>
                    <w:rPr>
                      <w:color w:val="auto"/>
                      <w:szCs w:val="21"/>
                      <w:highlight w:val="none"/>
                    </w:rPr>
                  </w:pPr>
                  <w:r>
                    <w:rPr>
                      <w:color w:val="auto"/>
                      <w:szCs w:val="21"/>
                      <w:highlight w:val="none"/>
                    </w:rPr>
                    <w:t>6</w:t>
                  </w:r>
                  <w:r>
                    <w:rPr>
                      <w:rFonts w:hint="eastAsia"/>
                      <w:color w:val="auto"/>
                      <w:szCs w:val="21"/>
                      <w:highlight w:val="none"/>
                    </w:rPr>
                    <w:t>0</w:t>
                  </w:r>
                </w:p>
              </w:tc>
              <w:tc>
                <w:tcPr>
                  <w:tcW w:w="2002" w:type="dxa"/>
                  <w:vAlign w:val="center"/>
                </w:tcPr>
                <w:p>
                  <w:pPr>
                    <w:adjustRightInd w:val="0"/>
                    <w:snapToGrid w:val="0"/>
                    <w:jc w:val="center"/>
                    <w:rPr>
                      <w:color w:val="auto"/>
                      <w:szCs w:val="21"/>
                      <w:highlight w:val="none"/>
                    </w:rPr>
                  </w:pPr>
                  <w:r>
                    <w:rPr>
                      <w:color w:val="auto"/>
                      <w:szCs w:val="21"/>
                      <w:highlight w:val="none"/>
                    </w:rPr>
                    <w:t>5</w:t>
                  </w:r>
                  <w:r>
                    <w:rPr>
                      <w:rFonts w:hint="eastAsia"/>
                      <w:color w:val="auto"/>
                      <w:szCs w:val="21"/>
                      <w:highlight w:val="none"/>
                    </w:rPr>
                    <w:t>0</w:t>
                  </w:r>
                </w:p>
              </w:tc>
            </w:tr>
          </w:tbl>
          <w:p>
            <w:pPr>
              <w:pStyle w:val="29"/>
              <w:numPr>
                <w:ilvl w:val="0"/>
                <w:numId w:val="7"/>
              </w:numPr>
              <w:spacing w:line="360" w:lineRule="auto"/>
              <w:ind w:firstLine="0"/>
              <w:rPr>
                <w:color w:val="auto"/>
                <w:szCs w:val="24"/>
                <w:highlight w:val="none"/>
              </w:rPr>
            </w:pPr>
            <w:r>
              <w:rPr>
                <w:color w:val="auto"/>
                <w:highlight w:val="none"/>
              </w:rPr>
              <w:t>非甲</w:t>
            </w:r>
            <w:r>
              <w:rPr>
                <w:color w:val="auto"/>
                <w:szCs w:val="24"/>
                <w:highlight w:val="none"/>
              </w:rPr>
              <w:t>烷总烃执行《大气污染物综合排放标准详解》中解释标准；</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 xml:space="preserve">《大气污染物综合排放标准详解》摘录    </w:t>
            </w:r>
          </w:p>
          <w:tbl>
            <w:tblPr>
              <w:tblStyle w:val="40"/>
              <w:tblW w:w="84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13"/>
              <w:gridCol w:w="2813"/>
              <w:gridCol w:w="28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2813" w:type="dxa"/>
                  <w:vAlign w:val="center"/>
                </w:tcPr>
                <w:p>
                  <w:pPr>
                    <w:pStyle w:val="47"/>
                    <w:spacing w:line="360" w:lineRule="auto"/>
                    <w:jc w:val="center"/>
                    <w:rPr>
                      <w:rFonts w:ascii="Times New Roman" w:cs="Times New Roman"/>
                      <w:b/>
                      <w:bCs/>
                      <w:color w:val="auto"/>
                      <w:sz w:val="21"/>
                      <w:szCs w:val="21"/>
                      <w:highlight w:val="none"/>
                    </w:rPr>
                  </w:pPr>
                  <w:r>
                    <w:rPr>
                      <w:rFonts w:ascii="Times New Roman" w:cs="Times New Roman"/>
                      <w:b/>
                      <w:bCs/>
                      <w:color w:val="auto"/>
                      <w:sz w:val="21"/>
                      <w:szCs w:val="21"/>
                      <w:highlight w:val="none"/>
                    </w:rPr>
                    <w:t>类别</w:t>
                  </w:r>
                </w:p>
              </w:tc>
              <w:tc>
                <w:tcPr>
                  <w:tcW w:w="2813" w:type="dxa"/>
                  <w:vAlign w:val="center"/>
                </w:tcPr>
                <w:p>
                  <w:pPr>
                    <w:pStyle w:val="47"/>
                    <w:spacing w:line="360" w:lineRule="auto"/>
                    <w:jc w:val="center"/>
                    <w:rPr>
                      <w:rFonts w:ascii="Times New Roman" w:cs="Times New Roman"/>
                      <w:b/>
                      <w:bCs/>
                      <w:color w:val="auto"/>
                      <w:sz w:val="21"/>
                      <w:szCs w:val="21"/>
                      <w:highlight w:val="none"/>
                    </w:rPr>
                  </w:pPr>
                  <w:r>
                    <w:rPr>
                      <w:rFonts w:ascii="Times New Roman" w:cs="Times New Roman"/>
                      <w:b/>
                      <w:bCs/>
                      <w:color w:val="auto"/>
                      <w:sz w:val="21"/>
                      <w:szCs w:val="21"/>
                      <w:highlight w:val="none"/>
                    </w:rPr>
                    <w:t>浓度标准（mg/m³）</w:t>
                  </w:r>
                </w:p>
              </w:tc>
              <w:tc>
                <w:tcPr>
                  <w:tcW w:w="2814" w:type="dxa"/>
                  <w:vAlign w:val="center"/>
                </w:tcPr>
                <w:p>
                  <w:pPr>
                    <w:pStyle w:val="47"/>
                    <w:spacing w:line="360" w:lineRule="auto"/>
                    <w:jc w:val="center"/>
                    <w:rPr>
                      <w:rFonts w:ascii="Times New Roman" w:cs="Times New Roman"/>
                      <w:b/>
                      <w:bCs/>
                      <w:color w:val="auto"/>
                      <w:sz w:val="21"/>
                      <w:szCs w:val="21"/>
                      <w:highlight w:val="none"/>
                    </w:rPr>
                  </w:pPr>
                  <w:r>
                    <w:rPr>
                      <w:rFonts w:ascii="Times New Roman" w:cs="Times New Roman"/>
                      <w:b/>
                      <w:bCs/>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13" w:type="dxa"/>
                  <w:vAlign w:val="center"/>
                </w:tcPr>
                <w:p>
                  <w:pPr>
                    <w:pStyle w:val="47"/>
                    <w:spacing w:line="360" w:lineRule="auto"/>
                    <w:jc w:val="center"/>
                    <w:rPr>
                      <w:rFonts w:ascii="Times New Roman" w:cs="Times New Roman"/>
                      <w:color w:val="auto"/>
                      <w:sz w:val="21"/>
                      <w:szCs w:val="21"/>
                      <w:highlight w:val="none"/>
                    </w:rPr>
                  </w:pPr>
                  <w:r>
                    <w:rPr>
                      <w:rFonts w:ascii="Times New Roman" w:cs="Times New Roman"/>
                      <w:color w:val="auto"/>
                      <w:sz w:val="21"/>
                      <w:szCs w:val="21"/>
                      <w:highlight w:val="none"/>
                    </w:rPr>
                    <w:t>非甲烷总烃</w:t>
                  </w:r>
                </w:p>
              </w:tc>
              <w:tc>
                <w:tcPr>
                  <w:tcW w:w="2813" w:type="dxa"/>
                  <w:vAlign w:val="center"/>
                </w:tcPr>
                <w:p>
                  <w:pPr>
                    <w:pStyle w:val="47"/>
                    <w:spacing w:line="360" w:lineRule="auto"/>
                    <w:jc w:val="center"/>
                    <w:rPr>
                      <w:rFonts w:ascii="Times New Roman" w:cs="Times New Roman"/>
                      <w:color w:val="auto"/>
                      <w:sz w:val="21"/>
                      <w:szCs w:val="21"/>
                      <w:highlight w:val="none"/>
                    </w:rPr>
                  </w:pPr>
                  <w:r>
                    <w:rPr>
                      <w:rFonts w:ascii="Times New Roman" w:cs="Times New Roman"/>
                      <w:color w:val="auto"/>
                      <w:sz w:val="21"/>
                      <w:szCs w:val="21"/>
                      <w:highlight w:val="none"/>
                    </w:rPr>
                    <w:t>2.0</w:t>
                  </w:r>
                </w:p>
              </w:tc>
              <w:tc>
                <w:tcPr>
                  <w:tcW w:w="2814" w:type="dxa"/>
                  <w:vAlign w:val="center"/>
                </w:tcPr>
                <w:p>
                  <w:pPr>
                    <w:pStyle w:val="47"/>
                    <w:spacing w:line="360" w:lineRule="auto"/>
                    <w:jc w:val="center"/>
                    <w:rPr>
                      <w:rFonts w:ascii="Times New Roman" w:cs="Times New Roman"/>
                      <w:color w:val="auto"/>
                      <w:sz w:val="21"/>
                      <w:szCs w:val="21"/>
                      <w:highlight w:val="none"/>
                    </w:rPr>
                  </w:pPr>
                  <w:r>
                    <w:rPr>
                      <w:rFonts w:ascii="Times New Roman" w:cs="Times New Roman"/>
                      <w:color w:val="auto"/>
                      <w:sz w:val="21"/>
                      <w:szCs w:val="21"/>
                      <w:highlight w:val="none"/>
                    </w:rPr>
                    <w:t>——</w:t>
                  </w:r>
                </w:p>
              </w:tc>
            </w:tr>
          </w:tbl>
          <w:p>
            <w:pPr>
              <w:pStyle w:val="29"/>
              <w:spacing w:line="360" w:lineRule="auto"/>
              <w:ind w:firstLine="0"/>
              <w:rPr>
                <w:color w:val="auto"/>
                <w:highlight w:val="none"/>
              </w:rPr>
            </w:pPr>
          </w:p>
          <w:p>
            <w:pPr>
              <w:pStyle w:val="29"/>
              <w:spacing w:line="360" w:lineRule="auto"/>
              <w:ind w:firstLine="0"/>
              <w:rPr>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28" w:hRule="atLeast"/>
        </w:trPr>
        <w:tc>
          <w:tcPr>
            <w:tcW w:w="813" w:type="dxa"/>
            <w:vAlign w:val="center"/>
          </w:tcPr>
          <w:p>
            <w:pPr>
              <w:pStyle w:val="54"/>
              <w:topLinePunct w:val="0"/>
              <w:autoSpaceDE/>
              <w:autoSpaceDN/>
              <w:adjustRightInd/>
              <w:spacing w:before="120" w:line="336" w:lineRule="auto"/>
              <w:textAlignment w:val="auto"/>
              <w:rPr>
                <w:rFonts w:ascii="Times New Roman" w:hAnsi="Times New Roman"/>
                <w:color w:val="auto"/>
                <w:kern w:val="2"/>
                <w:szCs w:val="24"/>
                <w:highlight w:val="none"/>
              </w:rPr>
            </w:pPr>
            <w:r>
              <w:rPr>
                <w:rFonts w:hint="eastAsia" w:ascii="Times New Roman" w:hAnsi="Times New Roman"/>
                <w:color w:val="auto"/>
                <w:kern w:val="2"/>
                <w:szCs w:val="24"/>
                <w:highlight w:val="none"/>
              </w:rPr>
              <w:t>污</w:t>
            </w:r>
          </w:p>
          <w:p>
            <w:pPr>
              <w:pStyle w:val="54"/>
              <w:topLinePunct w:val="0"/>
              <w:autoSpaceDE/>
              <w:autoSpaceDN/>
              <w:adjustRightInd/>
              <w:spacing w:before="120" w:line="336" w:lineRule="auto"/>
              <w:textAlignment w:val="auto"/>
              <w:rPr>
                <w:rFonts w:ascii="Times New Roman" w:hAnsi="Times New Roman"/>
                <w:color w:val="auto"/>
                <w:kern w:val="2"/>
                <w:szCs w:val="24"/>
                <w:highlight w:val="none"/>
              </w:rPr>
            </w:pPr>
            <w:r>
              <w:rPr>
                <w:rFonts w:hint="eastAsia" w:ascii="Times New Roman" w:hAnsi="Times New Roman"/>
                <w:color w:val="auto"/>
                <w:kern w:val="2"/>
                <w:szCs w:val="24"/>
                <w:highlight w:val="none"/>
              </w:rPr>
              <w:t>染</w:t>
            </w:r>
          </w:p>
          <w:p>
            <w:pPr>
              <w:pStyle w:val="54"/>
              <w:topLinePunct w:val="0"/>
              <w:autoSpaceDE/>
              <w:autoSpaceDN/>
              <w:adjustRightInd/>
              <w:spacing w:before="120" w:line="336" w:lineRule="auto"/>
              <w:textAlignment w:val="auto"/>
              <w:rPr>
                <w:rFonts w:ascii="Times New Roman" w:hAnsi="Times New Roman"/>
                <w:color w:val="auto"/>
                <w:kern w:val="2"/>
                <w:szCs w:val="24"/>
                <w:highlight w:val="none"/>
              </w:rPr>
            </w:pPr>
            <w:r>
              <w:rPr>
                <w:rFonts w:hint="eastAsia" w:ascii="Times New Roman" w:hAnsi="Times New Roman"/>
                <w:color w:val="auto"/>
                <w:kern w:val="2"/>
                <w:szCs w:val="24"/>
                <w:highlight w:val="none"/>
              </w:rPr>
              <w:t>物</w:t>
            </w:r>
          </w:p>
          <w:p>
            <w:pPr>
              <w:pStyle w:val="54"/>
              <w:topLinePunct w:val="0"/>
              <w:autoSpaceDE/>
              <w:autoSpaceDN/>
              <w:adjustRightInd/>
              <w:spacing w:before="120" w:line="336" w:lineRule="auto"/>
              <w:textAlignment w:val="auto"/>
              <w:rPr>
                <w:rFonts w:ascii="Times New Roman" w:hAnsi="Times New Roman"/>
                <w:color w:val="auto"/>
                <w:kern w:val="2"/>
                <w:szCs w:val="24"/>
                <w:highlight w:val="none"/>
              </w:rPr>
            </w:pPr>
            <w:r>
              <w:rPr>
                <w:rFonts w:hint="eastAsia" w:ascii="Times New Roman" w:hAnsi="Times New Roman"/>
                <w:color w:val="auto"/>
                <w:kern w:val="2"/>
                <w:szCs w:val="24"/>
                <w:highlight w:val="none"/>
              </w:rPr>
              <w:t>排</w:t>
            </w:r>
          </w:p>
          <w:p>
            <w:pPr>
              <w:pStyle w:val="54"/>
              <w:topLinePunct w:val="0"/>
              <w:autoSpaceDE/>
              <w:autoSpaceDN/>
              <w:adjustRightInd/>
              <w:spacing w:before="120" w:line="336" w:lineRule="auto"/>
              <w:textAlignment w:val="auto"/>
              <w:rPr>
                <w:rFonts w:ascii="Times New Roman" w:hAnsi="Times New Roman"/>
                <w:color w:val="auto"/>
                <w:kern w:val="2"/>
                <w:szCs w:val="24"/>
                <w:highlight w:val="none"/>
              </w:rPr>
            </w:pPr>
            <w:r>
              <w:rPr>
                <w:rFonts w:hint="eastAsia" w:ascii="Times New Roman" w:hAnsi="Times New Roman"/>
                <w:color w:val="auto"/>
                <w:kern w:val="2"/>
                <w:szCs w:val="24"/>
                <w:highlight w:val="none"/>
              </w:rPr>
              <w:t>放</w:t>
            </w:r>
          </w:p>
          <w:p>
            <w:pPr>
              <w:pStyle w:val="54"/>
              <w:topLinePunct w:val="0"/>
              <w:autoSpaceDE/>
              <w:autoSpaceDN/>
              <w:adjustRightInd/>
              <w:spacing w:before="120" w:line="336" w:lineRule="auto"/>
              <w:textAlignment w:val="auto"/>
              <w:rPr>
                <w:rFonts w:ascii="Times New Roman" w:hAnsi="Times New Roman"/>
                <w:color w:val="auto"/>
                <w:kern w:val="2"/>
                <w:szCs w:val="24"/>
                <w:highlight w:val="none"/>
              </w:rPr>
            </w:pPr>
            <w:r>
              <w:rPr>
                <w:rFonts w:hint="eastAsia" w:ascii="Times New Roman" w:hAnsi="Times New Roman"/>
                <w:color w:val="auto"/>
                <w:kern w:val="2"/>
                <w:szCs w:val="24"/>
                <w:highlight w:val="none"/>
              </w:rPr>
              <w:t>标</w:t>
            </w:r>
          </w:p>
          <w:p>
            <w:pPr>
              <w:pStyle w:val="54"/>
              <w:topLinePunct w:val="0"/>
              <w:autoSpaceDE/>
              <w:autoSpaceDN/>
              <w:adjustRightInd/>
              <w:spacing w:before="120" w:line="336" w:lineRule="auto"/>
              <w:textAlignment w:val="auto"/>
              <w:rPr>
                <w:rFonts w:ascii="Times New Roman" w:hAnsi="Times New Roman"/>
                <w:color w:val="auto"/>
                <w:kern w:val="2"/>
                <w:szCs w:val="24"/>
                <w:highlight w:val="none"/>
              </w:rPr>
            </w:pPr>
            <w:r>
              <w:rPr>
                <w:rFonts w:hint="eastAsia" w:ascii="Times New Roman" w:hAnsi="Times New Roman"/>
                <w:color w:val="auto"/>
                <w:kern w:val="2"/>
                <w:szCs w:val="24"/>
                <w:highlight w:val="none"/>
              </w:rPr>
              <w:t>准</w:t>
            </w:r>
          </w:p>
        </w:tc>
        <w:tc>
          <w:tcPr>
            <w:tcW w:w="8715" w:type="dxa"/>
            <w:vAlign w:val="center"/>
          </w:tcPr>
          <w:p>
            <w:pPr>
              <w:numPr>
                <w:ilvl w:val="0"/>
                <w:numId w:val="8"/>
              </w:numPr>
              <w:spacing w:line="312" w:lineRule="auto"/>
              <w:rPr>
                <w:color w:val="auto"/>
                <w:sz w:val="24"/>
                <w:highlight w:val="none"/>
              </w:rPr>
            </w:pPr>
            <w:r>
              <w:rPr>
                <w:rFonts w:hint="eastAsia"/>
                <w:color w:val="auto"/>
                <w:sz w:val="24"/>
                <w:highlight w:val="none"/>
              </w:rPr>
              <w:t>生活污水</w:t>
            </w:r>
            <w:r>
              <w:rPr>
                <w:color w:val="auto"/>
                <w:sz w:val="24"/>
                <w:highlight w:val="none"/>
              </w:rPr>
              <w:t>排入市政污水管网执行</w:t>
            </w:r>
            <w:r>
              <w:rPr>
                <w:rFonts w:hint="eastAsia"/>
                <w:color w:val="auto"/>
                <w:sz w:val="24"/>
                <w:highlight w:val="none"/>
              </w:rPr>
              <w:t>广东省地方标准《水污染物排放限值》</w:t>
            </w:r>
            <w:r>
              <w:rPr>
                <w:color w:val="auto"/>
                <w:sz w:val="24"/>
                <w:highlight w:val="none"/>
              </w:rPr>
              <w:t>（DB44/26-2001）第二时段三级标准</w:t>
            </w:r>
            <w:r>
              <w:rPr>
                <w:rFonts w:hint="eastAsia"/>
                <w:color w:val="auto"/>
                <w:sz w:val="24"/>
                <w:highlight w:val="none"/>
              </w:rPr>
              <w:t>和</w:t>
            </w:r>
            <w:r>
              <w:rPr>
                <w:rFonts w:hint="eastAsia"/>
                <w:color w:val="auto"/>
                <w:sz w:val="24"/>
                <w:highlight w:val="none"/>
                <w:lang w:eastAsia="zh-CN"/>
              </w:rPr>
              <w:t>《污水排入城镇下水道水质标准》(GB/T31962-2015 )B级标准</w:t>
            </w:r>
            <w:r>
              <w:rPr>
                <w:rFonts w:hint="eastAsia"/>
                <w:color w:val="auto"/>
                <w:sz w:val="24"/>
                <w:highlight w:val="none"/>
              </w:rPr>
              <w:t>较严者</w:t>
            </w:r>
            <w:r>
              <w:rPr>
                <w:color w:val="auto"/>
                <w:sz w:val="24"/>
                <w:highlight w:val="none"/>
              </w:rPr>
              <w:t>，进污水处理厂处理后达到</w:t>
            </w:r>
            <w:r>
              <w:rPr>
                <w:rFonts w:hint="eastAsia"/>
                <w:color w:val="auto"/>
                <w:sz w:val="24"/>
                <w:highlight w:val="none"/>
              </w:rPr>
              <w:t>《城镇污水处理厂污染物排放标准》（GB18918-2002）中一级A 标准及广东省地方标准《水污染物排放限值》（DB44/26-2001）第二时段一级标准的较严值；</w:t>
            </w:r>
          </w:p>
          <w:p>
            <w:pPr>
              <w:pStyle w:val="138"/>
              <w:numPr>
                <w:ilvl w:val="0"/>
                <w:numId w:val="5"/>
              </w:numPr>
              <w:tabs>
                <w:tab w:val="left" w:pos="420"/>
              </w:tabs>
              <w:adjustRightInd/>
              <w:snapToGrid/>
              <w:spacing w:line="312" w:lineRule="auto"/>
              <w:ind w:left="0" w:firstLine="471"/>
              <w:rPr>
                <w:rFonts w:eastAsia="宋体" w:cs="Times New Roman"/>
                <w:b/>
                <w:color w:val="auto"/>
                <w:sz w:val="21"/>
                <w:szCs w:val="21"/>
                <w:highlight w:val="none"/>
              </w:rPr>
            </w:pPr>
            <w:r>
              <w:rPr>
                <w:rFonts w:hint="eastAsia" w:eastAsia="宋体" w:cs="Times New Roman"/>
                <w:b/>
                <w:color w:val="auto"/>
                <w:sz w:val="21"/>
                <w:szCs w:val="21"/>
                <w:highlight w:val="none"/>
              </w:rPr>
              <w:t>生活污水排放限值 （mg/L，pH除外）</w:t>
            </w:r>
          </w:p>
          <w:tbl>
            <w:tblPr>
              <w:tblStyle w:val="40"/>
              <w:tblW w:w="8491"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
            <w:tblGrid>
              <w:gridCol w:w="4341"/>
              <w:gridCol w:w="795"/>
              <w:gridCol w:w="806"/>
              <w:gridCol w:w="936"/>
              <w:gridCol w:w="780"/>
              <w:gridCol w:w="83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60" w:hRule="atLeast"/>
                <w:jc w:val="center"/>
              </w:trPr>
              <w:tc>
                <w:tcPr>
                  <w:tcW w:w="4341" w:type="dxa"/>
                  <w:tcMar>
                    <w:top w:w="13" w:type="dxa"/>
                    <w:left w:w="13" w:type="dxa"/>
                    <w:bottom w:w="0" w:type="dxa"/>
                    <w:right w:w="13" w:type="dxa"/>
                  </w:tcMar>
                  <w:vAlign w:val="center"/>
                </w:tcPr>
                <w:p>
                  <w:pPr>
                    <w:pStyle w:val="150"/>
                    <w:tabs>
                      <w:tab w:val="left" w:pos="945"/>
                      <w:tab w:val="right" w:leader="dot" w:pos="1155"/>
                      <w:tab w:val="left" w:pos="8715"/>
                    </w:tabs>
                    <w:overflowPunct/>
                    <w:autoSpaceDE/>
                    <w:autoSpaceDN/>
                    <w:adjustRightInd/>
                    <w:spacing w:line="240" w:lineRule="auto"/>
                    <w:rPr>
                      <w:b/>
                      <w:color w:val="auto"/>
                      <w:sz w:val="21"/>
                      <w:szCs w:val="21"/>
                      <w:highlight w:val="none"/>
                    </w:rPr>
                  </w:pPr>
                  <w:r>
                    <w:rPr>
                      <w:rFonts w:hint="eastAsia"/>
                      <w:b/>
                      <w:color w:val="auto"/>
                      <w:sz w:val="21"/>
                      <w:szCs w:val="21"/>
                      <w:highlight w:val="none"/>
                    </w:rPr>
                    <w:t>标准</w:t>
                  </w:r>
                </w:p>
              </w:tc>
              <w:tc>
                <w:tcPr>
                  <w:tcW w:w="795" w:type="dxa"/>
                  <w:tcMar>
                    <w:top w:w="13" w:type="dxa"/>
                    <w:left w:w="13" w:type="dxa"/>
                    <w:bottom w:w="0" w:type="dxa"/>
                    <w:right w:w="13" w:type="dxa"/>
                  </w:tcMar>
                  <w:vAlign w:val="center"/>
                </w:tcPr>
                <w:p>
                  <w:pPr>
                    <w:pStyle w:val="150"/>
                    <w:tabs>
                      <w:tab w:val="left" w:pos="945"/>
                      <w:tab w:val="right" w:leader="dot" w:pos="1155"/>
                      <w:tab w:val="left" w:pos="8715"/>
                    </w:tabs>
                    <w:overflowPunct/>
                    <w:autoSpaceDE/>
                    <w:autoSpaceDN/>
                    <w:adjustRightInd/>
                    <w:spacing w:line="240" w:lineRule="auto"/>
                    <w:rPr>
                      <w:b/>
                      <w:color w:val="auto"/>
                      <w:sz w:val="21"/>
                      <w:szCs w:val="21"/>
                      <w:highlight w:val="none"/>
                    </w:rPr>
                  </w:pPr>
                  <w:r>
                    <w:rPr>
                      <w:rFonts w:hint="eastAsia"/>
                      <w:b/>
                      <w:color w:val="auto"/>
                      <w:sz w:val="21"/>
                      <w:szCs w:val="21"/>
                      <w:highlight w:val="none"/>
                    </w:rPr>
                    <w:t>PH</w:t>
                  </w:r>
                </w:p>
              </w:tc>
              <w:tc>
                <w:tcPr>
                  <w:tcW w:w="806" w:type="dxa"/>
                  <w:vAlign w:val="center"/>
                </w:tcPr>
                <w:p>
                  <w:pPr>
                    <w:pStyle w:val="150"/>
                    <w:tabs>
                      <w:tab w:val="left" w:pos="945"/>
                      <w:tab w:val="right" w:leader="dot" w:pos="1155"/>
                      <w:tab w:val="left" w:pos="8715"/>
                    </w:tabs>
                    <w:overflowPunct/>
                    <w:autoSpaceDE/>
                    <w:autoSpaceDN/>
                    <w:adjustRightInd/>
                    <w:spacing w:line="240" w:lineRule="auto"/>
                    <w:rPr>
                      <w:b/>
                      <w:color w:val="auto"/>
                      <w:sz w:val="21"/>
                      <w:szCs w:val="21"/>
                      <w:highlight w:val="none"/>
                    </w:rPr>
                  </w:pPr>
                  <w:r>
                    <w:rPr>
                      <w:b/>
                      <w:color w:val="auto"/>
                      <w:sz w:val="21"/>
                      <w:szCs w:val="21"/>
                      <w:highlight w:val="none"/>
                    </w:rPr>
                    <w:t>COD</w:t>
                  </w:r>
                  <w:r>
                    <w:rPr>
                      <w:b/>
                      <w:color w:val="auto"/>
                      <w:sz w:val="21"/>
                      <w:szCs w:val="21"/>
                      <w:highlight w:val="none"/>
                      <w:vertAlign w:val="subscript"/>
                    </w:rPr>
                    <w:t>cr</w:t>
                  </w:r>
                </w:p>
              </w:tc>
              <w:tc>
                <w:tcPr>
                  <w:tcW w:w="936" w:type="dxa"/>
                  <w:vAlign w:val="center"/>
                </w:tcPr>
                <w:p>
                  <w:pPr>
                    <w:pStyle w:val="150"/>
                    <w:tabs>
                      <w:tab w:val="left" w:pos="945"/>
                      <w:tab w:val="right" w:leader="dot" w:pos="1155"/>
                      <w:tab w:val="left" w:pos="8715"/>
                    </w:tabs>
                    <w:overflowPunct/>
                    <w:autoSpaceDE/>
                    <w:autoSpaceDN/>
                    <w:adjustRightInd/>
                    <w:spacing w:line="240" w:lineRule="auto"/>
                    <w:rPr>
                      <w:b/>
                      <w:color w:val="auto"/>
                      <w:sz w:val="21"/>
                      <w:szCs w:val="21"/>
                      <w:highlight w:val="none"/>
                    </w:rPr>
                  </w:pPr>
                  <w:r>
                    <w:rPr>
                      <w:b/>
                      <w:color w:val="auto"/>
                      <w:sz w:val="21"/>
                      <w:szCs w:val="21"/>
                      <w:highlight w:val="none"/>
                    </w:rPr>
                    <w:t>BOD</w:t>
                  </w:r>
                  <w:r>
                    <w:rPr>
                      <w:b/>
                      <w:color w:val="auto"/>
                      <w:sz w:val="21"/>
                      <w:szCs w:val="21"/>
                      <w:highlight w:val="none"/>
                      <w:vertAlign w:val="subscript"/>
                    </w:rPr>
                    <w:t>5</w:t>
                  </w:r>
                </w:p>
              </w:tc>
              <w:tc>
                <w:tcPr>
                  <w:tcW w:w="780" w:type="dxa"/>
                  <w:vAlign w:val="center"/>
                </w:tcPr>
                <w:p>
                  <w:pPr>
                    <w:pStyle w:val="150"/>
                    <w:tabs>
                      <w:tab w:val="left" w:pos="945"/>
                      <w:tab w:val="right" w:leader="dot" w:pos="1155"/>
                      <w:tab w:val="left" w:pos="8715"/>
                    </w:tabs>
                    <w:overflowPunct/>
                    <w:autoSpaceDE/>
                    <w:autoSpaceDN/>
                    <w:adjustRightInd/>
                    <w:spacing w:line="240" w:lineRule="auto"/>
                    <w:rPr>
                      <w:b/>
                      <w:color w:val="auto"/>
                      <w:sz w:val="21"/>
                      <w:szCs w:val="21"/>
                      <w:highlight w:val="none"/>
                    </w:rPr>
                  </w:pPr>
                  <w:r>
                    <w:rPr>
                      <w:b/>
                      <w:color w:val="auto"/>
                      <w:sz w:val="21"/>
                      <w:szCs w:val="21"/>
                      <w:highlight w:val="none"/>
                    </w:rPr>
                    <w:t>SS</w:t>
                  </w:r>
                </w:p>
              </w:tc>
              <w:tc>
                <w:tcPr>
                  <w:tcW w:w="833" w:type="dxa"/>
                  <w:vAlign w:val="center"/>
                </w:tcPr>
                <w:p>
                  <w:pPr>
                    <w:pStyle w:val="150"/>
                    <w:tabs>
                      <w:tab w:val="left" w:pos="945"/>
                      <w:tab w:val="right" w:leader="dot" w:pos="1155"/>
                      <w:tab w:val="left" w:pos="8715"/>
                    </w:tabs>
                    <w:overflowPunct/>
                    <w:autoSpaceDE/>
                    <w:autoSpaceDN/>
                    <w:adjustRightInd/>
                    <w:spacing w:line="240" w:lineRule="auto"/>
                    <w:rPr>
                      <w:b/>
                      <w:color w:val="auto"/>
                      <w:sz w:val="21"/>
                      <w:szCs w:val="21"/>
                      <w:highlight w:val="none"/>
                    </w:rPr>
                  </w:pPr>
                  <w:r>
                    <w:rPr>
                      <w:b/>
                      <w:bCs/>
                      <w:color w:val="auto"/>
                      <w:sz w:val="21"/>
                      <w:szCs w:val="21"/>
                      <w:highlight w:val="none"/>
                    </w:rPr>
                    <w:t>氨氮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1044" w:hRule="atLeast"/>
                <w:jc w:val="center"/>
              </w:trPr>
              <w:tc>
                <w:tcPr>
                  <w:tcW w:w="4341" w:type="dxa"/>
                  <w:tcMar>
                    <w:top w:w="13" w:type="dxa"/>
                    <w:left w:w="13" w:type="dxa"/>
                    <w:bottom w:w="0" w:type="dxa"/>
                    <w:right w:w="13" w:type="dxa"/>
                  </w:tcMar>
                  <w:vAlign w:val="center"/>
                </w:tcPr>
                <w:p>
                  <w:pPr>
                    <w:pStyle w:val="150"/>
                    <w:tabs>
                      <w:tab w:val="left" w:pos="945"/>
                      <w:tab w:val="right" w:leader="dot" w:pos="1155"/>
                      <w:tab w:val="left" w:pos="8715"/>
                    </w:tabs>
                    <w:overflowPunct/>
                    <w:autoSpaceDE/>
                    <w:autoSpaceDN/>
                    <w:adjustRightInd/>
                    <w:spacing w:line="240" w:lineRule="auto"/>
                    <w:rPr>
                      <w:rStyle w:val="46"/>
                      <w:color w:val="auto"/>
                      <w:highlight w:val="none"/>
                    </w:rPr>
                  </w:pPr>
                  <w:r>
                    <w:rPr>
                      <w:rStyle w:val="46"/>
                      <w:rFonts w:hint="eastAsia"/>
                      <w:color w:val="auto"/>
                      <w:highlight w:val="none"/>
                    </w:rPr>
                    <w:t>广东省地方标准《水污染物排放限值》（DB44/26-2001）第二时段三级标准和</w:t>
                  </w:r>
                  <w:r>
                    <w:rPr>
                      <w:rStyle w:val="46"/>
                      <w:rFonts w:hint="eastAsia"/>
                      <w:color w:val="auto"/>
                      <w:highlight w:val="none"/>
                      <w:lang w:eastAsia="zh-CN"/>
                    </w:rPr>
                    <w:t>《污水排入城镇下水道水质标准》(GB/T31962-2015 )B级标准</w:t>
                  </w:r>
                  <w:r>
                    <w:rPr>
                      <w:rStyle w:val="46"/>
                      <w:rFonts w:hint="eastAsia"/>
                      <w:color w:val="auto"/>
                      <w:highlight w:val="none"/>
                    </w:rPr>
                    <w:t>较严者</w:t>
                  </w:r>
                </w:p>
              </w:tc>
              <w:tc>
                <w:tcPr>
                  <w:tcW w:w="795" w:type="dxa"/>
                  <w:tcMar>
                    <w:top w:w="13" w:type="dxa"/>
                    <w:left w:w="13" w:type="dxa"/>
                    <w:bottom w:w="0" w:type="dxa"/>
                    <w:right w:w="13" w:type="dxa"/>
                  </w:tcMar>
                  <w:vAlign w:val="center"/>
                </w:tcPr>
                <w:p>
                  <w:pPr>
                    <w:pStyle w:val="150"/>
                    <w:tabs>
                      <w:tab w:val="left" w:pos="945"/>
                      <w:tab w:val="right" w:leader="dot" w:pos="1155"/>
                      <w:tab w:val="left" w:pos="8715"/>
                    </w:tabs>
                    <w:overflowPunct/>
                    <w:autoSpaceDE/>
                    <w:autoSpaceDN/>
                    <w:adjustRightInd/>
                    <w:spacing w:line="240" w:lineRule="auto"/>
                    <w:rPr>
                      <w:color w:val="auto"/>
                      <w:sz w:val="21"/>
                      <w:szCs w:val="21"/>
                      <w:highlight w:val="none"/>
                    </w:rPr>
                  </w:pPr>
                  <w:r>
                    <w:rPr>
                      <w:rFonts w:hint="eastAsia"/>
                      <w:color w:val="auto"/>
                      <w:sz w:val="21"/>
                      <w:szCs w:val="21"/>
                      <w:highlight w:val="none"/>
                    </w:rPr>
                    <w:t>6-9</w:t>
                  </w:r>
                </w:p>
              </w:tc>
              <w:tc>
                <w:tcPr>
                  <w:tcW w:w="806" w:type="dxa"/>
                  <w:vAlign w:val="center"/>
                </w:tcPr>
                <w:p>
                  <w:pPr>
                    <w:pStyle w:val="150"/>
                    <w:tabs>
                      <w:tab w:val="left" w:pos="945"/>
                      <w:tab w:val="right" w:leader="dot" w:pos="1155"/>
                      <w:tab w:val="left" w:pos="8715"/>
                    </w:tabs>
                    <w:overflowPunct/>
                    <w:autoSpaceDE/>
                    <w:autoSpaceDN/>
                    <w:adjustRightInd/>
                    <w:spacing w:line="240" w:lineRule="auto"/>
                    <w:rPr>
                      <w:color w:val="auto"/>
                      <w:sz w:val="21"/>
                      <w:szCs w:val="21"/>
                      <w:highlight w:val="none"/>
                    </w:rPr>
                  </w:pPr>
                  <w:r>
                    <w:rPr>
                      <w:color w:val="auto"/>
                      <w:sz w:val="21"/>
                      <w:szCs w:val="21"/>
                      <w:highlight w:val="none"/>
                    </w:rPr>
                    <w:t>500</w:t>
                  </w:r>
                </w:p>
              </w:tc>
              <w:tc>
                <w:tcPr>
                  <w:tcW w:w="936" w:type="dxa"/>
                  <w:vAlign w:val="center"/>
                </w:tcPr>
                <w:p>
                  <w:pPr>
                    <w:pStyle w:val="150"/>
                    <w:tabs>
                      <w:tab w:val="left" w:pos="945"/>
                      <w:tab w:val="right" w:leader="dot" w:pos="1155"/>
                      <w:tab w:val="left" w:pos="8715"/>
                    </w:tabs>
                    <w:overflowPunct/>
                    <w:autoSpaceDE/>
                    <w:autoSpaceDN/>
                    <w:adjustRightInd/>
                    <w:spacing w:line="240" w:lineRule="auto"/>
                    <w:rPr>
                      <w:color w:val="auto"/>
                      <w:sz w:val="21"/>
                      <w:szCs w:val="21"/>
                      <w:highlight w:val="none"/>
                    </w:rPr>
                  </w:pPr>
                  <w:r>
                    <w:rPr>
                      <w:color w:val="auto"/>
                      <w:sz w:val="21"/>
                      <w:szCs w:val="21"/>
                      <w:highlight w:val="none"/>
                    </w:rPr>
                    <w:t>300</w:t>
                  </w:r>
                </w:p>
              </w:tc>
              <w:tc>
                <w:tcPr>
                  <w:tcW w:w="780" w:type="dxa"/>
                  <w:vAlign w:val="center"/>
                </w:tcPr>
                <w:p>
                  <w:pPr>
                    <w:pStyle w:val="150"/>
                    <w:tabs>
                      <w:tab w:val="left" w:pos="945"/>
                      <w:tab w:val="right" w:leader="dot" w:pos="1155"/>
                      <w:tab w:val="left" w:pos="8715"/>
                    </w:tabs>
                    <w:overflowPunct/>
                    <w:autoSpaceDE/>
                    <w:autoSpaceDN/>
                    <w:adjustRightInd/>
                    <w:spacing w:line="240" w:lineRule="auto"/>
                    <w:rPr>
                      <w:color w:val="auto"/>
                      <w:sz w:val="21"/>
                      <w:szCs w:val="21"/>
                      <w:highlight w:val="none"/>
                    </w:rPr>
                  </w:pPr>
                  <w:r>
                    <w:rPr>
                      <w:color w:val="auto"/>
                      <w:sz w:val="21"/>
                      <w:szCs w:val="21"/>
                      <w:highlight w:val="none"/>
                    </w:rPr>
                    <w:t>400</w:t>
                  </w:r>
                </w:p>
              </w:tc>
              <w:tc>
                <w:tcPr>
                  <w:tcW w:w="833" w:type="dxa"/>
                  <w:vAlign w:val="center"/>
                </w:tcPr>
                <w:p>
                  <w:pPr>
                    <w:pStyle w:val="150"/>
                    <w:tabs>
                      <w:tab w:val="left" w:pos="945"/>
                      <w:tab w:val="right" w:leader="dot" w:pos="1155"/>
                      <w:tab w:val="left" w:pos="8715"/>
                    </w:tabs>
                    <w:overflowPunct/>
                    <w:autoSpaceDE/>
                    <w:autoSpaceDN/>
                    <w:adjustRightInd/>
                    <w:spacing w:line="240" w:lineRule="auto"/>
                    <w:rPr>
                      <w:color w:val="auto"/>
                      <w:sz w:val="21"/>
                      <w:szCs w:val="21"/>
                      <w:highlight w:val="none"/>
                    </w:rPr>
                  </w:pPr>
                  <w:r>
                    <w:rPr>
                      <w:rFonts w:hint="eastAsia"/>
                      <w:color w:val="auto"/>
                      <w:sz w:val="21"/>
                      <w:szCs w:val="21"/>
                      <w:highlight w:val="none"/>
                    </w:rPr>
                    <w:t>45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23" w:hRule="atLeast"/>
                <w:jc w:val="center"/>
              </w:trPr>
              <w:tc>
                <w:tcPr>
                  <w:tcW w:w="4341" w:type="dxa"/>
                  <w:tcMar>
                    <w:top w:w="13" w:type="dxa"/>
                    <w:left w:w="13" w:type="dxa"/>
                    <w:bottom w:w="0" w:type="dxa"/>
                    <w:right w:w="13" w:type="dxa"/>
                  </w:tcMar>
                  <w:vAlign w:val="center"/>
                </w:tcPr>
                <w:p>
                  <w:pPr>
                    <w:pStyle w:val="150"/>
                    <w:tabs>
                      <w:tab w:val="left" w:pos="945"/>
                      <w:tab w:val="right" w:leader="dot" w:pos="1155"/>
                      <w:tab w:val="left" w:pos="8715"/>
                    </w:tabs>
                    <w:overflowPunct/>
                    <w:autoSpaceDE/>
                    <w:autoSpaceDN/>
                    <w:adjustRightInd/>
                    <w:spacing w:line="240" w:lineRule="auto"/>
                    <w:rPr>
                      <w:color w:val="auto"/>
                      <w:sz w:val="21"/>
                      <w:szCs w:val="21"/>
                      <w:highlight w:val="none"/>
                    </w:rPr>
                  </w:pPr>
                  <w:r>
                    <w:rPr>
                      <w:rFonts w:hint="eastAsia"/>
                      <w:color w:val="auto"/>
                      <w:sz w:val="21"/>
                      <w:szCs w:val="21"/>
                      <w:highlight w:val="none"/>
                    </w:rPr>
                    <w:t>《城镇污水处理厂污染物排放标准》（GB18918-2002）中一级A 标准及广东省地方标准《水污染物排放限值》（DB44/26-2001）第二时段一级标准的较严值</w:t>
                  </w:r>
                </w:p>
              </w:tc>
              <w:tc>
                <w:tcPr>
                  <w:tcW w:w="795" w:type="dxa"/>
                  <w:tcMar>
                    <w:top w:w="13" w:type="dxa"/>
                    <w:left w:w="13" w:type="dxa"/>
                    <w:bottom w:w="0" w:type="dxa"/>
                    <w:right w:w="13" w:type="dxa"/>
                  </w:tcMar>
                  <w:vAlign w:val="center"/>
                </w:tcPr>
                <w:p>
                  <w:pPr>
                    <w:pStyle w:val="150"/>
                    <w:tabs>
                      <w:tab w:val="left" w:pos="945"/>
                      <w:tab w:val="right" w:leader="dot" w:pos="1155"/>
                      <w:tab w:val="left" w:pos="8715"/>
                    </w:tabs>
                    <w:overflowPunct/>
                    <w:autoSpaceDE/>
                    <w:autoSpaceDN/>
                    <w:adjustRightInd/>
                    <w:spacing w:line="240" w:lineRule="auto"/>
                    <w:rPr>
                      <w:color w:val="auto"/>
                      <w:sz w:val="21"/>
                      <w:szCs w:val="21"/>
                      <w:highlight w:val="none"/>
                    </w:rPr>
                  </w:pPr>
                  <w:r>
                    <w:rPr>
                      <w:rFonts w:hint="eastAsia"/>
                      <w:color w:val="auto"/>
                      <w:sz w:val="21"/>
                      <w:szCs w:val="21"/>
                      <w:highlight w:val="none"/>
                    </w:rPr>
                    <w:t>6-9</w:t>
                  </w:r>
                </w:p>
              </w:tc>
              <w:tc>
                <w:tcPr>
                  <w:tcW w:w="806" w:type="dxa"/>
                  <w:vAlign w:val="center"/>
                </w:tcPr>
                <w:p>
                  <w:pPr>
                    <w:pStyle w:val="150"/>
                    <w:tabs>
                      <w:tab w:val="left" w:pos="945"/>
                      <w:tab w:val="right" w:leader="dot" w:pos="1155"/>
                      <w:tab w:val="left" w:pos="8715"/>
                    </w:tabs>
                    <w:overflowPunct/>
                    <w:autoSpaceDE/>
                    <w:autoSpaceDN/>
                    <w:adjustRightInd/>
                    <w:spacing w:line="240" w:lineRule="auto"/>
                    <w:rPr>
                      <w:color w:val="auto"/>
                      <w:sz w:val="21"/>
                      <w:szCs w:val="21"/>
                      <w:highlight w:val="none"/>
                    </w:rPr>
                  </w:pPr>
                  <w:r>
                    <w:rPr>
                      <w:rFonts w:hint="eastAsia"/>
                      <w:color w:val="auto"/>
                      <w:sz w:val="21"/>
                      <w:szCs w:val="21"/>
                      <w:highlight w:val="none"/>
                    </w:rPr>
                    <w:t>40</w:t>
                  </w:r>
                </w:p>
              </w:tc>
              <w:tc>
                <w:tcPr>
                  <w:tcW w:w="936" w:type="dxa"/>
                  <w:vAlign w:val="center"/>
                </w:tcPr>
                <w:p>
                  <w:pPr>
                    <w:pStyle w:val="150"/>
                    <w:tabs>
                      <w:tab w:val="left" w:pos="945"/>
                      <w:tab w:val="right" w:leader="dot" w:pos="1155"/>
                      <w:tab w:val="left" w:pos="8715"/>
                    </w:tabs>
                    <w:overflowPunct/>
                    <w:autoSpaceDE/>
                    <w:autoSpaceDN/>
                    <w:adjustRightInd/>
                    <w:spacing w:line="240" w:lineRule="auto"/>
                    <w:rPr>
                      <w:color w:val="auto"/>
                      <w:sz w:val="21"/>
                      <w:szCs w:val="21"/>
                      <w:highlight w:val="none"/>
                    </w:rPr>
                  </w:pPr>
                  <w:r>
                    <w:rPr>
                      <w:rFonts w:hint="eastAsia"/>
                      <w:color w:val="auto"/>
                      <w:sz w:val="21"/>
                      <w:szCs w:val="21"/>
                      <w:highlight w:val="none"/>
                    </w:rPr>
                    <w:t>10</w:t>
                  </w:r>
                </w:p>
              </w:tc>
              <w:tc>
                <w:tcPr>
                  <w:tcW w:w="780" w:type="dxa"/>
                  <w:vAlign w:val="center"/>
                </w:tcPr>
                <w:p>
                  <w:pPr>
                    <w:pStyle w:val="150"/>
                    <w:tabs>
                      <w:tab w:val="left" w:pos="945"/>
                      <w:tab w:val="right" w:leader="dot" w:pos="1155"/>
                      <w:tab w:val="left" w:pos="8715"/>
                    </w:tabs>
                    <w:overflowPunct/>
                    <w:autoSpaceDE/>
                    <w:autoSpaceDN/>
                    <w:adjustRightInd/>
                    <w:spacing w:line="240" w:lineRule="auto"/>
                    <w:rPr>
                      <w:color w:val="auto"/>
                      <w:sz w:val="21"/>
                      <w:szCs w:val="21"/>
                      <w:highlight w:val="none"/>
                    </w:rPr>
                  </w:pPr>
                  <w:r>
                    <w:rPr>
                      <w:rFonts w:hint="eastAsia"/>
                      <w:color w:val="auto"/>
                      <w:sz w:val="21"/>
                      <w:szCs w:val="21"/>
                      <w:highlight w:val="none"/>
                    </w:rPr>
                    <w:t>10</w:t>
                  </w:r>
                </w:p>
              </w:tc>
              <w:tc>
                <w:tcPr>
                  <w:tcW w:w="833" w:type="dxa"/>
                  <w:vAlign w:val="center"/>
                </w:tcPr>
                <w:p>
                  <w:pPr>
                    <w:pStyle w:val="150"/>
                    <w:tabs>
                      <w:tab w:val="left" w:pos="945"/>
                      <w:tab w:val="right" w:leader="dot" w:pos="1155"/>
                      <w:tab w:val="left" w:pos="8715"/>
                    </w:tabs>
                    <w:overflowPunct/>
                    <w:autoSpaceDE/>
                    <w:autoSpaceDN/>
                    <w:adjustRightInd/>
                    <w:spacing w:line="240" w:lineRule="auto"/>
                    <w:rPr>
                      <w:color w:val="auto"/>
                      <w:sz w:val="21"/>
                      <w:szCs w:val="21"/>
                      <w:highlight w:val="none"/>
                    </w:rPr>
                  </w:pPr>
                  <w:r>
                    <w:rPr>
                      <w:rFonts w:hint="eastAsia"/>
                      <w:color w:val="auto"/>
                      <w:sz w:val="21"/>
                      <w:szCs w:val="21"/>
                      <w:highlight w:val="none"/>
                    </w:rPr>
                    <w:t>5</w:t>
                  </w:r>
                </w:p>
              </w:tc>
            </w:tr>
          </w:tbl>
          <w:p>
            <w:pPr>
              <w:numPr>
                <w:ilvl w:val="0"/>
                <w:numId w:val="8"/>
              </w:numPr>
              <w:spacing w:line="360" w:lineRule="auto"/>
              <w:rPr>
                <w:color w:val="auto"/>
                <w:sz w:val="24"/>
                <w:highlight w:val="none"/>
              </w:rPr>
            </w:pPr>
            <w:r>
              <w:rPr>
                <w:rFonts w:hint="eastAsia"/>
                <w:color w:val="auto"/>
                <w:sz w:val="24"/>
                <w:highlight w:val="none"/>
              </w:rPr>
              <w:t>注塑工序产生的</w:t>
            </w:r>
            <w:r>
              <w:rPr>
                <w:rFonts w:hint="eastAsia"/>
                <w:color w:val="auto"/>
                <w:sz w:val="24"/>
                <w:szCs w:val="21"/>
                <w:highlight w:val="none"/>
                <w:lang w:eastAsia="zh-CN"/>
              </w:rPr>
              <w:t>有机废气</w:t>
            </w:r>
            <w:r>
              <w:rPr>
                <w:rFonts w:hint="eastAsia"/>
                <w:color w:val="auto"/>
                <w:sz w:val="24"/>
                <w:highlight w:val="none"/>
              </w:rPr>
              <w:t>排放执行《合成树脂工业污染物排放标准》(GB 31572-2015)表4规定的大气污染物排放标准限值和表9企业边界大气污染物浓度限值；</w:t>
            </w:r>
            <w:r>
              <w:rPr>
                <w:rFonts w:hint="eastAsia"/>
                <w:color w:val="auto"/>
                <w:sz w:val="24"/>
                <w:highlight w:val="none"/>
                <w:lang w:eastAsia="zh-CN"/>
              </w:rPr>
              <w:t>臭气执行</w:t>
            </w:r>
            <w:r>
              <w:rPr>
                <w:rFonts w:hint="eastAsia"/>
                <w:color w:val="auto"/>
                <w:sz w:val="24"/>
                <w:highlight w:val="none"/>
                <w:lang w:val="en-US" w:eastAsia="zh-CN"/>
              </w:rPr>
              <w:t>《</w:t>
            </w:r>
            <w:r>
              <w:rPr>
                <w:rFonts w:hint="eastAsia"/>
                <w:color w:val="auto"/>
                <w:sz w:val="24"/>
                <w:highlight w:val="none"/>
                <w:lang w:eastAsia="zh-CN"/>
              </w:rPr>
              <w:t>恶臭污染物排放标准</w:t>
            </w:r>
            <w:r>
              <w:rPr>
                <w:rFonts w:hint="eastAsia"/>
                <w:color w:val="auto"/>
                <w:sz w:val="24"/>
                <w:highlight w:val="none"/>
                <w:lang w:val="en-US" w:eastAsia="zh-CN"/>
              </w:rPr>
              <w:t>》（GB 14554-1993）表1恶臭污染物厂界标准值二级新扩改建臭气浓度：≤20（无纲量）要求</w:t>
            </w:r>
            <w:r>
              <w:rPr>
                <w:rFonts w:hint="eastAsia"/>
                <w:color w:val="auto"/>
                <w:sz w:val="24"/>
                <w:highlight w:val="none"/>
                <w:lang w:eastAsia="zh-CN"/>
              </w:rPr>
              <w:t>。</w:t>
            </w:r>
          </w:p>
          <w:p>
            <w:pPr>
              <w:pStyle w:val="138"/>
              <w:numPr>
                <w:ilvl w:val="0"/>
                <w:numId w:val="5"/>
              </w:numPr>
              <w:tabs>
                <w:tab w:val="left" w:pos="420"/>
              </w:tabs>
              <w:adjustRightInd/>
              <w:snapToGrid/>
              <w:spacing w:line="312"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 xml:space="preserve">《合成树脂工业污染物排放标准》摘录  </w:t>
            </w:r>
            <w:r>
              <w:rPr>
                <w:rFonts w:hint="eastAsia" w:eastAsia="宋体" w:cs="Times New Roman"/>
                <w:b/>
                <w:color w:val="auto"/>
                <w:sz w:val="21"/>
                <w:szCs w:val="21"/>
                <w:highlight w:val="none"/>
              </w:rPr>
              <w:t xml:space="preserve"> 单位：mg/m</w:t>
            </w:r>
            <w:r>
              <w:rPr>
                <w:rFonts w:hint="eastAsia" w:eastAsia="宋体" w:cs="Times New Roman"/>
                <w:b/>
                <w:color w:val="auto"/>
                <w:sz w:val="21"/>
                <w:szCs w:val="21"/>
                <w:highlight w:val="none"/>
                <w:vertAlign w:val="superscript"/>
              </w:rPr>
              <w:t>3</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3"/>
              <w:gridCol w:w="2753"/>
              <w:gridCol w:w="27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2753" w:type="dxa"/>
                  <w:noWrap w:val="0"/>
                  <w:vAlign w:val="center"/>
                </w:tcPr>
                <w:p>
                  <w:pPr>
                    <w:pStyle w:val="47"/>
                    <w:spacing w:line="360" w:lineRule="auto"/>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color w:val="auto"/>
                      <w:sz w:val="21"/>
                      <w:szCs w:val="21"/>
                      <w:highlight w:val="none"/>
                    </w:rPr>
                    <w:t xml:space="preserve">   </w:t>
                  </w:r>
                  <w:r>
                    <w:rPr>
                      <w:rFonts w:hint="default" w:ascii="Times New Roman" w:hAnsi="Times New Roman" w:cs="Times New Roman"/>
                      <w:b/>
                      <w:bCs/>
                      <w:color w:val="auto"/>
                      <w:sz w:val="21"/>
                      <w:szCs w:val="21"/>
                      <w:highlight w:val="none"/>
                    </w:rPr>
                    <w:t>类别</w:t>
                  </w:r>
                </w:p>
              </w:tc>
              <w:tc>
                <w:tcPr>
                  <w:tcW w:w="2753" w:type="dxa"/>
                  <w:noWrap w:val="0"/>
                  <w:vAlign w:val="center"/>
                </w:tcPr>
                <w:p>
                  <w:pPr>
                    <w:pStyle w:val="29"/>
                    <w:spacing w:line="312" w:lineRule="auto"/>
                    <w:ind w:firstLine="0" w:firstLineChars="0"/>
                    <w:jc w:val="center"/>
                    <w:rPr>
                      <w:rFonts w:hint="default" w:ascii="Times New Roman" w:hAnsi="Times New Roman" w:cs="Times New Roman"/>
                      <w:b/>
                      <w:bCs/>
                      <w:color w:val="auto"/>
                      <w:sz w:val="21"/>
                      <w:szCs w:val="21"/>
                      <w:highlight w:val="none"/>
                    </w:rPr>
                  </w:pPr>
                  <w:r>
                    <w:rPr>
                      <w:rFonts w:hint="eastAsia"/>
                      <w:b/>
                      <w:color w:val="auto"/>
                      <w:sz w:val="21"/>
                      <w:szCs w:val="21"/>
                      <w:highlight w:val="none"/>
                    </w:rPr>
                    <w:t>有组织排放限值</w:t>
                  </w:r>
                </w:p>
              </w:tc>
              <w:tc>
                <w:tcPr>
                  <w:tcW w:w="2753" w:type="dxa"/>
                  <w:noWrap w:val="0"/>
                  <w:vAlign w:val="center"/>
                </w:tcPr>
                <w:p>
                  <w:pPr>
                    <w:pStyle w:val="29"/>
                    <w:spacing w:line="312" w:lineRule="auto"/>
                    <w:ind w:firstLine="0" w:firstLineChars="0"/>
                    <w:jc w:val="center"/>
                    <w:rPr>
                      <w:rFonts w:hint="default" w:ascii="Times New Roman" w:hAnsi="Times New Roman" w:cs="Times New Roman"/>
                      <w:b/>
                      <w:bCs/>
                      <w:color w:val="auto"/>
                      <w:sz w:val="21"/>
                      <w:szCs w:val="21"/>
                      <w:highlight w:val="none"/>
                    </w:rPr>
                  </w:pPr>
                  <w:r>
                    <w:rPr>
                      <w:b/>
                      <w:bCs/>
                      <w:color w:val="auto"/>
                      <w:sz w:val="21"/>
                      <w:szCs w:val="21"/>
                      <w:highlight w:val="none"/>
                    </w:rPr>
                    <w:t>边界大气污染物浓度限值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2753" w:type="dxa"/>
                  <w:noWrap w:val="0"/>
                  <w:vAlign w:val="center"/>
                </w:tcPr>
                <w:p>
                  <w:pPr>
                    <w:pStyle w:val="47"/>
                    <w:spacing w:line="36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非甲烷总烃</w:t>
                  </w:r>
                </w:p>
              </w:tc>
              <w:tc>
                <w:tcPr>
                  <w:tcW w:w="2753" w:type="dxa"/>
                  <w:noWrap w:val="0"/>
                  <w:vAlign w:val="center"/>
                </w:tcPr>
                <w:p>
                  <w:pPr>
                    <w:pStyle w:val="47"/>
                    <w:spacing w:line="36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w:t>
                  </w:r>
                </w:p>
              </w:tc>
              <w:tc>
                <w:tcPr>
                  <w:tcW w:w="2753" w:type="dxa"/>
                  <w:noWrap w:val="0"/>
                  <w:vAlign w:val="center"/>
                </w:tcPr>
                <w:p>
                  <w:pPr>
                    <w:pStyle w:val="47"/>
                    <w:spacing w:line="36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2753" w:type="dxa"/>
                  <w:noWrap w:val="0"/>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u w:val="none"/>
                      <w:lang w:val="en-US" w:eastAsia="zh-CN"/>
                    </w:rPr>
                    <w:t>苯乙烯</w:t>
                  </w:r>
                </w:p>
              </w:tc>
              <w:tc>
                <w:tcPr>
                  <w:tcW w:w="2753" w:type="dxa"/>
                  <w:noWrap w:val="0"/>
                  <w:vAlign w:val="center"/>
                </w:tcPr>
                <w:p>
                  <w:pPr>
                    <w:pStyle w:val="47"/>
                    <w:spacing w:line="36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w:t>
                  </w:r>
                </w:p>
              </w:tc>
              <w:tc>
                <w:tcPr>
                  <w:tcW w:w="2753" w:type="dxa"/>
                  <w:noWrap w:val="0"/>
                  <w:vAlign w:val="center"/>
                </w:tcPr>
                <w:p>
                  <w:pPr>
                    <w:pStyle w:val="47"/>
                    <w:spacing w:line="36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2753" w:type="dxa"/>
                  <w:noWrap w:val="0"/>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u w:val="none"/>
                      <w:lang w:val="en-US" w:eastAsia="zh-CN"/>
                    </w:rPr>
                    <w:t>丙烯腈</w:t>
                  </w:r>
                </w:p>
              </w:tc>
              <w:tc>
                <w:tcPr>
                  <w:tcW w:w="2753" w:type="dxa"/>
                  <w:noWrap w:val="0"/>
                  <w:vAlign w:val="center"/>
                </w:tcPr>
                <w:p>
                  <w:pPr>
                    <w:pStyle w:val="47"/>
                    <w:spacing w:line="36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w:t>
                  </w:r>
                </w:p>
              </w:tc>
              <w:tc>
                <w:tcPr>
                  <w:tcW w:w="2753" w:type="dxa"/>
                  <w:noWrap w:val="0"/>
                  <w:vAlign w:val="center"/>
                </w:tcPr>
                <w:p>
                  <w:pPr>
                    <w:pStyle w:val="47"/>
                    <w:spacing w:line="36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2753" w:type="dxa"/>
                  <w:noWrap w:val="0"/>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u w:val="none"/>
                      <w:lang w:val="en-US" w:eastAsia="zh-CN"/>
                    </w:rPr>
                    <w:t>1,3-丁二烯</w:t>
                  </w:r>
                </w:p>
              </w:tc>
              <w:tc>
                <w:tcPr>
                  <w:tcW w:w="2753" w:type="dxa"/>
                  <w:noWrap w:val="0"/>
                  <w:vAlign w:val="center"/>
                </w:tcPr>
                <w:p>
                  <w:pPr>
                    <w:pStyle w:val="47"/>
                    <w:spacing w:line="36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2753" w:type="dxa"/>
                  <w:noWrap w:val="0"/>
                  <w:vAlign w:val="center"/>
                </w:tcPr>
                <w:p>
                  <w:pPr>
                    <w:pStyle w:val="47"/>
                    <w:spacing w:line="36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2753" w:type="dxa"/>
                  <w:noWrap w:val="0"/>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u w:val="none"/>
                      <w:lang w:val="en-US" w:eastAsia="zh-CN"/>
                    </w:rPr>
                    <w:t>甲苯</w:t>
                  </w:r>
                </w:p>
              </w:tc>
              <w:tc>
                <w:tcPr>
                  <w:tcW w:w="2753" w:type="dxa"/>
                  <w:noWrap w:val="0"/>
                  <w:vAlign w:val="center"/>
                </w:tcPr>
                <w:p>
                  <w:pPr>
                    <w:pStyle w:val="47"/>
                    <w:spacing w:line="36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c>
                <w:tcPr>
                  <w:tcW w:w="2753" w:type="dxa"/>
                  <w:noWrap w:val="0"/>
                  <w:vAlign w:val="center"/>
                </w:tcPr>
                <w:p>
                  <w:pPr>
                    <w:pStyle w:val="47"/>
                    <w:spacing w:line="36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2753" w:type="dxa"/>
                  <w:noWrap w:val="0"/>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u w:val="none"/>
                      <w:lang w:val="en-US" w:eastAsia="zh-CN"/>
                    </w:rPr>
                    <w:t>乙苯</w:t>
                  </w:r>
                </w:p>
              </w:tc>
              <w:tc>
                <w:tcPr>
                  <w:tcW w:w="2753" w:type="dxa"/>
                  <w:noWrap w:val="0"/>
                  <w:vAlign w:val="center"/>
                </w:tcPr>
                <w:p>
                  <w:pPr>
                    <w:pStyle w:val="47"/>
                    <w:spacing w:line="36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w:t>
                  </w:r>
                </w:p>
              </w:tc>
              <w:tc>
                <w:tcPr>
                  <w:tcW w:w="2753" w:type="dxa"/>
                  <w:noWrap w:val="0"/>
                  <w:vAlign w:val="center"/>
                </w:tcPr>
                <w:p>
                  <w:pPr>
                    <w:pStyle w:val="47"/>
                    <w:spacing w:line="36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bl>
          <w:p>
            <w:pPr>
              <w:pStyle w:val="138"/>
              <w:numPr>
                <w:ilvl w:val="0"/>
                <w:numId w:val="5"/>
              </w:numPr>
              <w:tabs>
                <w:tab w:val="left" w:pos="420"/>
              </w:tabs>
              <w:adjustRightInd/>
              <w:snapToGrid/>
              <w:spacing w:line="312" w:lineRule="auto"/>
              <w:ind w:left="0" w:firstLine="471"/>
              <w:rPr>
                <w:rFonts w:eastAsia="宋体" w:cs="Times New Roman"/>
                <w:b/>
                <w:color w:val="auto"/>
                <w:sz w:val="21"/>
                <w:szCs w:val="21"/>
                <w:highlight w:val="none"/>
              </w:rPr>
            </w:pPr>
            <w:r>
              <w:rPr>
                <w:rFonts w:hint="eastAsia" w:eastAsia="宋体" w:cs="Times New Roman"/>
                <w:b/>
                <w:color w:val="auto"/>
                <w:sz w:val="21"/>
                <w:szCs w:val="21"/>
                <w:highlight w:val="none"/>
              </w:rPr>
              <w:t>《恶臭污染物排放标准》 摘录</w:t>
            </w:r>
          </w:p>
          <w:tbl>
            <w:tblPr>
              <w:tblStyle w:val="40"/>
              <w:tblW w:w="82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7"/>
              <w:gridCol w:w="1377"/>
              <w:gridCol w:w="2693"/>
              <w:gridCol w:w="24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717" w:type="dxa"/>
                  <w:noWrap w:val="0"/>
                  <w:vAlign w:val="center"/>
                </w:tcPr>
                <w:p>
                  <w:pPr>
                    <w:widowControl w:val="0"/>
                    <w:spacing w:line="240" w:lineRule="auto"/>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污染物项目</w:t>
                  </w:r>
                </w:p>
              </w:tc>
              <w:tc>
                <w:tcPr>
                  <w:tcW w:w="1377" w:type="dxa"/>
                  <w:noWrap w:val="0"/>
                  <w:vAlign w:val="center"/>
                </w:tcPr>
                <w:p>
                  <w:pPr>
                    <w:widowControl w:val="0"/>
                    <w:spacing w:line="240" w:lineRule="auto"/>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排放限值</w:t>
                  </w:r>
                </w:p>
              </w:tc>
              <w:tc>
                <w:tcPr>
                  <w:tcW w:w="2693" w:type="dxa"/>
                  <w:noWrap w:val="0"/>
                  <w:vAlign w:val="center"/>
                </w:tcPr>
                <w:p>
                  <w:pPr>
                    <w:widowControl w:val="0"/>
                    <w:spacing w:line="240" w:lineRule="auto"/>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限值含义</w:t>
                  </w:r>
                </w:p>
              </w:tc>
              <w:tc>
                <w:tcPr>
                  <w:tcW w:w="2491" w:type="dxa"/>
                  <w:noWrap w:val="0"/>
                  <w:vAlign w:val="top"/>
                </w:tcPr>
                <w:p>
                  <w:pPr>
                    <w:widowControl w:val="0"/>
                    <w:spacing w:line="240" w:lineRule="auto"/>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无组织排放监控位置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717"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lang w:val="en-US" w:eastAsia="zh-CN"/>
                    </w:rPr>
                    <w:t>臭气浓度</w:t>
                  </w:r>
                </w:p>
              </w:tc>
              <w:tc>
                <w:tcPr>
                  <w:tcW w:w="1377"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lang w:val="en-US" w:eastAsia="zh-CN"/>
                    </w:rPr>
                    <w:t>20</w:t>
                  </w:r>
                </w:p>
              </w:tc>
              <w:tc>
                <w:tcPr>
                  <w:tcW w:w="2693"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lang w:val="en-US" w:eastAsia="zh-CN"/>
                    </w:rPr>
                    <w:t>无纲量</w:t>
                  </w:r>
                </w:p>
              </w:tc>
              <w:tc>
                <w:tcPr>
                  <w:tcW w:w="2491"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在厂房外设置监控点</w:t>
                  </w:r>
                </w:p>
              </w:tc>
            </w:tr>
          </w:tbl>
          <w:p>
            <w:pPr>
              <w:numPr>
                <w:ilvl w:val="0"/>
                <w:numId w:val="8"/>
              </w:numPr>
              <w:spacing w:line="360" w:lineRule="auto"/>
              <w:rPr>
                <w:color w:val="auto"/>
                <w:highlight w:val="none"/>
              </w:rPr>
            </w:pPr>
            <w:r>
              <w:rPr>
                <w:rFonts w:hint="eastAsia"/>
                <w:color w:val="auto"/>
                <w:sz w:val="24"/>
                <w:highlight w:val="none"/>
              </w:rPr>
              <w:t>破碎工序产生的粉尘排放执行广东省地方标准《大气污染物排放限值》</w:t>
            </w:r>
            <w:r>
              <w:rPr>
                <w:color w:val="auto"/>
                <w:sz w:val="24"/>
                <w:highlight w:val="none"/>
              </w:rPr>
              <w:t>（DB44/27-2001）中第二时段二级标准和第二时段无组织排放监控浓度限值；</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hint="eastAsia" w:eastAsia="宋体" w:cs="Times New Roman"/>
                <w:b/>
                <w:color w:val="auto"/>
                <w:sz w:val="21"/>
                <w:szCs w:val="21"/>
                <w:highlight w:val="none"/>
              </w:rPr>
              <w:t>《大气污染物排放限值》摘录</w:t>
            </w:r>
          </w:p>
          <w:tbl>
            <w:tblPr>
              <w:tblStyle w:val="40"/>
              <w:tblW w:w="82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8"/>
              <w:gridCol w:w="3382"/>
              <w:gridCol w:w="33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468" w:type="dxa"/>
                  <w:vMerge w:val="restart"/>
                  <w:tcBorders>
                    <w:tl2br w:val="nil"/>
                    <w:tr2bl w:val="nil"/>
                  </w:tcBorders>
                  <w:vAlign w:val="center"/>
                </w:tcPr>
                <w:p>
                  <w:pPr>
                    <w:pStyle w:val="29"/>
                    <w:spacing w:line="360" w:lineRule="auto"/>
                    <w:ind w:firstLine="0"/>
                    <w:jc w:val="center"/>
                    <w:rPr>
                      <w:b/>
                      <w:color w:val="auto"/>
                      <w:sz w:val="21"/>
                      <w:szCs w:val="21"/>
                      <w:highlight w:val="none"/>
                    </w:rPr>
                  </w:pPr>
                  <w:r>
                    <w:rPr>
                      <w:rFonts w:hint="eastAsia"/>
                      <w:b/>
                      <w:color w:val="auto"/>
                      <w:sz w:val="21"/>
                      <w:szCs w:val="21"/>
                      <w:highlight w:val="none"/>
                    </w:rPr>
                    <w:t>项目</w:t>
                  </w:r>
                </w:p>
              </w:tc>
              <w:tc>
                <w:tcPr>
                  <w:tcW w:w="6751" w:type="dxa"/>
                  <w:gridSpan w:val="2"/>
                  <w:tcBorders>
                    <w:tl2br w:val="nil"/>
                    <w:tr2bl w:val="nil"/>
                  </w:tcBorders>
                  <w:vAlign w:val="center"/>
                </w:tcPr>
                <w:p>
                  <w:pPr>
                    <w:pStyle w:val="29"/>
                    <w:spacing w:line="360" w:lineRule="auto"/>
                    <w:ind w:firstLine="0"/>
                    <w:jc w:val="center"/>
                    <w:rPr>
                      <w:b/>
                      <w:color w:val="auto"/>
                      <w:sz w:val="21"/>
                      <w:szCs w:val="21"/>
                      <w:highlight w:val="none"/>
                    </w:rPr>
                  </w:pPr>
                  <w:r>
                    <w:rPr>
                      <w:rFonts w:hint="eastAsia"/>
                      <w:b/>
                      <w:color w:val="auto"/>
                      <w:sz w:val="21"/>
                      <w:szCs w:val="21"/>
                      <w:highlight w:val="none"/>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1468" w:type="dxa"/>
                  <w:vMerge w:val="continue"/>
                  <w:tcBorders>
                    <w:tl2br w:val="nil"/>
                    <w:tr2bl w:val="nil"/>
                  </w:tcBorders>
                  <w:vAlign w:val="center"/>
                </w:tcPr>
                <w:p>
                  <w:pPr>
                    <w:pStyle w:val="29"/>
                    <w:ind w:firstLine="0"/>
                    <w:jc w:val="center"/>
                    <w:rPr>
                      <w:b/>
                      <w:color w:val="auto"/>
                      <w:sz w:val="21"/>
                      <w:szCs w:val="21"/>
                      <w:highlight w:val="none"/>
                    </w:rPr>
                  </w:pPr>
                </w:p>
              </w:tc>
              <w:tc>
                <w:tcPr>
                  <w:tcW w:w="3382" w:type="dxa"/>
                  <w:tcBorders>
                    <w:tl2br w:val="nil"/>
                    <w:tr2bl w:val="nil"/>
                  </w:tcBorders>
                  <w:vAlign w:val="center"/>
                </w:tcPr>
                <w:p>
                  <w:pPr>
                    <w:pStyle w:val="29"/>
                    <w:ind w:firstLine="0"/>
                    <w:jc w:val="center"/>
                    <w:rPr>
                      <w:b/>
                      <w:color w:val="auto"/>
                      <w:sz w:val="21"/>
                      <w:szCs w:val="21"/>
                      <w:highlight w:val="none"/>
                    </w:rPr>
                  </w:pPr>
                  <w:r>
                    <w:rPr>
                      <w:rFonts w:hint="eastAsia"/>
                      <w:b/>
                      <w:color w:val="auto"/>
                      <w:sz w:val="21"/>
                      <w:szCs w:val="21"/>
                      <w:highlight w:val="none"/>
                    </w:rPr>
                    <w:t>监测点</w:t>
                  </w:r>
                </w:p>
              </w:tc>
              <w:tc>
                <w:tcPr>
                  <w:tcW w:w="3369" w:type="dxa"/>
                  <w:tcBorders>
                    <w:tl2br w:val="nil"/>
                    <w:tr2bl w:val="nil"/>
                  </w:tcBorders>
                  <w:vAlign w:val="center"/>
                </w:tcPr>
                <w:p>
                  <w:pPr>
                    <w:pStyle w:val="29"/>
                    <w:ind w:firstLine="0"/>
                    <w:jc w:val="center"/>
                    <w:rPr>
                      <w:b/>
                      <w:color w:val="auto"/>
                      <w:sz w:val="21"/>
                      <w:szCs w:val="21"/>
                      <w:highlight w:val="none"/>
                    </w:rPr>
                  </w:pPr>
                  <w:r>
                    <w:rPr>
                      <w:rFonts w:hint="eastAsia"/>
                      <w:b/>
                      <w:color w:val="auto"/>
                      <w:sz w:val="21"/>
                      <w:szCs w:val="21"/>
                      <w:highlight w:val="none"/>
                    </w:rPr>
                    <w:t>浓度（mg/m</w:t>
                  </w:r>
                  <w:r>
                    <w:rPr>
                      <w:rFonts w:hint="eastAsia"/>
                      <w:b/>
                      <w:color w:val="auto"/>
                      <w:sz w:val="21"/>
                      <w:szCs w:val="21"/>
                      <w:highlight w:val="none"/>
                      <w:vertAlign w:val="superscript"/>
                    </w:rPr>
                    <w:t>3</w:t>
                  </w:r>
                  <w:r>
                    <w:rPr>
                      <w:rFonts w:hint="eastAsia"/>
                      <w:b/>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468" w:type="dxa"/>
                  <w:tcBorders>
                    <w:tl2br w:val="nil"/>
                    <w:tr2bl w:val="nil"/>
                  </w:tcBorders>
                  <w:vAlign w:val="center"/>
                </w:tcPr>
                <w:p>
                  <w:pPr>
                    <w:pStyle w:val="29"/>
                    <w:ind w:firstLine="0"/>
                    <w:jc w:val="center"/>
                    <w:rPr>
                      <w:bCs/>
                      <w:color w:val="auto"/>
                      <w:sz w:val="21"/>
                      <w:szCs w:val="21"/>
                      <w:highlight w:val="none"/>
                    </w:rPr>
                  </w:pPr>
                  <w:r>
                    <w:rPr>
                      <w:rFonts w:hint="eastAsia"/>
                      <w:bCs/>
                      <w:color w:val="auto"/>
                      <w:sz w:val="21"/>
                      <w:szCs w:val="21"/>
                      <w:highlight w:val="none"/>
                    </w:rPr>
                    <w:t>颗粒物</w:t>
                  </w:r>
                </w:p>
              </w:tc>
              <w:tc>
                <w:tcPr>
                  <w:tcW w:w="3382" w:type="dxa"/>
                  <w:tcBorders>
                    <w:tl2br w:val="nil"/>
                    <w:tr2bl w:val="nil"/>
                  </w:tcBorders>
                  <w:vAlign w:val="center"/>
                </w:tcPr>
                <w:p>
                  <w:pPr>
                    <w:pStyle w:val="29"/>
                    <w:ind w:firstLine="0"/>
                    <w:jc w:val="center"/>
                    <w:rPr>
                      <w:bCs/>
                      <w:color w:val="auto"/>
                      <w:sz w:val="21"/>
                      <w:szCs w:val="21"/>
                      <w:highlight w:val="none"/>
                    </w:rPr>
                  </w:pPr>
                  <w:r>
                    <w:rPr>
                      <w:rFonts w:hint="eastAsia"/>
                      <w:bCs/>
                      <w:color w:val="auto"/>
                      <w:sz w:val="21"/>
                      <w:szCs w:val="21"/>
                      <w:highlight w:val="none"/>
                    </w:rPr>
                    <w:t>周界外浓度最高点</w:t>
                  </w:r>
                </w:p>
              </w:tc>
              <w:tc>
                <w:tcPr>
                  <w:tcW w:w="3369" w:type="dxa"/>
                  <w:tcBorders>
                    <w:tl2br w:val="nil"/>
                    <w:tr2bl w:val="nil"/>
                  </w:tcBorders>
                  <w:vAlign w:val="center"/>
                </w:tcPr>
                <w:p>
                  <w:pPr>
                    <w:pStyle w:val="29"/>
                    <w:ind w:firstLine="0"/>
                    <w:jc w:val="center"/>
                    <w:rPr>
                      <w:bCs/>
                      <w:color w:val="auto"/>
                      <w:sz w:val="21"/>
                      <w:szCs w:val="21"/>
                      <w:highlight w:val="none"/>
                    </w:rPr>
                  </w:pPr>
                  <w:r>
                    <w:rPr>
                      <w:rFonts w:hint="eastAsia"/>
                      <w:bCs/>
                      <w:color w:val="auto"/>
                      <w:sz w:val="21"/>
                      <w:szCs w:val="21"/>
                      <w:highlight w:val="none"/>
                    </w:rPr>
                    <w:t>1.0</w:t>
                  </w:r>
                </w:p>
              </w:tc>
            </w:tr>
          </w:tbl>
          <w:p>
            <w:pPr>
              <w:numPr>
                <w:ilvl w:val="0"/>
                <w:numId w:val="8"/>
              </w:numPr>
              <w:spacing w:line="312" w:lineRule="auto"/>
              <w:rPr>
                <w:color w:val="auto"/>
                <w:sz w:val="24"/>
                <w:highlight w:val="none"/>
              </w:rPr>
            </w:pPr>
            <w:r>
              <w:rPr>
                <w:color w:val="auto"/>
                <w:sz w:val="24"/>
                <w:highlight w:val="none"/>
              </w:rPr>
              <w:t>《</w:t>
            </w:r>
            <w:r>
              <w:rPr>
                <w:rFonts w:hint="eastAsia"/>
                <w:color w:val="auto"/>
                <w:sz w:val="24"/>
                <w:highlight w:val="none"/>
              </w:rPr>
              <w:t>工业企业厂界环境噪声排放标准</w:t>
            </w:r>
            <w:r>
              <w:rPr>
                <w:color w:val="auto"/>
                <w:sz w:val="24"/>
                <w:highlight w:val="none"/>
              </w:rPr>
              <w:t>》(GB12348</w:t>
            </w:r>
            <w:r>
              <w:rPr>
                <w:rFonts w:hint="eastAsia"/>
                <w:color w:val="auto"/>
                <w:sz w:val="24"/>
                <w:highlight w:val="none"/>
              </w:rPr>
              <w:t>-2008</w:t>
            </w:r>
            <w:r>
              <w:rPr>
                <w:color w:val="auto"/>
                <w:sz w:val="24"/>
                <w:highlight w:val="none"/>
              </w:rPr>
              <w:t>)</w:t>
            </w:r>
            <w:r>
              <w:rPr>
                <w:rFonts w:hint="eastAsia"/>
                <w:color w:val="auto"/>
                <w:sz w:val="24"/>
                <w:highlight w:val="none"/>
              </w:rPr>
              <w:t>2类</w:t>
            </w:r>
            <w:r>
              <w:rPr>
                <w:color w:val="auto"/>
                <w:sz w:val="24"/>
                <w:highlight w:val="none"/>
              </w:rPr>
              <w:t>标准</w:t>
            </w:r>
            <w:r>
              <w:rPr>
                <w:rFonts w:hint="eastAsia"/>
                <w:color w:val="auto"/>
                <w:sz w:val="24"/>
                <w:highlight w:val="none"/>
              </w:rPr>
              <w:t>；</w:t>
            </w:r>
          </w:p>
          <w:p>
            <w:pPr>
              <w:pStyle w:val="138"/>
              <w:numPr>
                <w:ilvl w:val="0"/>
                <w:numId w:val="5"/>
              </w:numPr>
              <w:tabs>
                <w:tab w:val="left" w:pos="420"/>
              </w:tabs>
              <w:adjustRightInd/>
              <w:snapToGrid/>
              <w:spacing w:line="312" w:lineRule="auto"/>
              <w:ind w:left="0" w:firstLine="471"/>
              <w:rPr>
                <w:rFonts w:eastAsia="宋体" w:cs="Times New Roman"/>
                <w:b/>
                <w:color w:val="auto"/>
                <w:sz w:val="21"/>
                <w:szCs w:val="21"/>
                <w:highlight w:val="none"/>
              </w:rPr>
            </w:pPr>
            <w:r>
              <w:rPr>
                <w:rFonts w:hint="eastAsia" w:eastAsia="宋体" w:cs="Times New Roman"/>
                <w:b/>
                <w:color w:val="auto"/>
                <w:sz w:val="21"/>
                <w:szCs w:val="21"/>
                <w:highlight w:val="none"/>
              </w:rPr>
              <w:t>工业企业厂界环境噪声排放标准（摘录）    单位：dB(A)</w:t>
            </w:r>
          </w:p>
          <w:tbl>
            <w:tblPr>
              <w:tblStyle w:val="40"/>
              <w:tblW w:w="823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830"/>
              <w:gridCol w:w="1618"/>
              <w:gridCol w:w="1587"/>
              <w:gridCol w:w="320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62" w:hRule="atLeast"/>
                <w:jc w:val="center"/>
              </w:trPr>
              <w:tc>
                <w:tcPr>
                  <w:tcW w:w="1830" w:type="dxa"/>
                  <w:vAlign w:val="center"/>
                </w:tcPr>
                <w:p>
                  <w:pPr>
                    <w:jc w:val="center"/>
                    <w:rPr>
                      <w:b/>
                      <w:bCs/>
                      <w:color w:val="auto"/>
                      <w:szCs w:val="21"/>
                      <w:highlight w:val="none"/>
                    </w:rPr>
                  </w:pPr>
                  <w:r>
                    <w:rPr>
                      <w:rFonts w:hAnsi="宋体"/>
                      <w:b/>
                      <w:bCs/>
                      <w:color w:val="auto"/>
                      <w:szCs w:val="21"/>
                      <w:highlight w:val="none"/>
                    </w:rPr>
                    <w:t>类</w:t>
                  </w:r>
                  <w:r>
                    <w:rPr>
                      <w:b/>
                      <w:bCs/>
                      <w:color w:val="auto"/>
                      <w:szCs w:val="21"/>
                      <w:highlight w:val="none"/>
                    </w:rPr>
                    <w:t xml:space="preserve"> </w:t>
                  </w:r>
                  <w:r>
                    <w:rPr>
                      <w:rFonts w:hAnsi="宋体"/>
                      <w:b/>
                      <w:bCs/>
                      <w:color w:val="auto"/>
                      <w:szCs w:val="21"/>
                      <w:highlight w:val="none"/>
                    </w:rPr>
                    <w:t>别</w:t>
                  </w:r>
                </w:p>
              </w:tc>
              <w:tc>
                <w:tcPr>
                  <w:tcW w:w="1618" w:type="dxa"/>
                  <w:vAlign w:val="center"/>
                </w:tcPr>
                <w:p>
                  <w:pPr>
                    <w:jc w:val="center"/>
                    <w:rPr>
                      <w:b/>
                      <w:bCs/>
                      <w:color w:val="auto"/>
                      <w:szCs w:val="21"/>
                      <w:highlight w:val="none"/>
                    </w:rPr>
                  </w:pPr>
                  <w:r>
                    <w:rPr>
                      <w:rFonts w:hAnsi="宋体"/>
                      <w:b/>
                      <w:bCs/>
                      <w:color w:val="auto"/>
                      <w:szCs w:val="21"/>
                      <w:highlight w:val="none"/>
                    </w:rPr>
                    <w:t>昼间</w:t>
                  </w:r>
                </w:p>
              </w:tc>
              <w:tc>
                <w:tcPr>
                  <w:tcW w:w="1587" w:type="dxa"/>
                  <w:vAlign w:val="center"/>
                </w:tcPr>
                <w:p>
                  <w:pPr>
                    <w:ind w:left="70" w:hanging="70"/>
                    <w:jc w:val="center"/>
                    <w:rPr>
                      <w:b/>
                      <w:bCs/>
                      <w:color w:val="auto"/>
                      <w:szCs w:val="21"/>
                      <w:highlight w:val="none"/>
                    </w:rPr>
                  </w:pPr>
                  <w:r>
                    <w:rPr>
                      <w:rFonts w:hAnsi="宋体"/>
                      <w:b/>
                      <w:bCs/>
                      <w:color w:val="auto"/>
                      <w:szCs w:val="21"/>
                      <w:highlight w:val="none"/>
                    </w:rPr>
                    <w:t>夜间</w:t>
                  </w:r>
                </w:p>
              </w:tc>
              <w:tc>
                <w:tcPr>
                  <w:tcW w:w="3203" w:type="dxa"/>
                  <w:vAlign w:val="center"/>
                </w:tcPr>
                <w:p>
                  <w:pPr>
                    <w:ind w:left="70" w:hanging="70"/>
                    <w:jc w:val="center"/>
                    <w:rPr>
                      <w:b/>
                      <w:bCs/>
                      <w:color w:val="auto"/>
                      <w:szCs w:val="21"/>
                      <w:highlight w:val="none"/>
                    </w:rPr>
                  </w:pPr>
                  <w:r>
                    <w:rPr>
                      <w:rFonts w:hAnsi="宋体"/>
                      <w:b/>
                      <w:bCs/>
                      <w:color w:val="auto"/>
                      <w:szCs w:val="21"/>
                      <w:highlight w:val="none"/>
                    </w:rPr>
                    <w:t>依据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89" w:hRule="atLeast"/>
                <w:jc w:val="center"/>
              </w:trPr>
              <w:tc>
                <w:tcPr>
                  <w:tcW w:w="1830" w:type="dxa"/>
                  <w:vAlign w:val="center"/>
                </w:tcPr>
                <w:p>
                  <w:pPr>
                    <w:jc w:val="center"/>
                    <w:rPr>
                      <w:color w:val="auto"/>
                      <w:szCs w:val="21"/>
                      <w:highlight w:val="none"/>
                    </w:rPr>
                  </w:pPr>
                  <w:r>
                    <w:rPr>
                      <w:rFonts w:hAnsi="宋体"/>
                      <w:color w:val="auto"/>
                      <w:szCs w:val="21"/>
                      <w:highlight w:val="none"/>
                    </w:rPr>
                    <w:t>噪声限值</w:t>
                  </w:r>
                </w:p>
              </w:tc>
              <w:tc>
                <w:tcPr>
                  <w:tcW w:w="1618" w:type="dxa"/>
                  <w:vAlign w:val="center"/>
                </w:tcPr>
                <w:p>
                  <w:pPr>
                    <w:jc w:val="center"/>
                    <w:rPr>
                      <w:color w:val="auto"/>
                      <w:szCs w:val="21"/>
                      <w:highlight w:val="none"/>
                    </w:rPr>
                  </w:pPr>
                  <w:r>
                    <w:rPr>
                      <w:color w:val="auto"/>
                      <w:szCs w:val="21"/>
                      <w:highlight w:val="none"/>
                    </w:rPr>
                    <w:t>≤6</w:t>
                  </w:r>
                  <w:r>
                    <w:rPr>
                      <w:rFonts w:hint="eastAsia"/>
                      <w:color w:val="auto"/>
                      <w:szCs w:val="21"/>
                      <w:highlight w:val="none"/>
                    </w:rPr>
                    <w:t>0</w:t>
                  </w:r>
                </w:p>
              </w:tc>
              <w:tc>
                <w:tcPr>
                  <w:tcW w:w="1587" w:type="dxa"/>
                  <w:vAlign w:val="center"/>
                </w:tcPr>
                <w:p>
                  <w:pPr>
                    <w:jc w:val="center"/>
                    <w:rPr>
                      <w:color w:val="auto"/>
                      <w:szCs w:val="21"/>
                      <w:highlight w:val="none"/>
                    </w:rPr>
                  </w:pPr>
                  <w:r>
                    <w:rPr>
                      <w:color w:val="auto"/>
                      <w:szCs w:val="21"/>
                      <w:highlight w:val="none"/>
                    </w:rPr>
                    <w:t>≤5</w:t>
                  </w:r>
                  <w:r>
                    <w:rPr>
                      <w:rFonts w:hint="eastAsia"/>
                      <w:color w:val="auto"/>
                      <w:szCs w:val="21"/>
                      <w:highlight w:val="none"/>
                    </w:rPr>
                    <w:t>0</w:t>
                  </w:r>
                </w:p>
              </w:tc>
              <w:tc>
                <w:tcPr>
                  <w:tcW w:w="3203" w:type="dxa"/>
                  <w:vAlign w:val="center"/>
                </w:tcPr>
                <w:p>
                  <w:pPr>
                    <w:jc w:val="center"/>
                    <w:rPr>
                      <w:color w:val="auto"/>
                      <w:szCs w:val="21"/>
                      <w:highlight w:val="none"/>
                    </w:rPr>
                  </w:pPr>
                  <w:r>
                    <w:rPr>
                      <w:rFonts w:hAnsi="宋体"/>
                      <w:color w:val="auto"/>
                      <w:szCs w:val="21"/>
                      <w:highlight w:val="none"/>
                    </w:rPr>
                    <w:t>（</w:t>
                  </w:r>
                  <w:r>
                    <w:rPr>
                      <w:color w:val="auto"/>
                      <w:szCs w:val="21"/>
                      <w:highlight w:val="none"/>
                    </w:rPr>
                    <w:t>GB12348-2008</w:t>
                  </w:r>
                  <w:r>
                    <w:rPr>
                      <w:rFonts w:hAnsi="宋体"/>
                      <w:color w:val="auto"/>
                      <w:szCs w:val="21"/>
                      <w:highlight w:val="none"/>
                    </w:rPr>
                    <w:t>）</w:t>
                  </w:r>
                  <w:r>
                    <w:rPr>
                      <w:rFonts w:hint="eastAsia"/>
                      <w:color w:val="auto"/>
                      <w:szCs w:val="21"/>
                      <w:highlight w:val="none"/>
                    </w:rPr>
                    <w:t>2</w:t>
                  </w:r>
                  <w:r>
                    <w:rPr>
                      <w:rFonts w:hAnsi="宋体"/>
                      <w:color w:val="auto"/>
                      <w:szCs w:val="21"/>
                      <w:highlight w:val="none"/>
                    </w:rPr>
                    <w:t>类标准</w:t>
                  </w:r>
                </w:p>
              </w:tc>
            </w:tr>
          </w:tbl>
          <w:p>
            <w:pPr>
              <w:numPr>
                <w:ilvl w:val="0"/>
                <w:numId w:val="8"/>
              </w:numPr>
              <w:spacing w:line="312" w:lineRule="auto"/>
              <w:rPr>
                <w:color w:val="auto"/>
                <w:highlight w:val="none"/>
              </w:rPr>
            </w:pPr>
            <w:r>
              <w:rPr>
                <w:rFonts w:hint="eastAsia"/>
                <w:color w:val="auto"/>
                <w:sz w:val="24"/>
                <w:highlight w:val="none"/>
              </w:rPr>
              <w:t>《一般工业固体废物贮存、处置场污染控制标准》（GB 18599-2001）（2013年修订）；</w:t>
            </w:r>
          </w:p>
          <w:p>
            <w:pPr>
              <w:numPr>
                <w:ilvl w:val="0"/>
                <w:numId w:val="8"/>
              </w:numPr>
              <w:spacing w:line="312" w:lineRule="auto"/>
              <w:rPr>
                <w:color w:val="auto"/>
                <w:highlight w:val="none"/>
              </w:rPr>
            </w:pPr>
            <w:r>
              <w:rPr>
                <w:rFonts w:hint="eastAsia"/>
                <w:color w:val="auto"/>
                <w:sz w:val="24"/>
                <w:highlight w:val="none"/>
              </w:rPr>
              <w:t>《危险废物贮存污染控制标准》(GB 18597-2001)</w:t>
            </w:r>
            <w:r>
              <w:rPr>
                <w:bCs/>
                <w:color w:val="auto"/>
                <w:sz w:val="24"/>
                <w:highlight w:val="none"/>
              </w:rPr>
              <w:t>（2013年修订</w:t>
            </w:r>
            <w:r>
              <w:rPr>
                <w:rFonts w:hint="eastAsia"/>
                <w:bCs/>
                <w:color w:val="auto"/>
                <w:sz w:val="24"/>
                <w:highlight w:val="none"/>
              </w:rPr>
              <w:t>）</w:t>
            </w:r>
            <w:r>
              <w:rPr>
                <w:rFonts w:hint="eastAsia"/>
                <w:color w:val="auto"/>
                <w:sz w:val="24"/>
                <w:highlight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01" w:hRule="atLeast"/>
        </w:trPr>
        <w:tc>
          <w:tcPr>
            <w:tcW w:w="813" w:type="dxa"/>
            <w:tcBorders>
              <w:bottom w:val="single" w:color="000000" w:sz="6" w:space="0"/>
            </w:tcBorders>
            <w:vAlign w:val="center"/>
          </w:tcPr>
          <w:p>
            <w:pPr>
              <w:pStyle w:val="54"/>
              <w:topLinePunct w:val="0"/>
              <w:autoSpaceDE/>
              <w:autoSpaceDN/>
              <w:adjustRightInd/>
              <w:spacing w:before="120" w:line="336" w:lineRule="auto"/>
              <w:textAlignment w:val="auto"/>
              <w:rPr>
                <w:rFonts w:ascii="Times New Roman" w:hAnsi="Times New Roman"/>
                <w:color w:val="auto"/>
                <w:kern w:val="2"/>
                <w:szCs w:val="24"/>
                <w:highlight w:val="none"/>
              </w:rPr>
            </w:pPr>
            <w:r>
              <w:rPr>
                <w:rFonts w:hint="eastAsia" w:ascii="Times New Roman" w:hAnsi="Times New Roman"/>
                <w:color w:val="auto"/>
                <w:kern w:val="2"/>
                <w:szCs w:val="24"/>
                <w:highlight w:val="none"/>
              </w:rPr>
              <w:t>总</w:t>
            </w:r>
          </w:p>
          <w:p>
            <w:pPr>
              <w:pStyle w:val="54"/>
              <w:topLinePunct w:val="0"/>
              <w:autoSpaceDE/>
              <w:autoSpaceDN/>
              <w:adjustRightInd/>
              <w:spacing w:before="120" w:line="336" w:lineRule="auto"/>
              <w:textAlignment w:val="auto"/>
              <w:rPr>
                <w:rFonts w:ascii="Times New Roman" w:hAnsi="Times New Roman"/>
                <w:color w:val="auto"/>
                <w:kern w:val="2"/>
                <w:szCs w:val="24"/>
                <w:highlight w:val="none"/>
              </w:rPr>
            </w:pPr>
            <w:r>
              <w:rPr>
                <w:rFonts w:hint="eastAsia" w:ascii="Times New Roman" w:hAnsi="Times New Roman"/>
                <w:color w:val="auto"/>
                <w:kern w:val="2"/>
                <w:szCs w:val="24"/>
                <w:highlight w:val="none"/>
              </w:rPr>
              <w:t>量</w:t>
            </w:r>
          </w:p>
          <w:p>
            <w:pPr>
              <w:pStyle w:val="54"/>
              <w:topLinePunct w:val="0"/>
              <w:autoSpaceDE/>
              <w:autoSpaceDN/>
              <w:adjustRightInd/>
              <w:spacing w:before="120" w:line="336" w:lineRule="auto"/>
              <w:textAlignment w:val="auto"/>
              <w:rPr>
                <w:rFonts w:ascii="Times New Roman" w:hAnsi="Times New Roman"/>
                <w:color w:val="auto"/>
                <w:kern w:val="2"/>
                <w:szCs w:val="24"/>
                <w:highlight w:val="none"/>
              </w:rPr>
            </w:pPr>
            <w:r>
              <w:rPr>
                <w:rFonts w:hint="eastAsia" w:ascii="Times New Roman" w:hAnsi="Times New Roman"/>
                <w:color w:val="auto"/>
                <w:kern w:val="2"/>
                <w:szCs w:val="24"/>
                <w:highlight w:val="none"/>
              </w:rPr>
              <w:t>控</w:t>
            </w:r>
          </w:p>
          <w:p>
            <w:pPr>
              <w:pStyle w:val="54"/>
              <w:topLinePunct w:val="0"/>
              <w:autoSpaceDE/>
              <w:autoSpaceDN/>
              <w:adjustRightInd/>
              <w:spacing w:before="120" w:line="336" w:lineRule="auto"/>
              <w:textAlignment w:val="auto"/>
              <w:rPr>
                <w:rFonts w:ascii="Times New Roman" w:hAnsi="Times New Roman"/>
                <w:color w:val="auto"/>
                <w:kern w:val="2"/>
                <w:szCs w:val="24"/>
                <w:highlight w:val="none"/>
              </w:rPr>
            </w:pPr>
            <w:r>
              <w:rPr>
                <w:rFonts w:hint="eastAsia" w:ascii="Times New Roman" w:hAnsi="Times New Roman"/>
                <w:color w:val="auto"/>
                <w:kern w:val="2"/>
                <w:szCs w:val="24"/>
                <w:highlight w:val="none"/>
              </w:rPr>
              <w:t>制</w:t>
            </w:r>
          </w:p>
          <w:p>
            <w:pPr>
              <w:pStyle w:val="54"/>
              <w:topLinePunct w:val="0"/>
              <w:autoSpaceDE/>
              <w:autoSpaceDN/>
              <w:adjustRightInd/>
              <w:spacing w:before="120" w:line="336" w:lineRule="auto"/>
              <w:textAlignment w:val="auto"/>
              <w:rPr>
                <w:rFonts w:ascii="Times New Roman" w:hAnsi="Times New Roman"/>
                <w:color w:val="auto"/>
                <w:kern w:val="2"/>
                <w:szCs w:val="24"/>
                <w:highlight w:val="none"/>
              </w:rPr>
            </w:pPr>
            <w:r>
              <w:rPr>
                <w:rFonts w:hint="eastAsia" w:ascii="Times New Roman" w:hAnsi="Times New Roman"/>
                <w:color w:val="auto"/>
                <w:kern w:val="2"/>
                <w:szCs w:val="24"/>
                <w:highlight w:val="none"/>
              </w:rPr>
              <w:t>指</w:t>
            </w:r>
          </w:p>
          <w:p>
            <w:pPr>
              <w:pStyle w:val="54"/>
              <w:topLinePunct w:val="0"/>
              <w:autoSpaceDE/>
              <w:autoSpaceDN/>
              <w:adjustRightInd/>
              <w:spacing w:before="120" w:line="336" w:lineRule="auto"/>
              <w:textAlignment w:val="auto"/>
              <w:rPr>
                <w:rFonts w:ascii="Times New Roman" w:hAnsi="Times New Roman"/>
                <w:color w:val="auto"/>
                <w:kern w:val="2"/>
                <w:szCs w:val="24"/>
                <w:highlight w:val="none"/>
              </w:rPr>
            </w:pPr>
            <w:r>
              <w:rPr>
                <w:rFonts w:hint="eastAsia" w:ascii="Times New Roman" w:hAnsi="Times New Roman"/>
                <w:color w:val="auto"/>
                <w:kern w:val="2"/>
                <w:szCs w:val="24"/>
                <w:highlight w:val="none"/>
              </w:rPr>
              <w:t>标</w:t>
            </w:r>
          </w:p>
        </w:tc>
        <w:tc>
          <w:tcPr>
            <w:tcW w:w="8715" w:type="dxa"/>
            <w:tcBorders>
              <w:bottom w:val="single" w:color="000000" w:sz="6" w:space="0"/>
            </w:tcBorders>
            <w:vAlign w:val="center"/>
          </w:tcPr>
          <w:p>
            <w:pPr>
              <w:pStyle w:val="102"/>
              <w:spacing w:line="336" w:lineRule="auto"/>
              <w:rPr>
                <w:color w:val="auto"/>
                <w:highlight w:val="none"/>
              </w:rPr>
            </w:pPr>
          </w:p>
          <w:p>
            <w:pPr>
              <w:pStyle w:val="102"/>
              <w:spacing w:line="336" w:lineRule="auto"/>
              <w:rPr>
                <w:color w:val="auto"/>
                <w:highlight w:val="none"/>
              </w:rPr>
            </w:pPr>
          </w:p>
          <w:p>
            <w:pPr>
              <w:pStyle w:val="102"/>
              <w:spacing w:line="336" w:lineRule="auto"/>
              <w:rPr>
                <w:color w:val="auto"/>
                <w:highlight w:val="none"/>
              </w:rPr>
            </w:pPr>
          </w:p>
          <w:p>
            <w:pPr>
              <w:pStyle w:val="102"/>
              <w:spacing w:line="336" w:lineRule="auto"/>
              <w:rPr>
                <w:color w:val="auto"/>
                <w:highlight w:val="none"/>
              </w:rPr>
            </w:pPr>
          </w:p>
          <w:p>
            <w:pPr>
              <w:pStyle w:val="102"/>
              <w:spacing w:line="336" w:lineRule="auto"/>
              <w:rPr>
                <w:color w:val="auto"/>
                <w:highlight w:val="none"/>
              </w:rPr>
            </w:pPr>
          </w:p>
          <w:p>
            <w:pPr>
              <w:pStyle w:val="102"/>
              <w:spacing w:line="336" w:lineRule="auto"/>
              <w:rPr>
                <w:color w:val="auto"/>
                <w:highlight w:val="none"/>
              </w:rPr>
            </w:pPr>
          </w:p>
          <w:p>
            <w:pPr>
              <w:pStyle w:val="102"/>
              <w:rPr>
                <w:rFonts w:hAnsi="Times New Roman"/>
                <w:color w:val="auto"/>
                <w:highlight w:val="none"/>
              </w:rPr>
            </w:pPr>
            <w:r>
              <w:rPr>
                <w:rFonts w:hAnsi="Times New Roman"/>
                <w:color w:val="auto"/>
                <w:highlight w:val="none"/>
              </w:rPr>
              <w:t>根据《国务院关于印发“十三五”生态环境保护规划的通知》（国发[2016]65 号）、《广东省环境保护厅关于印发广东省环境保护“十三五”规划的通知》（粤环[2016]51号）及《国务院关于印发大气污染防治行动计划的通知》（国发[2013]37 号），总量控制指标主要为化学需氧量（ CODcr）、氨氮（NH</w:t>
            </w:r>
            <w:r>
              <w:rPr>
                <w:rFonts w:hAnsi="Times New Roman"/>
                <w:color w:val="auto"/>
                <w:highlight w:val="none"/>
                <w:vertAlign w:val="subscript"/>
              </w:rPr>
              <w:t>3</w:t>
            </w:r>
            <w:r>
              <w:rPr>
                <w:rFonts w:hAnsi="Times New Roman"/>
                <w:color w:val="auto"/>
                <w:highlight w:val="none"/>
              </w:rPr>
              <w:t>-N）、二氧化硫（SO</w:t>
            </w:r>
            <w:r>
              <w:rPr>
                <w:rFonts w:hAnsi="Times New Roman"/>
                <w:color w:val="auto"/>
                <w:highlight w:val="none"/>
                <w:vertAlign w:val="subscript"/>
              </w:rPr>
              <w:t>2</w:t>
            </w:r>
            <w:r>
              <w:rPr>
                <w:rFonts w:hAnsi="Times New Roman"/>
                <w:color w:val="auto"/>
                <w:highlight w:val="none"/>
              </w:rPr>
              <w:t>）</w:t>
            </w:r>
            <w:r>
              <w:rPr>
                <w:rFonts w:hint="eastAsia" w:hAnsi="Times New Roman"/>
                <w:color w:val="auto"/>
                <w:highlight w:val="none"/>
              </w:rPr>
              <w:t>、</w:t>
            </w:r>
            <w:r>
              <w:rPr>
                <w:rFonts w:hAnsi="Times New Roman"/>
                <w:color w:val="auto"/>
                <w:highlight w:val="none"/>
              </w:rPr>
              <w:t>氮氧化物（NOx）、总氮、总磷、挥发性有机物（VOCs）、重点行业的重点重金属。最终以当地环保主管部门下达的总量控制指标为准。</w:t>
            </w:r>
          </w:p>
          <w:p>
            <w:pPr>
              <w:pStyle w:val="102"/>
              <w:rPr>
                <w:rFonts w:hAnsi="Times New Roman"/>
                <w:color w:val="auto"/>
                <w:highlight w:val="none"/>
              </w:rPr>
            </w:pPr>
            <w:r>
              <w:rPr>
                <w:rFonts w:hAnsi="Times New Roman"/>
                <w:color w:val="auto"/>
                <w:highlight w:val="none"/>
              </w:rPr>
              <w:t>废气：项目污染物总量控制指标需由建设方向当地环保部门申请调整分配，经审批同意后方能实施。本项目废气总量控制指标见下表：</w:t>
            </w:r>
          </w:p>
          <w:p>
            <w:pPr>
              <w:pStyle w:val="138"/>
              <w:numPr>
                <w:ilvl w:val="0"/>
                <w:numId w:val="5"/>
              </w:numPr>
              <w:tabs>
                <w:tab w:val="left" w:pos="420"/>
              </w:tabs>
              <w:adjustRightInd/>
              <w:snapToGrid/>
              <w:spacing w:line="312"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项目废气总量控制指标</w:t>
            </w:r>
          </w:p>
          <w:tbl>
            <w:tblPr>
              <w:tblStyle w:val="40"/>
              <w:tblW w:w="75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8"/>
              <w:gridCol w:w="1726"/>
              <w:gridCol w:w="1404"/>
              <w:gridCol w:w="17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8" w:type="dxa"/>
                  <w:vAlign w:val="center"/>
                </w:tcPr>
                <w:p>
                  <w:pPr>
                    <w:kinsoku w:val="0"/>
                    <w:snapToGrid w:val="0"/>
                    <w:jc w:val="center"/>
                    <w:outlineLvl w:val="0"/>
                    <w:rPr>
                      <w:bCs/>
                      <w:color w:val="auto"/>
                      <w:szCs w:val="21"/>
                      <w:highlight w:val="none"/>
                    </w:rPr>
                  </w:pPr>
                  <w:r>
                    <w:rPr>
                      <w:b/>
                      <w:color w:val="auto"/>
                      <w:szCs w:val="21"/>
                      <w:highlight w:val="none"/>
                    </w:rPr>
                    <w:t>污染物</w:t>
                  </w:r>
                </w:p>
              </w:tc>
              <w:tc>
                <w:tcPr>
                  <w:tcW w:w="1726" w:type="dxa"/>
                  <w:vAlign w:val="center"/>
                </w:tcPr>
                <w:p>
                  <w:pPr>
                    <w:kinsoku w:val="0"/>
                    <w:snapToGrid w:val="0"/>
                    <w:jc w:val="center"/>
                    <w:outlineLvl w:val="0"/>
                    <w:rPr>
                      <w:bCs/>
                      <w:color w:val="auto"/>
                      <w:szCs w:val="21"/>
                      <w:highlight w:val="none"/>
                    </w:rPr>
                  </w:pPr>
                  <w:r>
                    <w:rPr>
                      <w:b/>
                      <w:color w:val="auto"/>
                      <w:szCs w:val="21"/>
                      <w:highlight w:val="none"/>
                    </w:rPr>
                    <w:t>排放方式</w:t>
                  </w:r>
                </w:p>
              </w:tc>
              <w:tc>
                <w:tcPr>
                  <w:tcW w:w="1404" w:type="dxa"/>
                  <w:vAlign w:val="center"/>
                </w:tcPr>
                <w:p>
                  <w:pPr>
                    <w:kinsoku w:val="0"/>
                    <w:snapToGrid w:val="0"/>
                    <w:jc w:val="center"/>
                    <w:outlineLvl w:val="0"/>
                    <w:rPr>
                      <w:b/>
                      <w:color w:val="auto"/>
                      <w:szCs w:val="21"/>
                      <w:highlight w:val="none"/>
                    </w:rPr>
                  </w:pPr>
                  <w:r>
                    <w:rPr>
                      <w:b/>
                      <w:color w:val="auto"/>
                      <w:szCs w:val="21"/>
                      <w:highlight w:val="none"/>
                    </w:rPr>
                    <w:t>排放量</w:t>
                  </w:r>
                </w:p>
                <w:p>
                  <w:pPr>
                    <w:kinsoku w:val="0"/>
                    <w:snapToGrid w:val="0"/>
                    <w:jc w:val="center"/>
                    <w:outlineLvl w:val="0"/>
                    <w:rPr>
                      <w:bCs/>
                      <w:color w:val="auto"/>
                      <w:szCs w:val="21"/>
                      <w:highlight w:val="none"/>
                    </w:rPr>
                  </w:pPr>
                  <w:r>
                    <w:rPr>
                      <w:b/>
                      <w:color w:val="auto"/>
                      <w:szCs w:val="21"/>
                      <w:highlight w:val="none"/>
                    </w:rPr>
                    <w:t>（t/a）</w:t>
                  </w:r>
                </w:p>
              </w:tc>
              <w:tc>
                <w:tcPr>
                  <w:tcW w:w="1707" w:type="dxa"/>
                  <w:vAlign w:val="center"/>
                </w:tcPr>
                <w:p>
                  <w:pPr>
                    <w:kinsoku w:val="0"/>
                    <w:snapToGrid w:val="0"/>
                    <w:jc w:val="center"/>
                    <w:outlineLvl w:val="0"/>
                    <w:rPr>
                      <w:b/>
                      <w:color w:val="auto"/>
                      <w:szCs w:val="21"/>
                      <w:highlight w:val="none"/>
                    </w:rPr>
                  </w:pPr>
                  <w:r>
                    <w:rPr>
                      <w:b/>
                      <w:color w:val="auto"/>
                      <w:szCs w:val="21"/>
                      <w:highlight w:val="none"/>
                    </w:rPr>
                    <w:t>合计</w:t>
                  </w:r>
                </w:p>
                <w:p>
                  <w:pPr>
                    <w:kinsoku w:val="0"/>
                    <w:snapToGrid w:val="0"/>
                    <w:jc w:val="center"/>
                    <w:outlineLvl w:val="0"/>
                    <w:rPr>
                      <w:bCs/>
                      <w:color w:val="auto"/>
                      <w:szCs w:val="21"/>
                      <w:highlight w:val="none"/>
                    </w:rPr>
                  </w:pPr>
                  <w:r>
                    <w:rPr>
                      <w:b/>
                      <w:color w:val="auto"/>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8" w:type="dxa"/>
                  <w:vMerge w:val="restart"/>
                  <w:vAlign w:val="center"/>
                </w:tcPr>
                <w:p>
                  <w:pPr>
                    <w:pStyle w:val="47"/>
                    <w:tabs>
                      <w:tab w:val="left" w:pos="607"/>
                    </w:tabs>
                    <w:snapToGrid w:val="0"/>
                    <w:jc w:val="center"/>
                    <w:rPr>
                      <w:rFonts w:ascii="Times New Roman" w:cs="Times New Roman"/>
                      <w:bCs/>
                      <w:color w:val="auto"/>
                      <w:sz w:val="21"/>
                      <w:szCs w:val="21"/>
                      <w:highlight w:val="none"/>
                    </w:rPr>
                  </w:pPr>
                  <w:r>
                    <w:rPr>
                      <w:rFonts w:ascii="Times New Roman" w:cs="Times New Roman"/>
                      <w:color w:val="auto"/>
                      <w:sz w:val="21"/>
                      <w:szCs w:val="21"/>
                      <w:highlight w:val="none"/>
                    </w:rPr>
                    <w:t>VOCs</w:t>
                  </w:r>
                  <w:r>
                    <w:rPr>
                      <w:rFonts w:hint="eastAsia"/>
                      <w:color w:val="auto"/>
                      <w:sz w:val="21"/>
                      <w:szCs w:val="21"/>
                      <w:highlight w:val="none"/>
                    </w:rPr>
                    <w:t>（以</w:t>
                  </w:r>
                  <w:r>
                    <w:rPr>
                      <w:color w:val="auto"/>
                      <w:sz w:val="21"/>
                      <w:szCs w:val="21"/>
                      <w:highlight w:val="none"/>
                    </w:rPr>
                    <w:t>非甲烷总烃</w:t>
                  </w:r>
                  <w:r>
                    <w:rPr>
                      <w:rFonts w:hint="eastAsia" w:ascii="Times New Roman" w:cs="Times New Roman"/>
                      <w:color w:val="auto"/>
                      <w:sz w:val="21"/>
                      <w:szCs w:val="21"/>
                      <w:highlight w:val="none"/>
                    </w:rPr>
                    <w:t>计）</w:t>
                  </w:r>
                </w:p>
              </w:tc>
              <w:tc>
                <w:tcPr>
                  <w:tcW w:w="1726" w:type="dxa"/>
                  <w:vAlign w:val="center"/>
                </w:tcPr>
                <w:p>
                  <w:pPr>
                    <w:pStyle w:val="47"/>
                    <w:tabs>
                      <w:tab w:val="left" w:pos="607"/>
                    </w:tabs>
                    <w:snapToGrid w:val="0"/>
                    <w:spacing w:line="360" w:lineRule="auto"/>
                    <w:jc w:val="center"/>
                    <w:rPr>
                      <w:rFonts w:ascii="Times New Roman" w:cs="Times New Roman"/>
                      <w:bCs/>
                      <w:color w:val="auto"/>
                      <w:sz w:val="21"/>
                      <w:szCs w:val="21"/>
                      <w:highlight w:val="none"/>
                    </w:rPr>
                  </w:pPr>
                  <w:r>
                    <w:rPr>
                      <w:rFonts w:ascii="Times New Roman" w:cs="Times New Roman"/>
                      <w:bCs/>
                      <w:color w:val="auto"/>
                      <w:sz w:val="21"/>
                      <w:szCs w:val="21"/>
                      <w:highlight w:val="none"/>
                    </w:rPr>
                    <w:t>有组织</w:t>
                  </w:r>
                </w:p>
              </w:tc>
              <w:tc>
                <w:tcPr>
                  <w:tcW w:w="1404" w:type="dxa"/>
                  <w:vAlign w:val="center"/>
                </w:tcPr>
                <w:p>
                  <w:pPr>
                    <w:widowControl/>
                    <w:jc w:val="center"/>
                    <w:textAlignment w:val="center"/>
                    <w:rPr>
                      <w:rFonts w:hint="default" w:ascii="Times New Roman" w:hAnsi="Times New Roman" w:eastAsia="宋体"/>
                      <w:bCs/>
                      <w:color w:val="auto"/>
                      <w:szCs w:val="21"/>
                      <w:highlight w:val="none"/>
                      <w:lang w:val="en-US" w:eastAsia="zh-CN"/>
                    </w:rPr>
                  </w:pPr>
                  <w:r>
                    <w:rPr>
                      <w:rFonts w:hint="eastAsia"/>
                      <w:color w:val="auto"/>
                      <w:kern w:val="0"/>
                      <w:szCs w:val="21"/>
                      <w:highlight w:val="none"/>
                      <w:lang w:val="en-US" w:eastAsia="zh-CN"/>
                    </w:rPr>
                    <w:t>0.166</w:t>
                  </w:r>
                </w:p>
              </w:tc>
              <w:tc>
                <w:tcPr>
                  <w:tcW w:w="1707" w:type="dxa"/>
                  <w:vMerge w:val="restart"/>
                  <w:vAlign w:val="center"/>
                </w:tcPr>
                <w:p>
                  <w:pPr>
                    <w:spacing w:line="360" w:lineRule="auto"/>
                    <w:jc w:val="center"/>
                    <w:textAlignment w:val="center"/>
                    <w:rPr>
                      <w:rFonts w:hint="default" w:eastAsia="宋体"/>
                      <w:bCs/>
                      <w:color w:val="auto"/>
                      <w:szCs w:val="21"/>
                      <w:highlight w:val="none"/>
                      <w:lang w:val="en-US" w:eastAsia="zh-CN"/>
                    </w:rPr>
                  </w:pPr>
                  <w:r>
                    <w:rPr>
                      <w:rFonts w:hint="eastAsia"/>
                      <w:bCs/>
                      <w:color w:val="auto"/>
                      <w:szCs w:val="21"/>
                      <w:highlight w:val="none"/>
                      <w:lang w:val="en-US" w:eastAsia="zh-CN"/>
                    </w:rPr>
                    <w:t>0.274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8" w:type="dxa"/>
                  <w:vMerge w:val="continue"/>
                  <w:vAlign w:val="center"/>
                </w:tcPr>
                <w:p>
                  <w:pPr>
                    <w:pStyle w:val="47"/>
                    <w:tabs>
                      <w:tab w:val="left" w:pos="607"/>
                    </w:tabs>
                    <w:snapToGrid w:val="0"/>
                    <w:spacing w:line="360" w:lineRule="auto"/>
                    <w:jc w:val="center"/>
                    <w:rPr>
                      <w:rFonts w:ascii="Times New Roman" w:cs="Times New Roman"/>
                      <w:bCs/>
                      <w:color w:val="auto"/>
                      <w:sz w:val="21"/>
                      <w:szCs w:val="21"/>
                      <w:highlight w:val="none"/>
                    </w:rPr>
                  </w:pPr>
                </w:p>
              </w:tc>
              <w:tc>
                <w:tcPr>
                  <w:tcW w:w="1726" w:type="dxa"/>
                  <w:vAlign w:val="center"/>
                </w:tcPr>
                <w:p>
                  <w:pPr>
                    <w:pStyle w:val="47"/>
                    <w:tabs>
                      <w:tab w:val="left" w:pos="607"/>
                    </w:tabs>
                    <w:snapToGrid w:val="0"/>
                    <w:spacing w:line="360" w:lineRule="auto"/>
                    <w:jc w:val="center"/>
                    <w:rPr>
                      <w:rFonts w:ascii="Times New Roman" w:cs="Times New Roman"/>
                      <w:bCs/>
                      <w:color w:val="auto"/>
                      <w:sz w:val="21"/>
                      <w:szCs w:val="21"/>
                      <w:highlight w:val="none"/>
                    </w:rPr>
                  </w:pPr>
                  <w:r>
                    <w:rPr>
                      <w:rFonts w:ascii="Times New Roman" w:cs="Times New Roman"/>
                      <w:bCs/>
                      <w:color w:val="auto"/>
                      <w:sz w:val="21"/>
                      <w:szCs w:val="21"/>
                      <w:highlight w:val="none"/>
                    </w:rPr>
                    <w:t>无组织</w:t>
                  </w:r>
                </w:p>
              </w:tc>
              <w:tc>
                <w:tcPr>
                  <w:tcW w:w="1404" w:type="dxa"/>
                  <w:vAlign w:val="center"/>
                </w:tcPr>
                <w:p>
                  <w:pPr>
                    <w:widowControl/>
                    <w:jc w:val="center"/>
                    <w:textAlignment w:val="center"/>
                    <w:rPr>
                      <w:rFonts w:hint="default" w:ascii="Times New Roman" w:hAnsi="Times New Roman" w:eastAsia="宋体"/>
                      <w:bCs/>
                      <w:color w:val="auto"/>
                      <w:szCs w:val="21"/>
                      <w:highlight w:val="none"/>
                      <w:lang w:val="en-US" w:eastAsia="zh-CN"/>
                    </w:rPr>
                  </w:pPr>
                  <w:r>
                    <w:rPr>
                      <w:rFonts w:hint="eastAsia"/>
                      <w:color w:val="auto"/>
                      <w:highlight w:val="none"/>
                      <w:lang w:val="en-US" w:eastAsia="zh-CN"/>
                    </w:rPr>
                    <w:t>0.108</w:t>
                  </w:r>
                </w:p>
              </w:tc>
              <w:tc>
                <w:tcPr>
                  <w:tcW w:w="1707" w:type="dxa"/>
                  <w:vMerge w:val="continue"/>
                  <w:vAlign w:val="center"/>
                </w:tcPr>
                <w:p>
                  <w:pPr>
                    <w:spacing w:line="360" w:lineRule="auto"/>
                    <w:jc w:val="center"/>
                    <w:textAlignment w:val="center"/>
                    <w:rPr>
                      <w:bCs/>
                      <w:color w:val="auto"/>
                      <w:szCs w:val="21"/>
                      <w:highlight w:val="none"/>
                    </w:rPr>
                  </w:pPr>
                </w:p>
              </w:tc>
            </w:tr>
          </w:tbl>
          <w:p>
            <w:pPr>
              <w:spacing w:line="360" w:lineRule="auto"/>
              <w:ind w:firstLine="480" w:firstLineChars="200"/>
              <w:rPr>
                <w:color w:val="auto"/>
                <w:sz w:val="24"/>
                <w:highlight w:val="none"/>
              </w:rPr>
            </w:pPr>
            <w:r>
              <w:rPr>
                <w:color w:val="auto"/>
                <w:sz w:val="24"/>
                <w:highlight w:val="none"/>
              </w:rPr>
              <w:t>废水：项目生活污水进入开平市水口污水处理厂处理，水污染物排放总量由区域性调控解决，不分配CODcr、氨氮等总量控制指标。</w:t>
            </w:r>
          </w:p>
          <w:p>
            <w:pPr>
              <w:pStyle w:val="102"/>
              <w:spacing w:line="336" w:lineRule="auto"/>
              <w:rPr>
                <w:color w:val="auto"/>
                <w:highlight w:val="none"/>
              </w:rPr>
            </w:pPr>
          </w:p>
          <w:p>
            <w:pPr>
              <w:pStyle w:val="102"/>
              <w:spacing w:line="336" w:lineRule="auto"/>
              <w:rPr>
                <w:color w:val="auto"/>
                <w:highlight w:val="none"/>
              </w:rPr>
            </w:pPr>
          </w:p>
          <w:p>
            <w:pPr>
              <w:pStyle w:val="102"/>
              <w:spacing w:line="336" w:lineRule="auto"/>
              <w:rPr>
                <w:color w:val="auto"/>
                <w:highlight w:val="none"/>
              </w:rPr>
            </w:pPr>
          </w:p>
          <w:p>
            <w:pPr>
              <w:pStyle w:val="102"/>
              <w:spacing w:line="336" w:lineRule="auto"/>
              <w:rPr>
                <w:color w:val="auto"/>
                <w:highlight w:val="none"/>
              </w:rPr>
            </w:pPr>
          </w:p>
          <w:p>
            <w:pPr>
              <w:pStyle w:val="102"/>
              <w:spacing w:line="336" w:lineRule="auto"/>
              <w:rPr>
                <w:color w:val="auto"/>
                <w:highlight w:val="none"/>
              </w:rPr>
            </w:pPr>
          </w:p>
          <w:p>
            <w:pPr>
              <w:pStyle w:val="102"/>
              <w:spacing w:line="336" w:lineRule="auto"/>
              <w:rPr>
                <w:color w:val="auto"/>
                <w:highlight w:val="none"/>
              </w:rPr>
            </w:pPr>
          </w:p>
          <w:p>
            <w:pPr>
              <w:pStyle w:val="102"/>
              <w:spacing w:line="336" w:lineRule="auto"/>
              <w:rPr>
                <w:color w:val="auto"/>
                <w:highlight w:val="none"/>
              </w:rPr>
            </w:pPr>
          </w:p>
        </w:tc>
      </w:tr>
    </w:tbl>
    <w:p>
      <w:pPr>
        <w:spacing w:line="300" w:lineRule="auto"/>
        <w:ind w:firstLine="454"/>
        <w:rPr>
          <w:color w:val="auto"/>
          <w:sz w:val="28"/>
          <w:highlight w:val="none"/>
        </w:rPr>
        <w:sectPr>
          <w:footerReference r:id="rId12" w:type="default"/>
          <w:pgSz w:w="11907" w:h="16840"/>
          <w:pgMar w:top="1246" w:right="1134" w:bottom="971" w:left="1418" w:header="0" w:footer="898" w:gutter="0"/>
          <w:cols w:space="720" w:num="1"/>
          <w:docGrid w:linePitch="326" w:charSpace="-4916"/>
        </w:sectPr>
      </w:pPr>
    </w:p>
    <w:p>
      <w:pPr>
        <w:pStyle w:val="38"/>
        <w:jc w:val="left"/>
        <w:rPr>
          <w:rFonts w:ascii="Times New Roman" w:hAnsi="Times New Roman"/>
          <w:color w:val="auto"/>
          <w:highlight w:val="none"/>
        </w:rPr>
      </w:pPr>
      <w:r>
        <w:rPr>
          <w:rFonts w:hint="eastAsia" w:ascii="Times New Roman" w:hAnsi="Times New Roman"/>
          <w:color w:val="auto"/>
          <w:highlight w:val="none"/>
        </w:rPr>
        <w:t>建设项目工程分析</w:t>
      </w:r>
    </w:p>
    <w:tbl>
      <w:tblPr>
        <w:tblStyle w:val="40"/>
        <w:tblW w:w="9571"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57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015" w:hRule="atLeast"/>
        </w:trPr>
        <w:tc>
          <w:tcPr>
            <w:tcW w:w="9571" w:type="dxa"/>
            <w:tcBorders>
              <w:bottom w:val="single" w:color="auto" w:sz="4" w:space="0"/>
            </w:tcBorders>
          </w:tcPr>
          <w:p>
            <w:pPr>
              <w:numPr>
                <w:ilvl w:val="0"/>
                <w:numId w:val="9"/>
              </w:numPr>
              <w:spacing w:line="312" w:lineRule="auto"/>
              <w:rPr>
                <w:b/>
                <w:bCs/>
                <w:color w:val="auto"/>
                <w:sz w:val="24"/>
                <w:highlight w:val="none"/>
              </w:rPr>
            </w:pPr>
            <w:r>
              <w:rPr>
                <w:rFonts w:hint="eastAsia"/>
                <w:b/>
                <w:bCs/>
                <w:color w:val="auto"/>
                <w:sz w:val="24"/>
                <w:highlight w:val="none"/>
              </w:rPr>
              <w:t>工艺流程简述(图示):</w:t>
            </w:r>
          </w:p>
          <w:p>
            <w:pPr>
              <w:spacing w:line="276" w:lineRule="auto"/>
              <w:rPr>
                <w:b/>
                <w:bCs/>
                <w:color w:val="auto"/>
                <w:szCs w:val="21"/>
                <w:highlight w:val="none"/>
              </w:rPr>
            </w:pPr>
            <w:r>
              <w:rPr>
                <w:b/>
                <w:bCs/>
                <w:color w:val="auto"/>
                <w:szCs w:val="21"/>
                <w:highlight w:val="none"/>
              </w:rPr>
              <w:t>（注：G</w:t>
            </w:r>
            <w:r>
              <w:rPr>
                <w:rFonts w:hint="eastAsia"/>
                <w:b/>
                <w:bCs/>
                <w:color w:val="auto"/>
                <w:szCs w:val="21"/>
                <w:highlight w:val="none"/>
                <w:vertAlign w:val="subscript"/>
              </w:rPr>
              <w:t>1</w:t>
            </w:r>
            <w:r>
              <w:rPr>
                <w:rFonts w:hint="eastAsia"/>
                <w:b/>
                <w:bCs/>
                <w:color w:val="auto"/>
                <w:szCs w:val="21"/>
                <w:highlight w:val="none"/>
              </w:rPr>
              <w:t>为</w:t>
            </w:r>
            <w:r>
              <w:rPr>
                <w:rFonts w:hint="eastAsia"/>
                <w:b/>
                <w:bCs/>
                <w:color w:val="auto"/>
                <w:szCs w:val="21"/>
                <w:highlight w:val="none"/>
                <w:lang w:eastAsia="zh-CN"/>
              </w:rPr>
              <w:t>臭气、有机废气</w:t>
            </w:r>
            <w:r>
              <w:rPr>
                <w:rFonts w:hint="eastAsia"/>
                <w:b/>
                <w:bCs/>
                <w:color w:val="auto"/>
                <w:szCs w:val="21"/>
                <w:highlight w:val="none"/>
              </w:rPr>
              <w:t>，</w:t>
            </w:r>
            <w:r>
              <w:rPr>
                <w:b/>
                <w:bCs/>
                <w:color w:val="auto"/>
                <w:szCs w:val="21"/>
                <w:highlight w:val="none"/>
              </w:rPr>
              <w:t>G</w:t>
            </w:r>
            <w:r>
              <w:rPr>
                <w:rFonts w:hint="eastAsia"/>
                <w:b/>
                <w:bCs/>
                <w:color w:val="auto"/>
                <w:szCs w:val="21"/>
                <w:highlight w:val="none"/>
                <w:vertAlign w:val="subscript"/>
              </w:rPr>
              <w:t>2</w:t>
            </w:r>
            <w:r>
              <w:rPr>
                <w:rFonts w:hint="eastAsia"/>
                <w:b/>
                <w:bCs/>
                <w:color w:val="auto"/>
                <w:szCs w:val="21"/>
                <w:highlight w:val="none"/>
              </w:rPr>
              <w:t>为粉尘</w:t>
            </w:r>
            <w:r>
              <w:rPr>
                <w:b/>
                <w:bCs/>
                <w:color w:val="auto"/>
                <w:szCs w:val="21"/>
                <w:highlight w:val="none"/>
              </w:rPr>
              <w:t>；；</w:t>
            </w:r>
            <w:r>
              <w:rPr>
                <w:rFonts w:hint="eastAsia"/>
                <w:b/>
                <w:bCs/>
                <w:color w:val="auto"/>
                <w:szCs w:val="21"/>
                <w:highlight w:val="none"/>
              </w:rPr>
              <w:t>S为一般工业固废；N</w:t>
            </w:r>
            <w:r>
              <w:rPr>
                <w:b/>
                <w:bCs/>
                <w:color w:val="auto"/>
                <w:szCs w:val="21"/>
                <w:highlight w:val="none"/>
              </w:rPr>
              <w:t>为噪声</w:t>
            </w:r>
            <w:r>
              <w:rPr>
                <w:rFonts w:hint="eastAsia"/>
                <w:b/>
                <w:bCs/>
                <w:color w:val="auto"/>
                <w:szCs w:val="21"/>
                <w:highlight w:val="none"/>
              </w:rPr>
              <w:t>。</w:t>
            </w:r>
            <w:r>
              <w:rPr>
                <w:b/>
                <w:bCs/>
                <w:color w:val="auto"/>
                <w:szCs w:val="21"/>
                <w:highlight w:val="none"/>
              </w:rPr>
              <w:t>）</w:t>
            </w:r>
          </w:p>
          <w:p>
            <w:pPr>
              <w:spacing w:line="360" w:lineRule="auto"/>
              <w:rPr>
                <w:b/>
                <w:bCs/>
                <w:color w:val="auto"/>
                <w:sz w:val="24"/>
                <w:highlight w:val="none"/>
              </w:rPr>
            </w:pPr>
            <w:r>
              <w:rPr>
                <w:color w:val="auto"/>
                <w:sz w:val="24"/>
                <w:highlight w:val="none"/>
              </w:rPr>
              <w:pict>
                <v:shape id="_x0000_s1118" o:spid="_x0000_s1118" style="position:absolute;left:0pt;margin-left:235.05pt;margin-top:86.15pt;height:21.7pt;width:6pt;z-index:251661312;mso-width-relative:page;mso-height-relative:page;" filled="f" coordsize="1,375" path="m0,375l0,0e">
                  <v:path arrowok="t"/>
                  <v:fill on="f" focussize="0,0"/>
                  <v:stroke weight="0.5pt" endarrow="block"/>
                  <v:imagedata o:title=""/>
                  <o:lock v:ext="edit"/>
                </v:shape>
              </w:pict>
            </w:r>
            <w:r>
              <w:rPr>
                <w:color w:val="auto"/>
                <w:sz w:val="24"/>
                <w:highlight w:val="none"/>
              </w:rPr>
              <w:pict>
                <v:shape id="_x0000_s1117" o:spid="_x0000_s1117" style="position:absolute;left:0pt;margin-left:260.55pt;margin-top:87.6pt;height:32.25pt;width:39pt;z-index:251659264;mso-width-relative:page;mso-height-relative:page;" filled="f" coordsize="780,645" path="m780,0l780,645,0,645e">
                  <v:path arrowok="t"/>
                  <v:fill on="f" focussize="0,0"/>
                  <v:stroke weight="0.1pt" endarrow="block"/>
                  <v:imagedata o:title=""/>
                  <o:lock v:ext="edit"/>
                </v:shape>
              </w:pict>
            </w:r>
            <w:r>
              <w:rPr>
                <w:b/>
                <w:bCs/>
                <w:color w:val="auto"/>
                <w:sz w:val="24"/>
                <w:highlight w:val="none"/>
              </w:rPr>
              <w:pict>
                <v:group id="_x0000_s1119" o:spid="_x0000_s1119" o:spt="203" style="height:148.75pt;width:462.8pt;" coordorigin="3135,4408" coordsize="9256,2974" editas="canvas">
                  <o:lock v:ext="edit"/>
                  <v:shape id="_x0000_s1039" o:spid="_x0000_s1039" o:spt="75" type="#_x0000_t75" style="position:absolute;left:3135;top:4408;height:2974;width:9256;" filled="f" o:preferrelative="t" stroked="f" coordsize="21600,21600">
                    <v:path/>
                    <v:fill on="f" focussize="0,0"/>
                    <v:stroke on="f" joinstyle="miter"/>
                    <v:imagedata o:title=""/>
                    <o:lock v:ext="edit" text="t" aspectratio="t"/>
                  </v:shape>
                  <v:shape id="_x0000_s1040" o:spid="_x0000_s1040" o:spt="202" type="#_x0000_t202" style="position:absolute;left:3754;top:5567;height:674;width:1945;" filled="f" coordsize="21600,21600">
                    <v:path/>
                    <v:fill on="f" focussize="0,0"/>
                    <v:stroke weight="0.25pt" joinstyle="miter"/>
                    <v:imagedata o:title=""/>
                    <o:lock v:ext="edit"/>
                    <v:textbox>
                      <w:txbxContent>
                        <w:p>
                          <w:pPr>
                            <w:jc w:val="center"/>
                          </w:pPr>
                          <w:r>
                            <w:t>ABS</w:t>
                          </w:r>
                          <w:r>
                            <w:rPr>
                              <w:rFonts w:hint="eastAsia"/>
                            </w:rPr>
                            <w:t>、PP、PE塑胶粒与色母</w:t>
                          </w:r>
                        </w:p>
                      </w:txbxContent>
                    </v:textbox>
                  </v:shape>
                  <v:shape id="_x0000_s1041" o:spid="_x0000_s1041" o:spt="202" type="#_x0000_t202" style="position:absolute;left:8677;top:5699;height:465;width:926;" filled="f" coordsize="21600,21600">
                    <v:path/>
                    <v:fill on="f" focussize="0,0"/>
                    <v:stroke weight="0.25pt" joinstyle="miter"/>
                    <v:imagedata o:title=""/>
                    <o:lock v:ext="edit"/>
                    <v:textbox>
                      <w:txbxContent>
                        <w:p>
                          <w:pPr>
                            <w:jc w:val="center"/>
                          </w:pPr>
                          <w:r>
                            <w:rPr>
                              <w:rFonts w:hint="eastAsia"/>
                            </w:rPr>
                            <w:t>注塑</w:t>
                          </w:r>
                        </w:p>
                      </w:txbxContent>
                    </v:textbox>
                  </v:shape>
                  <v:shape id="_x0000_s1042" o:spid="_x0000_s1042" o:spt="32" type="#_x0000_t32" style="position:absolute;left:9603;top:5932;height:8;width:337;" filled="f" coordsize="21600,21600">
                    <v:path arrowok="t"/>
                    <v:fill on="f" focussize="0,0"/>
                    <v:stroke weight="0.25pt" endarrow="block"/>
                    <v:imagedata o:title=""/>
                    <o:lock v:ext="edit"/>
                  </v:shape>
                  <v:shape id="_x0000_s1044" o:spid="_x0000_s1044" o:spt="32" type="#_x0000_t32" style="position:absolute;left:5728;top:5939;flip:y;height:4;width:315;" filled="f" coordsize="21600,21600">
                    <v:path arrowok="t"/>
                    <v:fill on="f" focussize="0,0"/>
                    <v:stroke weight="0.25pt" endarrow="block"/>
                    <v:imagedata o:title=""/>
                    <o:lock v:ext="edit"/>
                  </v:shape>
                  <v:shape id="_x0000_s1051" o:spid="_x0000_s1051" o:spt="202" type="#_x0000_t202" style="position:absolute;left:8728;top:5349;height:477;width:1334;" filled="f" stroked="f" coordsize="21600,21600">
                    <v:path/>
                    <v:fill on="f" focussize="0,0"/>
                    <v:stroke on="f" joinstyle="miter"/>
                    <v:imagedata o:title=""/>
                    <o:lock v:ext="edit"/>
                    <v:textbox>
                      <w:txbxContent>
                        <w:p>
                          <w:pPr>
                            <w:jc w:val="center"/>
                          </w:pPr>
                          <w:r>
                            <w:rPr>
                              <w:bCs/>
                            </w:rPr>
                            <w:t>G</w:t>
                          </w:r>
                          <w:r>
                            <w:rPr>
                              <w:rFonts w:hint="eastAsia"/>
                              <w:bCs/>
                              <w:vertAlign w:val="subscript"/>
                              <w:lang w:val="en-US" w:eastAsia="zh-CN"/>
                            </w:rPr>
                            <w:t>1</w:t>
                          </w:r>
                          <w:r>
                            <w:rPr>
                              <w:rFonts w:hint="eastAsia"/>
                              <w:bCs/>
                            </w:rPr>
                            <w:t xml:space="preserve"> </w:t>
                          </w:r>
                          <w:r>
                            <w:t>N</w:t>
                          </w:r>
                          <w:r>
                            <w:rPr>
                              <w:rFonts w:hint="eastAsia"/>
                            </w:rPr>
                            <w:t xml:space="preserve"> </w:t>
                          </w:r>
                        </w:p>
                      </w:txbxContent>
                    </v:textbox>
                  </v:shape>
                  <v:shape id="_x0000_s1054" o:spid="_x0000_s1054" o:spt="202" type="#_x0000_t202" style="position:absolute;left:9955;top:5699;height:465;width:875;" filled="f" coordsize="21600,21600">
                    <v:path/>
                    <v:fill on="f" focussize="0,0"/>
                    <v:stroke weight="0.25pt" joinstyle="miter"/>
                    <v:imagedata o:title=""/>
                    <o:lock v:ext="edit"/>
                    <v:textbox>
                      <w:txbxContent>
                        <w:p>
                          <w:pPr>
                            <w:jc w:val="center"/>
                          </w:pPr>
                          <w:r>
                            <w:rPr>
                              <w:rFonts w:hint="eastAsia"/>
                            </w:rPr>
                            <w:t>检验</w:t>
                          </w:r>
                        </w:p>
                      </w:txbxContent>
                    </v:textbox>
                  </v:shape>
                  <v:shape id="_x0000_s1055" o:spid="_x0000_s1055" o:spt="202" type="#_x0000_t202" style="position:absolute;left:11067;top:5352;height:477;width:945;" filled="f" stroked="f" coordsize="21600,21600">
                    <v:path/>
                    <v:fill on="f" focussize="0,0"/>
                    <v:stroke on="f" joinstyle="miter"/>
                    <v:imagedata o:title=""/>
                    <o:lock v:ext="edit"/>
                    <v:textbox>
                      <w:txbxContent>
                        <w:p>
                          <w:pPr>
                            <w:jc w:val="center"/>
                          </w:pPr>
                          <w:r>
                            <w:rPr>
                              <w:rFonts w:hint="eastAsia"/>
                              <w:bCs/>
                            </w:rPr>
                            <w:t>S</w:t>
                          </w:r>
                        </w:p>
                      </w:txbxContent>
                    </v:textbox>
                  </v:shape>
                  <v:shape id="_x0000_s1057" o:spid="_x0000_s1057" o:spt="202" type="#_x0000_t202" style="position:absolute;left:7363;top:5711;height:440;width:920;" filled="f" coordsize="21600,21600">
                    <v:path/>
                    <v:fill on="f" focussize="0,0"/>
                    <v:stroke weight="0.25pt" joinstyle="miter"/>
                    <v:imagedata o:title=""/>
                    <o:lock v:ext="edit"/>
                    <v:textbox>
                      <w:txbxContent>
                        <w:p>
                          <w:pPr>
                            <w:jc w:val="center"/>
                          </w:pPr>
                          <w:r>
                            <w:rPr>
                              <w:rFonts w:hint="eastAsia"/>
                            </w:rPr>
                            <w:t>烘干</w:t>
                          </w:r>
                        </w:p>
                      </w:txbxContent>
                    </v:textbox>
                  </v:shape>
                  <v:shape id="_x0000_s1058" o:spid="_x0000_s1058" o:spt="32" type="#_x0000_t32" style="position:absolute;left:8323;top:5932;flip:y;height:7;width:384;" filled="f" coordsize="21600,21600">
                    <v:path arrowok="t"/>
                    <v:fill on="f" focussize="0,0"/>
                    <v:stroke weight="0.25pt" endarrow="block"/>
                    <v:imagedata o:title=""/>
                    <o:lock v:ext="edit"/>
                  </v:shape>
                  <v:shape id="_x0000_s1059" o:spid="_x0000_s1059" o:spt="202" type="#_x0000_t202" style="position:absolute;left:6028;top:5351;height:460;width:931;" filled="f" stroked="f" coordsize="21600,21600">
                    <v:path/>
                    <v:fill on="f" focussize="0,0"/>
                    <v:stroke on="f" joinstyle="miter"/>
                    <v:imagedata o:title=""/>
                    <o:lock v:ext="edit"/>
                    <v:textbox>
                      <w:txbxContent>
                        <w:p>
                          <w:pPr>
                            <w:jc w:val="center"/>
                          </w:pPr>
                          <w:r>
                            <w:t>N</w:t>
                          </w:r>
                          <w:r>
                            <w:rPr>
                              <w:rFonts w:hint="eastAsia"/>
                            </w:rPr>
                            <w:t xml:space="preserve"> </w:t>
                          </w:r>
                        </w:p>
                      </w:txbxContent>
                    </v:textbox>
                  </v:shape>
                  <v:shape id="_x0000_s1060" o:spid="_x0000_s1060" o:spt="202" type="#_x0000_t202" style="position:absolute;left:11158;top:5711;height:460;width:860;" filled="f" coordsize="21600,21600">
                    <v:path/>
                    <v:fill on="f" focussize="0,0"/>
                    <v:stroke weight="0.25pt" joinstyle="miter"/>
                    <v:imagedata o:title=""/>
                    <o:lock v:ext="edit"/>
                    <v:textbox>
                      <w:txbxContent>
                        <w:p>
                          <w:pPr>
                            <w:jc w:val="center"/>
                          </w:pPr>
                          <w:r>
                            <w:rPr>
                              <w:rFonts w:hint="eastAsia"/>
                            </w:rPr>
                            <w:t>包装</w:t>
                          </w:r>
                        </w:p>
                      </w:txbxContent>
                    </v:textbox>
                  </v:shape>
                  <v:shape id="_x0000_s1061" o:spid="_x0000_s1061" o:spt="32" type="#_x0000_t32" style="position:absolute;left:10843;top:5921;height:0;width:320;" filled="f" coordsize="21600,21600">
                    <v:path arrowok="t"/>
                    <v:fill on="f" focussize="0,0"/>
                    <v:stroke weight="0.25pt" endarrow="block"/>
                    <v:imagedata o:title=""/>
                    <o:lock v:ext="edit"/>
                  </v:shape>
                  <v:shape id="_x0000_s1062" o:spid="_x0000_s1062" o:spt="202" type="#_x0000_t202" style="position:absolute;left:7498;top:4408;height:460;width:631;" filled="f" stroked="f" coordsize="21600,21600">
                    <v:path/>
                    <v:fill on="f" focussize="0,0"/>
                    <v:stroke on="f" joinstyle="miter"/>
                    <v:imagedata o:title=""/>
                    <o:lock v:ext="edit"/>
                    <v:textbox>
                      <w:txbxContent>
                        <w:p>
                          <w:pPr>
                            <w:jc w:val="center"/>
                          </w:pPr>
                          <w:r>
                            <w:rPr>
                              <w:rFonts w:hint="eastAsia"/>
                              <w:bCs/>
                              <w:szCs w:val="21"/>
                            </w:rPr>
                            <w:t>S N</w:t>
                          </w:r>
                        </w:p>
                      </w:txbxContent>
                    </v:textbox>
                  </v:shape>
                  <v:shape id="_x0000_s1111" o:spid="_x0000_s1111" o:spt="202" type="#_x0000_t202" style="position:absolute;left:6043;top:5711;height:440;width:920;" filled="f" coordsize="21600,21600">
                    <v:path/>
                    <v:fill on="f" focussize="0,0"/>
                    <v:stroke weight="0.25pt" joinstyle="miter"/>
                    <v:imagedata o:title=""/>
                    <o:lock v:ext="edit"/>
                    <v:textbox>
                      <w:txbxContent>
                        <w:p>
                          <w:pPr>
                            <w:jc w:val="center"/>
                          </w:pPr>
                          <w:r>
                            <w:rPr>
                              <w:rFonts w:hint="eastAsia"/>
                            </w:rPr>
                            <w:t>混合</w:t>
                          </w:r>
                        </w:p>
                      </w:txbxContent>
                    </v:textbox>
                  </v:shape>
                  <v:shape id="_x0000_s1112" o:spid="_x0000_s1112" o:spt="32" type="#_x0000_t32" style="position:absolute;left:6973;top:5931;flip:y;height:0;width:380;" filled="f" coordsize="21600,21600">
                    <v:path arrowok="t"/>
                    <v:fill on="f" focussize="0,0"/>
                    <v:stroke weight="0.25pt" endarrow="block"/>
                    <v:imagedata o:title=""/>
                    <o:lock v:ext="edit"/>
                  </v:shape>
                  <v:shape id="_x0000_s1115" o:spid="_x0000_s1115" o:spt="202" type="#_x0000_t202" style="position:absolute;left:7303;top:6970;height:460;width:1066;" filled="f" stroked="f" coordsize="21600,21600">
                    <v:path/>
                    <v:fill on="f" focussize="0,0"/>
                    <v:stroke on="f" joinstyle="miter"/>
                    <v:imagedata o:title=""/>
                    <o:lock v:ext="edit"/>
                    <v:textbox>
                      <w:txbxContent>
                        <w:p>
                          <w:pPr>
                            <w:jc w:val="center"/>
                          </w:pPr>
                          <w:r>
                            <w:rPr>
                              <w:bCs/>
                            </w:rPr>
                            <w:t>G</w:t>
                          </w:r>
                          <w:r>
                            <w:rPr>
                              <w:rFonts w:hint="eastAsia"/>
                              <w:bCs/>
                              <w:vertAlign w:val="subscript"/>
                            </w:rPr>
                            <w:t>2</w:t>
                          </w:r>
                          <w:r>
                            <w:t>N</w:t>
                          </w:r>
                          <w:r>
                            <w:rPr>
                              <w:rFonts w:hint="eastAsia"/>
                            </w:rPr>
                            <w:t xml:space="preserve"> </w:t>
                          </w:r>
                        </w:p>
                      </w:txbxContent>
                    </v:textbox>
                  </v:shape>
                  <v:shape id="_x0000_s1116" o:spid="_x0000_s1116" o:spt="202" type="#_x0000_t202" style="position:absolute;left:7393;top:6566;height:440;width:920;" filled="f" coordsize="21600,21600">
                    <v:path/>
                    <v:fill on="f" focussize="0,0"/>
                    <v:stroke weight="0.25pt" joinstyle="miter"/>
                    <v:imagedata o:title=""/>
                    <o:lock v:ext="edit"/>
                    <v:textbox>
                      <w:txbxContent>
                        <w:p>
                          <w:pPr>
                            <w:jc w:val="center"/>
                          </w:pPr>
                          <w:r>
                            <w:rPr>
                              <w:rFonts w:hint="eastAsia"/>
                            </w:rPr>
                            <w:t>破碎</w:t>
                          </w:r>
                        </w:p>
                      </w:txbxContent>
                    </v:textbox>
                  </v:shape>
                  <v:shape id="自选图形 2700" o:spid="_x0000_s1120" o:spt="32" type="#_x0000_t32" style="position:absolute;left:6818;top:5031;height:0;width:400;" o:connectortype="straight" fill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iOsMEAAADcAAAADwAAAGRycy9kb3ducmV2LnhtbERPTUvDQBC9C/0PyxS82V17qBK7LbVU&#10;8FQwCnocstMkNDsbMtM29te7guBtHu9zlusxduZMg7SJPdzPHBjiKoWWaw8f7y93j2BEkQN2icnD&#10;NwmsV5ObJRYhXfiNzqXWJoewFOihUe0La6VqKKLMUk+cuUMaImqGQ23DgJccHjs7d25hI7acGxrs&#10;adtQdSxP0YPunvfd4eFo9euznMv2WjuRjfe303HzBEZp1H/xn/s15PluAb/P5Avs6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aI6wwQAAANwAAAAPAAAAAAAAAAAAAAAA&#10;AKECAABkcnMvZG93bnJldi54bWxQSwUGAAAAAAQABAD5AAAAjwMAAAAA&#10;">
                    <v:path arrowok="t"/>
                    <v:fill on="f" focussize="0,0"/>
                    <v:stroke weight="0.25pt" endarrow="block"/>
                    <v:imagedata o:title=""/>
                    <o:lock v:ext="edit"/>
                  </v:shape>
                  <v:shape id="文本框 2706" o:spid="_x0000_s1121" o:spt="202" type="#_x0000_t202" style="position:absolute;left:7218;top:4811;height:460;width:1140;" filled="f" coordsize="21600,21600">
                    <v:path/>
                    <v:fill on="f" focussize="0,0"/>
                    <v:stroke weight="0.25pt" joinstyle="miter"/>
                    <v:imagedata o:title=""/>
                    <o:lock v:ext="edit"/>
                    <v:textbox>
                      <w:txbxContent>
                        <w:p>
                          <w:pPr>
                            <w:jc w:val="center"/>
                          </w:pPr>
                          <w:r>
                            <w:rPr>
                              <w:rFonts w:hint="eastAsia"/>
                            </w:rPr>
                            <w:t>机加工</w:t>
                          </w:r>
                        </w:p>
                      </w:txbxContent>
                    </v:textbox>
                  </v:shape>
                  <v:shape id="自选图形 2700" o:spid="_x0000_s1122" o:spt="32" type="#_x0000_t32" style="position:absolute;left:8378;top:5051;height:0;width:400;" o:connectortype="straight" fill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u/WcMAAADcAAAADwAAAGRycy9kb3ducmV2LnhtbESPQUsDQQyF74L/YYjgzc7Yg8raaalF&#10;wZPgKugx7KS7S3cyyya2q7/eHARvCe/lvS+rzZwHd6RJ+sIRrhcBHHFTUs9thPe3p6s7cKLICYfC&#10;FOGbBDbr87MVVqmc+JWOtbbOQlgqjNCpjpX30nSUURZlJDZtX6aMauvU+jThycLz4Jch3PiMPVtD&#10;hyPtOmoO9VeOoI8PL8P+9uD186Neyu6nDSLbGC8v5u09OKVZ/81/18/J8IPR2jM2gV//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7v1nDAAAA3AAAAA8AAAAAAAAAAAAA&#10;AAAAoQIAAGRycy9kb3ducmV2LnhtbFBLBQYAAAAABAAEAPkAAACRAwAAAAA=&#10;">
                    <v:path arrowok="t"/>
                    <v:fill on="f" focussize="0,0"/>
                    <v:stroke weight="0.25pt" endarrow="block"/>
                    <v:imagedata o:title=""/>
                    <o:lock v:ext="edit"/>
                  </v:shape>
                  <v:shape id="文本框 2699" o:spid="_x0000_s1123" o:spt="202" type="#_x0000_t202" style="position:absolute;left:8778;top:4811;height:460;width:740;" filled="f" coordsize="21600,21600">
                    <v:path/>
                    <v:fill on="f" focussize="0,0"/>
                    <v:stroke weight="0.25pt" joinstyle="miter"/>
                    <v:imagedata o:title=""/>
                    <o:lock v:ext="edit"/>
                    <v:textbox>
                      <w:txbxContent>
                        <w:p>
                          <w:pPr>
                            <w:jc w:val="center"/>
                          </w:pPr>
                          <w:r>
                            <w:rPr>
                              <w:rFonts w:hint="eastAsia"/>
                            </w:rPr>
                            <w:t>模具</w:t>
                          </w:r>
                        </w:p>
                      </w:txbxContent>
                    </v:textbox>
                  </v:shape>
                  <v:shape id="文本框 2703" o:spid="_x0000_s1124" o:spt="202" type="#_x0000_t202" style="position:absolute;left:5803;top:4811;height:460;width:1015;" filled="f" coordsize="21600,21600">
                    <v:path/>
                    <v:fill on="f" focussize="0,0"/>
                    <v:stroke weight="0.25pt" joinstyle="miter"/>
                    <v:imagedata o:title=""/>
                    <o:lock v:ext="edit"/>
                    <v:textbox>
                      <w:txbxContent>
                        <w:p>
                          <w:pPr>
                            <w:jc w:val="center"/>
                          </w:pPr>
                          <w:r>
                            <w:rPr>
                              <w:rFonts w:hint="eastAsia"/>
                            </w:rPr>
                            <w:t>模具钢</w:t>
                          </w:r>
                        </w:p>
                      </w:txbxContent>
                    </v:textbox>
                  </v:shape>
                  <v:shape id="_x0000_s1125" o:spid="_x0000_s1125" style="position:absolute;left:9096;top:5290;height:420;width:1;" filled="f" coordsize="1,420" path="m0,0l0,420e">
                    <v:path arrowok="t"/>
                    <v:fill on="f" focussize="0,0"/>
                    <v:stroke weight="0.5pt" endarrow="block"/>
                    <v:imagedata o:title=""/>
                    <o:lock v:ext="edit"/>
                  </v:shape>
                  <v:shape id="_x0000_s1126" o:spid="_x0000_s1126" o:spt="202" type="#_x0000_t202" style="position:absolute;left:7348;top:5351;height:460;width:920;" filled="f" stroked="f" coordsize="21600,21600">
                    <v:path/>
                    <v:fill on="f" focussize="0,0"/>
                    <v:stroke on="f" joinstyle="miter"/>
                    <v:imagedata o:title=""/>
                    <o:lock v:ext="edit"/>
                    <v:textbox>
                      <w:txbxContent>
                        <w:p>
                          <w:pPr>
                            <w:jc w:val="center"/>
                          </w:pPr>
                          <w:r>
                            <w:t>N</w:t>
                          </w:r>
                          <w:r>
                            <w:rPr>
                              <w:rFonts w:hint="eastAsia"/>
                            </w:rPr>
                            <w:t xml:space="preserve"> </w:t>
                          </w:r>
                        </w:p>
                      </w:txbxContent>
                    </v:textbox>
                  </v:shape>
                  <v:shape id="_x0000_s1127" o:spid="_x0000_s1127" o:spt="202" type="#_x0000_t202" style="position:absolute;left:9883;top:5351;height:460;width:940;" filled="f" stroked="f" coordsize="21600,21600">
                    <v:path/>
                    <v:fill on="f" focussize="0,0"/>
                    <v:stroke on="f" joinstyle="miter"/>
                    <v:imagedata o:title=""/>
                    <o:lock v:ext="edit"/>
                    <v:textbox>
                      <w:txbxContent>
                        <w:p>
                          <w:pPr>
                            <w:jc w:val="center"/>
                          </w:pPr>
                          <w:r>
                            <w:rPr>
                              <w:rFonts w:hint="eastAsia"/>
                              <w:bCs/>
                            </w:rPr>
                            <w:t>S</w:t>
                          </w:r>
                        </w:p>
                      </w:txbxContent>
                    </v:textbox>
                  </v:shape>
                  <w10:wrap type="none"/>
                  <w10:anchorlock/>
                </v:group>
              </w:pict>
            </w:r>
          </w:p>
          <w:p>
            <w:pPr>
              <w:spacing w:line="360" w:lineRule="auto"/>
              <w:ind w:firstLine="472" w:firstLineChars="196"/>
              <w:rPr>
                <w:b/>
                <w:bCs/>
                <w:color w:val="auto"/>
                <w:sz w:val="24"/>
                <w:highlight w:val="none"/>
              </w:rPr>
            </w:pPr>
            <w:r>
              <w:rPr>
                <w:rFonts w:hint="eastAsia"/>
                <w:b/>
                <w:bCs/>
                <w:color w:val="auto"/>
                <w:sz w:val="24"/>
                <w:highlight w:val="none"/>
              </w:rPr>
              <w:t>二、</w:t>
            </w:r>
            <w:r>
              <w:rPr>
                <w:b/>
                <w:bCs/>
                <w:color w:val="auto"/>
                <w:sz w:val="24"/>
                <w:highlight w:val="none"/>
              </w:rPr>
              <w:t>主要工艺流程简述</w:t>
            </w:r>
          </w:p>
          <w:p>
            <w:pPr>
              <w:tabs>
                <w:tab w:val="left" w:pos="1860"/>
              </w:tabs>
              <w:spacing w:line="372" w:lineRule="auto"/>
              <w:ind w:firstLine="472" w:firstLineChars="196"/>
              <w:jc w:val="left"/>
              <w:rPr>
                <w:b/>
                <w:bCs/>
                <w:color w:val="auto"/>
                <w:sz w:val="24"/>
                <w:highlight w:val="none"/>
              </w:rPr>
            </w:pPr>
            <w:r>
              <w:rPr>
                <w:rFonts w:hint="eastAsia"/>
                <w:b/>
                <w:bCs/>
                <w:color w:val="auto"/>
                <w:sz w:val="24"/>
                <w:highlight w:val="none"/>
              </w:rPr>
              <w:t>机加工：</w:t>
            </w:r>
            <w:r>
              <w:rPr>
                <w:rFonts w:hint="eastAsia"/>
                <w:color w:val="auto"/>
                <w:sz w:val="24"/>
                <w:highlight w:val="none"/>
              </w:rPr>
              <w:t>按要求使用车床、铣床、磨床等设备对模具钢进行加工，得到的模具用于注塑工序，该过程产生金属碎屑、金属边角料和噪声。</w:t>
            </w:r>
          </w:p>
          <w:p>
            <w:pPr>
              <w:spacing w:line="360" w:lineRule="auto"/>
              <w:ind w:firstLine="482" w:firstLineChars="200"/>
              <w:rPr>
                <w:b/>
                <w:color w:val="auto"/>
                <w:sz w:val="24"/>
                <w:highlight w:val="none"/>
              </w:rPr>
            </w:pPr>
            <w:r>
              <w:rPr>
                <w:rFonts w:hint="eastAsia"/>
                <w:b/>
                <w:color w:val="auto"/>
                <w:sz w:val="24"/>
                <w:highlight w:val="none"/>
              </w:rPr>
              <w:t>混合：</w:t>
            </w:r>
            <w:r>
              <w:rPr>
                <w:rFonts w:hint="eastAsia"/>
                <w:color w:val="auto"/>
                <w:sz w:val="24"/>
                <w:highlight w:val="none"/>
              </w:rPr>
              <w:t>项目使用混料机将外购的塑胶粒与色母进行混合</w:t>
            </w:r>
            <w:r>
              <w:rPr>
                <w:rFonts w:hint="eastAsia"/>
                <w:bCs/>
                <w:color w:val="auto"/>
                <w:sz w:val="24"/>
                <w:highlight w:val="none"/>
              </w:rPr>
              <w:t>，混合过程中混料机为密闭设备，故无粉尘废气的产生，</w:t>
            </w:r>
            <w:r>
              <w:rPr>
                <w:bCs/>
                <w:color w:val="auto"/>
                <w:sz w:val="24"/>
                <w:highlight w:val="none"/>
              </w:rPr>
              <w:t>该过程产生噪声。</w:t>
            </w:r>
          </w:p>
          <w:p>
            <w:pPr>
              <w:tabs>
                <w:tab w:val="left" w:pos="1860"/>
              </w:tabs>
              <w:spacing w:line="372" w:lineRule="auto"/>
              <w:ind w:firstLine="472" w:firstLineChars="196"/>
              <w:jc w:val="left"/>
              <w:rPr>
                <w:b/>
                <w:bCs/>
                <w:color w:val="auto"/>
                <w:sz w:val="24"/>
                <w:highlight w:val="none"/>
              </w:rPr>
            </w:pPr>
            <w:r>
              <w:rPr>
                <w:rFonts w:hint="eastAsia"/>
                <w:b/>
                <w:bCs/>
                <w:color w:val="auto"/>
                <w:sz w:val="24"/>
                <w:highlight w:val="none"/>
              </w:rPr>
              <w:t>烘干：</w:t>
            </w:r>
            <w:r>
              <w:rPr>
                <w:rFonts w:hint="eastAsia"/>
                <w:color w:val="auto"/>
                <w:sz w:val="24"/>
                <w:highlight w:val="none"/>
              </w:rPr>
              <w:t>项目使用注塑机配套烘干设备对混合后的物料进行烘干，除去其水份，烘干温度为60℃左右，此温度下，塑胶粒不会出现熔化状态，故无废气产生，该过程产生噪声。</w:t>
            </w:r>
          </w:p>
          <w:p>
            <w:pPr>
              <w:tabs>
                <w:tab w:val="left" w:pos="1860"/>
              </w:tabs>
              <w:spacing w:line="372" w:lineRule="auto"/>
              <w:ind w:firstLine="472" w:firstLineChars="196"/>
              <w:jc w:val="left"/>
              <w:rPr>
                <w:bCs/>
                <w:color w:val="auto"/>
                <w:sz w:val="24"/>
                <w:highlight w:val="none"/>
              </w:rPr>
            </w:pPr>
            <w:r>
              <w:rPr>
                <w:rFonts w:hint="eastAsia"/>
                <w:b/>
                <w:bCs/>
                <w:color w:val="auto"/>
                <w:sz w:val="24"/>
                <w:highlight w:val="none"/>
              </w:rPr>
              <w:t>注塑：</w:t>
            </w:r>
            <w:r>
              <w:rPr>
                <w:rFonts w:hint="eastAsia"/>
                <w:bCs/>
                <w:color w:val="auto"/>
                <w:sz w:val="24"/>
                <w:highlight w:val="none"/>
              </w:rPr>
              <w:t>项目使用注塑机将烘干后的物料加热融化并注塑成型，得到所需塑胶件，</w:t>
            </w:r>
            <w:r>
              <w:rPr>
                <w:bCs/>
                <w:color w:val="auto"/>
                <w:sz w:val="24"/>
                <w:highlight w:val="none"/>
              </w:rPr>
              <w:t>该</w:t>
            </w:r>
            <w:r>
              <w:rPr>
                <w:rFonts w:hint="eastAsia"/>
                <w:bCs/>
                <w:color w:val="auto"/>
                <w:sz w:val="24"/>
                <w:highlight w:val="none"/>
              </w:rPr>
              <w:t>过程</w:t>
            </w:r>
            <w:r>
              <w:rPr>
                <w:bCs/>
                <w:color w:val="auto"/>
                <w:sz w:val="24"/>
                <w:highlight w:val="none"/>
              </w:rPr>
              <w:t>工作温度为</w:t>
            </w:r>
            <w:r>
              <w:rPr>
                <w:rFonts w:hint="eastAsia"/>
                <w:bCs/>
                <w:color w:val="auto"/>
                <w:sz w:val="24"/>
                <w:highlight w:val="none"/>
              </w:rPr>
              <w:t>160</w:t>
            </w:r>
            <w:r>
              <w:rPr>
                <w:bCs/>
                <w:color w:val="auto"/>
                <w:sz w:val="24"/>
                <w:highlight w:val="none"/>
              </w:rPr>
              <w:t>~</w:t>
            </w:r>
            <w:r>
              <w:rPr>
                <w:rFonts w:hint="eastAsia"/>
                <w:bCs/>
                <w:color w:val="auto"/>
                <w:sz w:val="24"/>
                <w:highlight w:val="none"/>
              </w:rPr>
              <w:t>180</w:t>
            </w:r>
            <w:r>
              <w:rPr>
                <w:bCs/>
                <w:color w:val="auto"/>
                <w:sz w:val="24"/>
                <w:highlight w:val="none"/>
              </w:rPr>
              <w:t>℃，</w:t>
            </w:r>
            <w:r>
              <w:rPr>
                <w:rFonts w:hint="eastAsia"/>
                <w:bCs/>
                <w:color w:val="auto"/>
                <w:sz w:val="24"/>
                <w:highlight w:val="none"/>
              </w:rPr>
              <w:t>根据有关资料，二噁英产生的条件为400~800℃，因此项目注塑工序不会产生二噁英。</w:t>
            </w:r>
            <w:r>
              <w:rPr>
                <w:rFonts w:hint="eastAsia"/>
                <w:color w:val="auto"/>
                <w:sz w:val="24"/>
                <w:highlight w:val="none"/>
              </w:rPr>
              <w:t>注塑产生的</w:t>
            </w:r>
            <w:r>
              <w:rPr>
                <w:rFonts w:hint="eastAsia"/>
                <w:bCs/>
                <w:color w:val="auto"/>
                <w:sz w:val="24"/>
                <w:highlight w:val="none"/>
              </w:rPr>
              <w:t>塑胶边角料经过破碎机破碎后回用于生产。</w:t>
            </w:r>
            <w:r>
              <w:rPr>
                <w:bCs/>
                <w:color w:val="auto"/>
                <w:sz w:val="24"/>
                <w:highlight w:val="none"/>
              </w:rPr>
              <w:t>该过程产生</w:t>
            </w:r>
            <w:r>
              <w:rPr>
                <w:rFonts w:hint="eastAsia"/>
                <w:bCs/>
                <w:color w:val="auto"/>
                <w:sz w:val="24"/>
                <w:highlight w:val="none"/>
                <w:lang w:eastAsia="zh-CN"/>
              </w:rPr>
              <w:t>臭气、有机废气</w:t>
            </w:r>
            <w:r>
              <w:rPr>
                <w:bCs/>
                <w:color w:val="auto"/>
                <w:sz w:val="24"/>
                <w:highlight w:val="none"/>
              </w:rPr>
              <w:t>和噪声。注塑过程中</w:t>
            </w:r>
            <w:r>
              <w:rPr>
                <w:rFonts w:hint="eastAsia"/>
                <w:bCs/>
                <w:color w:val="auto"/>
                <w:sz w:val="24"/>
                <w:highlight w:val="none"/>
              </w:rPr>
              <w:t>需用循环水对其进行温度控制（间接冷却），冷却水循环使用，定期补充，不外排。</w:t>
            </w:r>
          </w:p>
          <w:p>
            <w:pPr>
              <w:spacing w:line="360" w:lineRule="auto"/>
              <w:ind w:firstLine="482" w:firstLineChars="200"/>
              <w:rPr>
                <w:b/>
                <w:color w:val="auto"/>
                <w:sz w:val="24"/>
                <w:highlight w:val="none"/>
              </w:rPr>
            </w:pPr>
            <w:r>
              <w:rPr>
                <w:rFonts w:hint="eastAsia"/>
                <w:b/>
                <w:color w:val="auto"/>
                <w:sz w:val="24"/>
                <w:highlight w:val="none"/>
              </w:rPr>
              <w:t>破碎：</w:t>
            </w:r>
            <w:r>
              <w:rPr>
                <w:rFonts w:hint="eastAsia"/>
                <w:color w:val="auto"/>
                <w:sz w:val="24"/>
                <w:highlight w:val="none"/>
              </w:rPr>
              <w:t>注塑产生的</w:t>
            </w:r>
            <w:r>
              <w:rPr>
                <w:rFonts w:hint="eastAsia"/>
                <w:bCs/>
                <w:color w:val="auto"/>
                <w:sz w:val="24"/>
                <w:highlight w:val="none"/>
              </w:rPr>
              <w:t>塑胶边角料经过破碎机破碎后回用于生产，破碎过程中破碎机为敞开式设备，</w:t>
            </w:r>
            <w:r>
              <w:rPr>
                <w:bCs/>
                <w:color w:val="auto"/>
                <w:sz w:val="24"/>
                <w:highlight w:val="none"/>
              </w:rPr>
              <w:t>该过程产生</w:t>
            </w:r>
            <w:r>
              <w:rPr>
                <w:rFonts w:hint="eastAsia"/>
                <w:bCs/>
                <w:color w:val="auto"/>
                <w:sz w:val="24"/>
                <w:highlight w:val="none"/>
              </w:rPr>
              <w:t>少量粉尘和</w:t>
            </w:r>
            <w:r>
              <w:rPr>
                <w:bCs/>
                <w:color w:val="auto"/>
                <w:sz w:val="24"/>
                <w:highlight w:val="none"/>
              </w:rPr>
              <w:t>噪声。</w:t>
            </w:r>
          </w:p>
          <w:p>
            <w:pPr>
              <w:spacing w:line="360" w:lineRule="auto"/>
              <w:ind w:firstLine="482" w:firstLineChars="200"/>
              <w:rPr>
                <w:b/>
                <w:color w:val="auto"/>
                <w:sz w:val="24"/>
                <w:highlight w:val="none"/>
              </w:rPr>
            </w:pPr>
            <w:r>
              <w:rPr>
                <w:rFonts w:hint="eastAsia"/>
                <w:b/>
                <w:color w:val="auto"/>
                <w:sz w:val="24"/>
                <w:highlight w:val="none"/>
              </w:rPr>
              <w:t>检验：</w:t>
            </w:r>
            <w:r>
              <w:rPr>
                <w:rFonts w:hint="eastAsia"/>
                <w:bCs/>
                <w:color w:val="auto"/>
                <w:sz w:val="24"/>
                <w:highlight w:val="none"/>
              </w:rPr>
              <w:t>人工对注塑成型后的工件进行质检，</w:t>
            </w:r>
            <w:r>
              <w:rPr>
                <w:bCs/>
                <w:color w:val="auto"/>
                <w:sz w:val="24"/>
                <w:highlight w:val="none"/>
              </w:rPr>
              <w:t>该过程产生</w:t>
            </w:r>
            <w:r>
              <w:rPr>
                <w:rFonts w:hint="eastAsia"/>
                <w:bCs/>
                <w:color w:val="auto"/>
                <w:sz w:val="24"/>
                <w:highlight w:val="none"/>
              </w:rPr>
              <w:t>不合格品</w:t>
            </w:r>
            <w:r>
              <w:rPr>
                <w:bCs/>
                <w:color w:val="auto"/>
                <w:sz w:val="24"/>
                <w:highlight w:val="none"/>
              </w:rPr>
              <w:t>。</w:t>
            </w:r>
          </w:p>
          <w:p>
            <w:pPr>
              <w:spacing w:line="360" w:lineRule="auto"/>
              <w:ind w:firstLine="482" w:firstLineChars="200"/>
              <w:rPr>
                <w:b/>
                <w:color w:val="auto"/>
                <w:sz w:val="24"/>
                <w:highlight w:val="none"/>
              </w:rPr>
            </w:pPr>
            <w:r>
              <w:rPr>
                <w:rFonts w:hint="eastAsia"/>
                <w:b/>
                <w:color w:val="auto"/>
                <w:sz w:val="24"/>
                <w:highlight w:val="none"/>
              </w:rPr>
              <w:t>包装：</w:t>
            </w:r>
            <w:r>
              <w:rPr>
                <w:rFonts w:hint="eastAsia"/>
                <w:color w:val="auto"/>
                <w:sz w:val="24"/>
                <w:highlight w:val="none"/>
              </w:rPr>
              <w:t>人工将成品用包装材料进行包装后即可出货，该过程产生废包装材料。</w:t>
            </w:r>
          </w:p>
          <w:p>
            <w:pPr>
              <w:pStyle w:val="29"/>
              <w:snapToGrid w:val="0"/>
              <w:spacing w:line="360" w:lineRule="auto"/>
              <w:ind w:firstLine="482"/>
              <w:rPr>
                <w:rFonts w:hAnsi="宋体"/>
                <w:bCs/>
                <w:color w:val="auto"/>
                <w:szCs w:val="24"/>
                <w:highlight w:val="none"/>
              </w:rPr>
            </w:pPr>
            <w:r>
              <w:rPr>
                <w:rFonts w:hint="eastAsia" w:hAnsi="宋体"/>
                <w:b/>
                <w:bCs/>
                <w:color w:val="auto"/>
                <w:szCs w:val="24"/>
                <w:highlight w:val="none"/>
              </w:rPr>
              <w:t>说明：</w:t>
            </w:r>
            <w:r>
              <w:rPr>
                <w:rFonts w:hint="eastAsia" w:hAnsi="宋体"/>
                <w:bCs/>
                <w:color w:val="auto"/>
                <w:szCs w:val="24"/>
                <w:highlight w:val="none"/>
              </w:rPr>
              <w:t>1、</w:t>
            </w:r>
            <w:r>
              <w:rPr>
                <w:rFonts w:hint="eastAsia"/>
                <w:color w:val="auto"/>
                <w:highlight w:val="none"/>
              </w:rPr>
              <w:t>项目所用塑胶粒均为外购新料，不从事废料回收利用。</w:t>
            </w:r>
          </w:p>
          <w:p>
            <w:pPr>
              <w:pStyle w:val="29"/>
              <w:snapToGrid w:val="0"/>
              <w:spacing w:line="360" w:lineRule="auto"/>
              <w:ind w:firstLine="1200" w:firstLineChars="500"/>
              <w:rPr>
                <w:color w:val="auto"/>
                <w:highlight w:val="none"/>
              </w:rPr>
            </w:pPr>
            <w:r>
              <w:rPr>
                <w:rFonts w:hint="eastAsia"/>
                <w:color w:val="auto"/>
                <w:highlight w:val="none"/>
              </w:rPr>
              <w:t>2、项目空压机、冷却塔为辅助设备，使用过程中产生噪声。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459" w:hRule="atLeast"/>
        </w:trPr>
        <w:tc>
          <w:tcPr>
            <w:tcW w:w="9571" w:type="dxa"/>
            <w:tcBorders>
              <w:bottom w:val="single" w:color="auto" w:sz="4" w:space="0"/>
            </w:tcBorders>
          </w:tcPr>
          <w:p>
            <w:pPr>
              <w:adjustRightInd w:val="0"/>
              <w:snapToGrid w:val="0"/>
              <w:spacing w:line="360" w:lineRule="auto"/>
              <w:rPr>
                <w:b/>
                <w:bCs/>
                <w:color w:val="auto"/>
                <w:sz w:val="24"/>
                <w:highlight w:val="none"/>
              </w:rPr>
            </w:pPr>
            <w:r>
              <w:rPr>
                <w:rFonts w:hint="eastAsia"/>
                <w:b/>
                <w:bCs/>
                <w:color w:val="auto"/>
                <w:sz w:val="24"/>
                <w:highlight w:val="none"/>
              </w:rPr>
              <w:t>主要污染工序：</w:t>
            </w:r>
          </w:p>
          <w:p>
            <w:pPr>
              <w:spacing w:line="360" w:lineRule="auto"/>
              <w:ind w:firstLine="354" w:firstLineChars="147"/>
              <w:rPr>
                <w:b/>
                <w:bCs/>
                <w:color w:val="auto"/>
                <w:sz w:val="24"/>
                <w:highlight w:val="none"/>
              </w:rPr>
            </w:pPr>
            <w:r>
              <w:rPr>
                <w:rFonts w:hint="eastAsia"/>
                <w:b/>
                <w:bCs/>
                <w:color w:val="auto"/>
                <w:sz w:val="24"/>
                <w:highlight w:val="none"/>
              </w:rPr>
              <w:t>一、大气污染源</w:t>
            </w:r>
          </w:p>
          <w:p>
            <w:pPr>
              <w:spacing w:line="360" w:lineRule="auto"/>
              <w:ind w:firstLine="482" w:firstLineChars="200"/>
              <w:rPr>
                <w:rFonts w:hint="eastAsia" w:hAnsi="宋体"/>
                <w:color w:val="auto"/>
                <w:sz w:val="24"/>
                <w:highlight w:val="none"/>
                <w:lang w:eastAsia="zh-CN"/>
              </w:rPr>
            </w:pPr>
            <w:r>
              <w:rPr>
                <w:rFonts w:hint="eastAsia"/>
                <w:b/>
                <w:color w:val="auto"/>
                <w:sz w:val="24"/>
                <w:szCs w:val="23"/>
                <w:highlight w:val="none"/>
              </w:rPr>
              <w:t>注塑工序：</w:t>
            </w:r>
            <w:r>
              <w:rPr>
                <w:rFonts w:hint="eastAsia"/>
                <w:color w:val="auto"/>
                <w:sz w:val="24"/>
                <w:highlight w:val="none"/>
              </w:rPr>
              <w:t>项目注塑工序</w:t>
            </w:r>
            <w:r>
              <w:rPr>
                <w:rFonts w:hAnsi="宋体"/>
                <w:color w:val="auto"/>
                <w:sz w:val="24"/>
                <w:highlight w:val="none"/>
              </w:rPr>
              <w:t>对</w:t>
            </w:r>
            <w:r>
              <w:rPr>
                <w:rFonts w:hint="eastAsia"/>
                <w:color w:val="auto"/>
                <w:sz w:val="24"/>
                <w:highlight w:val="none"/>
              </w:rPr>
              <w:t>塑胶粒进行</w:t>
            </w:r>
            <w:r>
              <w:rPr>
                <w:rFonts w:hAnsi="宋体"/>
                <w:color w:val="auto"/>
                <w:sz w:val="24"/>
                <w:highlight w:val="none"/>
              </w:rPr>
              <w:t>加热</w:t>
            </w:r>
            <w:r>
              <w:rPr>
                <w:rFonts w:hint="eastAsia" w:hAnsi="宋体"/>
                <w:color w:val="auto"/>
                <w:sz w:val="24"/>
                <w:highlight w:val="none"/>
              </w:rPr>
              <w:t>融化过程</w:t>
            </w:r>
            <w:r>
              <w:rPr>
                <w:rFonts w:hAnsi="宋体"/>
                <w:color w:val="auto"/>
                <w:sz w:val="24"/>
                <w:highlight w:val="none"/>
              </w:rPr>
              <w:t>会产生少量</w:t>
            </w:r>
            <w:r>
              <w:rPr>
                <w:rFonts w:hint="eastAsia" w:hAnsi="宋体"/>
                <w:color w:val="auto"/>
                <w:sz w:val="24"/>
                <w:highlight w:val="none"/>
                <w:lang w:eastAsia="zh-CN"/>
              </w:rPr>
              <w:t>臭气和</w:t>
            </w:r>
            <w:r>
              <w:rPr>
                <w:rFonts w:hint="eastAsia" w:hAnsi="宋体"/>
                <w:color w:val="auto"/>
                <w:sz w:val="24"/>
                <w:highlight w:val="none"/>
              </w:rPr>
              <w:t>有机废气</w:t>
            </w:r>
            <w:r>
              <w:rPr>
                <w:rFonts w:hint="eastAsia" w:hAnsi="宋体"/>
                <w:color w:val="auto"/>
                <w:sz w:val="24"/>
                <w:highlight w:val="none"/>
                <w:lang w:eastAsia="zh-CN"/>
              </w:rPr>
              <w:t>。</w:t>
            </w:r>
          </w:p>
          <w:p>
            <w:pPr>
              <w:spacing w:line="360" w:lineRule="auto"/>
              <w:ind w:firstLine="480" w:firstLineChars="200"/>
              <w:rPr>
                <w:rFonts w:hint="eastAsia" w:hAnsi="宋体"/>
                <w:color w:val="auto"/>
                <w:sz w:val="24"/>
                <w:highlight w:val="none"/>
                <w:lang w:val="en-US" w:eastAsia="zh-CN"/>
              </w:rPr>
            </w:pPr>
            <w:r>
              <w:rPr>
                <w:rFonts w:hint="eastAsia" w:hAnsi="宋体"/>
                <w:color w:val="auto"/>
                <w:sz w:val="24"/>
                <w:highlight w:val="none"/>
              </w:rPr>
              <w:t>臭气浓度较低，</w:t>
            </w:r>
            <w:r>
              <w:rPr>
                <w:rFonts w:hint="eastAsia" w:hAnsi="宋体"/>
                <w:color w:val="auto"/>
                <w:sz w:val="24"/>
                <w:highlight w:val="none"/>
                <w:lang w:eastAsia="zh-CN"/>
              </w:rPr>
              <w:t>建设单位委托云浮市盈安检测技术有限公司于</w:t>
            </w:r>
            <w:r>
              <w:rPr>
                <w:rFonts w:hint="eastAsia" w:hAnsi="宋体"/>
                <w:color w:val="auto"/>
                <w:sz w:val="24"/>
                <w:highlight w:val="none"/>
                <w:lang w:val="en-US" w:eastAsia="zh-CN"/>
              </w:rPr>
              <w:t>2019年11月02日对本项目进行污染源采样检测，</w:t>
            </w:r>
            <w:r>
              <w:rPr>
                <w:rFonts w:hint="eastAsia"/>
                <w:color w:val="auto"/>
                <w:sz w:val="24"/>
                <w:highlight w:val="none"/>
                <w:lang w:eastAsia="zh-CN"/>
              </w:rPr>
              <w:t>由检测</w:t>
            </w:r>
            <w:r>
              <w:rPr>
                <w:rFonts w:hint="eastAsia" w:hAnsi="宋体"/>
                <w:color w:val="auto"/>
                <w:sz w:val="24"/>
                <w:highlight w:val="none"/>
                <w:lang w:val="en-US" w:eastAsia="zh-CN"/>
              </w:rPr>
              <w:t>报告《（2019）环境监测110501号》可知，臭气无组织排放满足《</w:t>
            </w:r>
            <w:r>
              <w:rPr>
                <w:rFonts w:hint="eastAsia" w:hAnsi="宋体"/>
                <w:color w:val="auto"/>
                <w:sz w:val="24"/>
                <w:highlight w:val="none"/>
              </w:rPr>
              <w:t>恶臭污染物排放标准</w:t>
            </w:r>
            <w:r>
              <w:rPr>
                <w:rFonts w:hint="eastAsia" w:hAnsi="宋体"/>
                <w:color w:val="auto"/>
                <w:sz w:val="24"/>
                <w:highlight w:val="none"/>
                <w:lang w:val="en-US" w:eastAsia="zh-CN"/>
              </w:rPr>
              <w:t>》（GB 14554—93）表1恶臭污染物厂界标准值二级新扩改建臭气浓度：≤20（无纲量）要求。</w:t>
            </w:r>
          </w:p>
          <w:p>
            <w:pPr>
              <w:spacing w:line="360" w:lineRule="auto"/>
              <w:ind w:firstLine="480" w:firstLineChars="200"/>
              <w:rPr>
                <w:rFonts w:hint="default" w:ascii="Times New Roman" w:hAnsi="Times New Roman" w:cs="Times New Roman"/>
                <w:color w:val="auto"/>
                <w:sz w:val="24"/>
                <w:highlight w:val="none"/>
                <w:u w:val="none"/>
                <w:lang w:val="en-US" w:eastAsia="zh-CN"/>
              </w:rPr>
            </w:pPr>
            <w:r>
              <w:rPr>
                <w:rFonts w:hint="eastAsia" w:hAnsi="宋体"/>
                <w:color w:val="auto"/>
                <w:sz w:val="24"/>
                <w:highlight w:val="none"/>
                <w:lang w:eastAsia="zh-CN"/>
              </w:rPr>
              <w:t>有机废气</w:t>
            </w:r>
            <w:r>
              <w:rPr>
                <w:rFonts w:hint="eastAsia" w:hAnsi="宋体"/>
                <w:color w:val="auto"/>
                <w:sz w:val="24"/>
                <w:highlight w:val="none"/>
              </w:rPr>
              <w:t>主要成分为</w:t>
            </w:r>
            <w:r>
              <w:rPr>
                <w:rFonts w:hint="default" w:ascii="Times New Roman" w:hAnsi="Times New Roman" w:cs="Times New Roman"/>
                <w:color w:val="auto"/>
                <w:sz w:val="24"/>
                <w:highlight w:val="none"/>
              </w:rPr>
              <w:t>非甲烷总烃</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u w:val="none"/>
                <w:lang w:val="en-US" w:eastAsia="zh-CN"/>
              </w:rPr>
              <w:t>苯乙烯、丙烯腈、1,3-丁二烯、甲苯、乙苯</w:t>
            </w:r>
            <w:r>
              <w:rPr>
                <w:rFonts w:hint="eastAsia" w:hAnsi="宋体"/>
                <w:color w:val="auto"/>
                <w:sz w:val="24"/>
                <w:highlight w:val="none"/>
              </w:rPr>
              <w:t>。</w:t>
            </w:r>
            <w:r>
              <w:rPr>
                <w:rFonts w:hint="default" w:ascii="Times New Roman" w:hAnsi="Times New Roman" w:cs="Times New Roman"/>
                <w:color w:val="auto"/>
                <w:sz w:val="24"/>
                <w:highlight w:val="none"/>
                <w:u w:val="none"/>
                <w:lang w:val="en-US" w:eastAsia="zh-CN"/>
              </w:rPr>
              <w:t>项目注塑成型工序作业温度控制在160</w:t>
            </w:r>
            <w:r>
              <w:rPr>
                <w:rFonts w:hint="default" w:ascii="Times New Roman" w:hAnsi="Times New Roman" w:eastAsia="宋体" w:cs="Times New Roman"/>
                <w:color w:val="auto"/>
                <w:sz w:val="24"/>
                <w:highlight w:val="none"/>
                <w:u w:val="none"/>
                <w:lang w:val="en-US" w:eastAsia="zh-CN"/>
              </w:rPr>
              <w:t>℃~</w:t>
            </w:r>
            <w:r>
              <w:rPr>
                <w:rFonts w:hint="default" w:ascii="Times New Roman" w:hAnsi="Times New Roman" w:cs="Times New Roman"/>
                <w:color w:val="auto"/>
                <w:sz w:val="24"/>
                <w:highlight w:val="none"/>
                <w:u w:val="none"/>
                <w:lang w:val="en-US" w:eastAsia="zh-CN"/>
              </w:rPr>
              <w:t>180</w:t>
            </w:r>
            <w:r>
              <w:rPr>
                <w:rFonts w:hint="default" w:ascii="Times New Roman" w:hAnsi="Times New Roman" w:eastAsia="宋体" w:cs="Times New Roman"/>
                <w:color w:val="auto"/>
                <w:sz w:val="24"/>
                <w:highlight w:val="none"/>
                <w:u w:val="none"/>
                <w:lang w:val="en-US" w:eastAsia="zh-CN"/>
              </w:rPr>
              <w:t>℃</w:t>
            </w:r>
            <w:r>
              <w:rPr>
                <w:rFonts w:hint="default" w:ascii="Times New Roman" w:hAnsi="Times New Roman" w:cs="Times New Roman"/>
                <w:color w:val="auto"/>
                <w:sz w:val="24"/>
                <w:highlight w:val="none"/>
                <w:u w:val="none"/>
                <w:lang w:val="en-US" w:eastAsia="zh-CN"/>
              </w:rPr>
              <w:t>范围内，整体温度相对较低，作业期间不会使塑胶粒原料间化学键断裂，从而产生裂解反应，作业期间苯乙烯、丙烯腈、1,3-丁二烯、甲苯、乙苯等特征污染物主要考虑物料中残留单体的挥发，整体产生量极少，苯乙烯、丙烯腈、1,3-丁二烯、甲苯、乙苯</w:t>
            </w:r>
            <w:r>
              <w:rPr>
                <w:rFonts w:hint="eastAsia" w:cs="Times New Roman"/>
                <w:color w:val="auto"/>
                <w:sz w:val="24"/>
                <w:highlight w:val="none"/>
                <w:u w:val="none"/>
                <w:lang w:val="en-US" w:eastAsia="zh-CN"/>
              </w:rPr>
              <w:t>等特征污染物无组织排放可达到《合成树脂工业污染物排放标准》(GB 31572-2015)表9企业边界大气污染物浓度限值要求</w:t>
            </w:r>
            <w:r>
              <w:rPr>
                <w:rFonts w:hint="eastAsia" w:ascii="Times New Roman" w:hAnsi="Times New Roman" w:cs="Times New Roman"/>
                <w:color w:val="auto"/>
                <w:sz w:val="24"/>
                <w:highlight w:val="none"/>
                <w:u w:val="none"/>
                <w:lang w:val="en-US" w:eastAsia="zh-CN"/>
              </w:rPr>
              <w:t>。</w:t>
            </w:r>
            <w:r>
              <w:rPr>
                <w:rFonts w:hint="default" w:ascii="Times New Roman" w:hAnsi="Times New Roman" w:cs="Times New Roman"/>
                <w:color w:val="auto"/>
                <w:sz w:val="24"/>
                <w:highlight w:val="none"/>
                <w:u w:val="none"/>
                <w:lang w:val="en-US" w:eastAsia="zh-CN"/>
              </w:rPr>
              <w:t>此次评价过程中仅做定性分析。</w:t>
            </w:r>
          </w:p>
          <w:p>
            <w:pPr>
              <w:spacing w:line="360" w:lineRule="auto"/>
              <w:ind w:firstLine="480" w:firstLineChars="200"/>
              <w:rPr>
                <w:rFonts w:hAnsi="宋体"/>
                <w:color w:val="auto"/>
                <w:sz w:val="24"/>
                <w:highlight w:val="none"/>
              </w:rPr>
            </w:pPr>
            <w:r>
              <w:rPr>
                <w:rFonts w:hint="eastAsia" w:hAnsi="宋体"/>
                <w:color w:val="auto"/>
                <w:sz w:val="24"/>
                <w:highlight w:val="none"/>
                <w:lang w:eastAsia="zh-CN"/>
              </w:rPr>
              <w:t>根据</w:t>
            </w:r>
            <w:r>
              <w:rPr>
                <w:rFonts w:hint="eastAsia" w:hAnsi="宋体"/>
                <w:color w:val="auto"/>
                <w:sz w:val="24"/>
                <w:highlight w:val="none"/>
                <w:lang w:val="en-US" w:eastAsia="zh-CN"/>
              </w:rPr>
              <w:t>检测报告《（2019）环境监测110501号》，项目固定污染源（注塑废气排放口）处理前烟气平均烟气流量为8254m</w:t>
            </w:r>
            <w:r>
              <w:rPr>
                <w:rFonts w:hint="eastAsia" w:hAnsi="宋体"/>
                <w:color w:val="auto"/>
                <w:sz w:val="24"/>
                <w:highlight w:val="none"/>
                <w:vertAlign w:val="superscript"/>
                <w:lang w:val="en-US" w:eastAsia="zh-CN"/>
              </w:rPr>
              <w:t>3</w:t>
            </w:r>
            <w:r>
              <w:rPr>
                <w:rFonts w:hint="eastAsia" w:hAnsi="宋体"/>
                <w:color w:val="auto"/>
                <w:sz w:val="24"/>
                <w:highlight w:val="none"/>
                <w:lang w:val="en-US" w:eastAsia="zh-CN"/>
              </w:rPr>
              <w:t>/h，平均浓度为21.65mg/m</w:t>
            </w:r>
            <w:r>
              <w:rPr>
                <w:rFonts w:hint="eastAsia" w:hAnsi="宋体"/>
                <w:color w:val="auto"/>
                <w:sz w:val="24"/>
                <w:highlight w:val="none"/>
                <w:vertAlign w:val="superscript"/>
                <w:lang w:val="en-US" w:eastAsia="zh-CN"/>
              </w:rPr>
              <w:t>3</w:t>
            </w:r>
            <w:r>
              <w:rPr>
                <w:rFonts w:hint="eastAsia" w:hAnsi="宋体"/>
                <w:color w:val="auto"/>
                <w:sz w:val="24"/>
                <w:highlight w:val="none"/>
                <w:lang w:val="en-US" w:eastAsia="zh-CN"/>
              </w:rPr>
              <w:t>，得到非甲烷总烃的产生量为0.430t/a；处理后烟气平均烟气流量为8181m</w:t>
            </w:r>
            <w:r>
              <w:rPr>
                <w:rFonts w:hint="eastAsia" w:hAnsi="宋体"/>
                <w:color w:val="auto"/>
                <w:sz w:val="24"/>
                <w:highlight w:val="none"/>
                <w:vertAlign w:val="superscript"/>
                <w:lang w:val="en-US" w:eastAsia="zh-CN"/>
              </w:rPr>
              <w:t>3</w:t>
            </w:r>
            <w:r>
              <w:rPr>
                <w:rFonts w:hint="eastAsia" w:hAnsi="宋体"/>
                <w:color w:val="auto"/>
                <w:sz w:val="24"/>
                <w:highlight w:val="none"/>
                <w:lang w:val="en-US" w:eastAsia="zh-CN"/>
              </w:rPr>
              <w:t>/h，平均浓度为8.33mg/m</w:t>
            </w:r>
            <w:r>
              <w:rPr>
                <w:rFonts w:hint="eastAsia" w:hAnsi="宋体"/>
                <w:color w:val="auto"/>
                <w:sz w:val="24"/>
                <w:highlight w:val="none"/>
                <w:vertAlign w:val="superscript"/>
                <w:lang w:val="en-US" w:eastAsia="zh-CN"/>
              </w:rPr>
              <w:t>3</w:t>
            </w:r>
            <w:r>
              <w:rPr>
                <w:rFonts w:hint="eastAsia" w:hAnsi="宋体"/>
                <w:color w:val="auto"/>
                <w:sz w:val="24"/>
                <w:highlight w:val="none"/>
                <w:lang w:val="en-US" w:eastAsia="zh-CN"/>
              </w:rPr>
              <w:t>。由于风管弯道多且长，产生阻力，导致风速降低，从而导致风量折损。根据处理前后非甲烷总烃的浓度可知，本项目注塑废气经UV光解+活性炭吸附装置处理，处理效率约为61.5%；根据现场集气罩设置情况，</w:t>
            </w:r>
            <w:r>
              <w:rPr>
                <w:rFonts w:hint="eastAsia" w:hAnsi="宋体"/>
                <w:color w:val="auto"/>
                <w:sz w:val="24"/>
                <w:highlight w:val="none"/>
              </w:rPr>
              <w:t>在注塑</w:t>
            </w:r>
            <w:r>
              <w:rPr>
                <w:rFonts w:hint="eastAsia" w:hAnsi="宋体"/>
                <w:color w:val="auto"/>
                <w:sz w:val="24"/>
                <w:highlight w:val="none"/>
                <w:lang w:eastAsia="zh-CN"/>
              </w:rPr>
              <w:t>机上方设置</w:t>
            </w:r>
            <w:r>
              <w:rPr>
                <w:rFonts w:hint="eastAsia" w:hAnsi="宋体"/>
                <w:color w:val="auto"/>
                <w:sz w:val="24"/>
                <w:highlight w:val="none"/>
              </w:rPr>
              <w:t>集气</w:t>
            </w:r>
            <w:r>
              <w:rPr>
                <w:rFonts w:hint="eastAsia" w:hAnsi="宋体"/>
                <w:color w:val="auto"/>
                <w:sz w:val="24"/>
                <w:highlight w:val="none"/>
                <w:lang w:eastAsia="zh-CN"/>
              </w:rPr>
              <w:t>罩</w:t>
            </w:r>
            <w:r>
              <w:rPr>
                <w:rFonts w:hint="eastAsia" w:hAnsi="宋体"/>
                <w:color w:val="auto"/>
                <w:sz w:val="24"/>
                <w:highlight w:val="none"/>
              </w:rPr>
              <w:t>，集气罩的尺寸为0.2m*0.35m</w:t>
            </w:r>
            <w:r>
              <w:rPr>
                <w:rFonts w:hint="eastAsia" w:hAnsi="宋体"/>
                <w:color w:val="auto"/>
                <w:sz w:val="24"/>
                <w:highlight w:val="none"/>
                <w:lang w:eastAsia="zh-CN"/>
              </w:rPr>
              <w:t>，设</w:t>
            </w:r>
            <w:r>
              <w:rPr>
                <w:rFonts w:hint="eastAsia" w:hAnsi="宋体"/>
                <w:color w:val="auto"/>
                <w:sz w:val="24"/>
                <w:highlight w:val="none"/>
                <w:lang w:val="en-US" w:eastAsia="zh-CN"/>
              </w:rPr>
              <w:t>收集效率为80%。非甲烷总烃处理达标后高空排放（编号为G1），排气筒高度为15米。</w:t>
            </w:r>
            <w:r>
              <w:rPr>
                <w:rFonts w:hint="eastAsia" w:hAnsi="宋体"/>
                <w:color w:val="auto"/>
                <w:sz w:val="24"/>
                <w:highlight w:val="none"/>
              </w:rPr>
              <w:t>项目</w:t>
            </w:r>
            <w:r>
              <w:rPr>
                <w:rFonts w:hint="eastAsia" w:hAnsi="宋体"/>
                <w:color w:val="auto"/>
                <w:sz w:val="24"/>
                <w:highlight w:val="none"/>
                <w:lang w:eastAsia="zh-CN"/>
              </w:rPr>
              <w:t>非甲烷总烃</w:t>
            </w:r>
            <w:r>
              <w:rPr>
                <w:rFonts w:hint="eastAsia" w:hAnsi="宋体"/>
                <w:color w:val="auto"/>
                <w:sz w:val="24"/>
                <w:highlight w:val="none"/>
              </w:rPr>
              <w:t>产生和排放情况如下表所示。</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项目</w:t>
            </w:r>
            <w:r>
              <w:rPr>
                <w:rFonts w:hint="eastAsia" w:eastAsia="宋体" w:cs="Times New Roman"/>
                <w:b/>
                <w:color w:val="auto"/>
                <w:sz w:val="21"/>
                <w:szCs w:val="21"/>
                <w:highlight w:val="none"/>
              </w:rPr>
              <w:t>非甲烷总烃产生和</w:t>
            </w:r>
            <w:r>
              <w:rPr>
                <w:rFonts w:eastAsia="宋体" w:cs="Times New Roman"/>
                <w:b/>
                <w:color w:val="auto"/>
                <w:sz w:val="21"/>
                <w:szCs w:val="21"/>
                <w:highlight w:val="none"/>
              </w:rPr>
              <w:t>排放情况一览表</w:t>
            </w:r>
          </w:p>
          <w:tbl>
            <w:tblPr>
              <w:tblStyle w:val="41"/>
              <w:tblW w:w="9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6"/>
              <w:gridCol w:w="1245"/>
              <w:gridCol w:w="1251"/>
              <w:gridCol w:w="1185"/>
              <w:gridCol w:w="1050"/>
              <w:gridCol w:w="1365"/>
              <w:gridCol w:w="1185"/>
              <w:gridCol w:w="1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dxa"/>
                  <w:tcBorders>
                    <w:tl2br w:val="nil"/>
                    <w:tr2bl w:val="nil"/>
                  </w:tcBorders>
                  <w:vAlign w:val="center"/>
                </w:tcPr>
                <w:p>
                  <w:pPr>
                    <w:kinsoku w:val="0"/>
                    <w:snapToGrid w:val="0"/>
                    <w:spacing w:line="360" w:lineRule="auto"/>
                    <w:jc w:val="center"/>
                    <w:outlineLvl w:val="0"/>
                    <w:rPr>
                      <w:bCs/>
                      <w:color w:val="auto"/>
                      <w:szCs w:val="21"/>
                      <w:highlight w:val="none"/>
                    </w:rPr>
                  </w:pPr>
                  <w:r>
                    <w:rPr>
                      <w:b/>
                      <w:color w:val="auto"/>
                      <w:szCs w:val="21"/>
                      <w:highlight w:val="none"/>
                    </w:rPr>
                    <w:t>污染物</w:t>
                  </w:r>
                </w:p>
              </w:tc>
              <w:tc>
                <w:tcPr>
                  <w:tcW w:w="1245" w:type="dxa"/>
                  <w:tcBorders>
                    <w:tl2br w:val="nil"/>
                    <w:tr2bl w:val="nil"/>
                  </w:tcBorders>
                  <w:vAlign w:val="center"/>
                </w:tcPr>
                <w:p>
                  <w:pPr>
                    <w:kinsoku w:val="0"/>
                    <w:snapToGrid w:val="0"/>
                    <w:spacing w:line="360" w:lineRule="auto"/>
                    <w:jc w:val="center"/>
                    <w:outlineLvl w:val="0"/>
                    <w:rPr>
                      <w:bCs/>
                      <w:color w:val="auto"/>
                      <w:szCs w:val="21"/>
                      <w:highlight w:val="none"/>
                    </w:rPr>
                  </w:pPr>
                  <w:r>
                    <w:rPr>
                      <w:b/>
                      <w:color w:val="auto"/>
                      <w:szCs w:val="21"/>
                      <w:highlight w:val="none"/>
                    </w:rPr>
                    <w:t>排放方式</w:t>
                  </w:r>
                </w:p>
              </w:tc>
              <w:tc>
                <w:tcPr>
                  <w:tcW w:w="1251" w:type="dxa"/>
                  <w:tcBorders>
                    <w:tl2br w:val="nil"/>
                    <w:tr2bl w:val="nil"/>
                  </w:tcBorders>
                  <w:vAlign w:val="center"/>
                </w:tcPr>
                <w:p>
                  <w:pPr>
                    <w:kinsoku w:val="0"/>
                    <w:snapToGrid w:val="0"/>
                    <w:jc w:val="center"/>
                    <w:outlineLvl w:val="0"/>
                    <w:rPr>
                      <w:color w:val="auto"/>
                      <w:highlight w:val="none"/>
                    </w:rPr>
                  </w:pPr>
                  <w:r>
                    <w:rPr>
                      <w:b/>
                      <w:color w:val="auto"/>
                      <w:szCs w:val="21"/>
                      <w:highlight w:val="none"/>
                    </w:rPr>
                    <w:t>产生浓度（mg/m³）</w:t>
                  </w:r>
                </w:p>
              </w:tc>
              <w:tc>
                <w:tcPr>
                  <w:tcW w:w="1185" w:type="dxa"/>
                  <w:tcBorders>
                    <w:tl2br w:val="nil"/>
                    <w:tr2bl w:val="nil"/>
                  </w:tcBorders>
                  <w:vAlign w:val="center"/>
                </w:tcPr>
                <w:p>
                  <w:pPr>
                    <w:kinsoku w:val="0"/>
                    <w:snapToGrid w:val="0"/>
                    <w:jc w:val="center"/>
                    <w:outlineLvl w:val="0"/>
                    <w:rPr>
                      <w:b/>
                      <w:color w:val="auto"/>
                      <w:szCs w:val="21"/>
                      <w:highlight w:val="none"/>
                    </w:rPr>
                  </w:pPr>
                  <w:r>
                    <w:rPr>
                      <w:b/>
                      <w:color w:val="auto"/>
                      <w:szCs w:val="21"/>
                      <w:highlight w:val="none"/>
                    </w:rPr>
                    <w:t>产生速率</w:t>
                  </w:r>
                </w:p>
                <w:p>
                  <w:pPr>
                    <w:kinsoku w:val="0"/>
                    <w:snapToGrid w:val="0"/>
                    <w:jc w:val="center"/>
                    <w:outlineLvl w:val="0"/>
                    <w:rPr>
                      <w:bCs/>
                      <w:color w:val="auto"/>
                      <w:szCs w:val="21"/>
                      <w:highlight w:val="none"/>
                    </w:rPr>
                  </w:pPr>
                  <w:r>
                    <w:rPr>
                      <w:b/>
                      <w:color w:val="auto"/>
                      <w:szCs w:val="21"/>
                      <w:highlight w:val="none"/>
                    </w:rPr>
                    <w:t>（kg/h）</w:t>
                  </w:r>
                </w:p>
              </w:tc>
              <w:tc>
                <w:tcPr>
                  <w:tcW w:w="1050" w:type="dxa"/>
                  <w:tcBorders>
                    <w:tl2br w:val="nil"/>
                    <w:tr2bl w:val="nil"/>
                  </w:tcBorders>
                  <w:vAlign w:val="center"/>
                </w:tcPr>
                <w:p>
                  <w:pPr>
                    <w:kinsoku w:val="0"/>
                    <w:snapToGrid w:val="0"/>
                    <w:jc w:val="center"/>
                    <w:outlineLvl w:val="0"/>
                    <w:rPr>
                      <w:b/>
                      <w:color w:val="auto"/>
                      <w:szCs w:val="21"/>
                      <w:highlight w:val="none"/>
                    </w:rPr>
                  </w:pPr>
                  <w:r>
                    <w:rPr>
                      <w:b/>
                      <w:color w:val="auto"/>
                      <w:szCs w:val="21"/>
                      <w:highlight w:val="none"/>
                    </w:rPr>
                    <w:t>产生量</w:t>
                  </w:r>
                </w:p>
                <w:p>
                  <w:pPr>
                    <w:kinsoku w:val="0"/>
                    <w:snapToGrid w:val="0"/>
                    <w:jc w:val="center"/>
                    <w:outlineLvl w:val="0"/>
                    <w:rPr>
                      <w:color w:val="auto"/>
                      <w:highlight w:val="none"/>
                    </w:rPr>
                  </w:pPr>
                  <w:r>
                    <w:rPr>
                      <w:b/>
                      <w:color w:val="auto"/>
                      <w:szCs w:val="21"/>
                      <w:highlight w:val="none"/>
                    </w:rPr>
                    <w:t>（</w:t>
                  </w:r>
                  <w:r>
                    <w:rPr>
                      <w:rFonts w:hint="eastAsia"/>
                      <w:b/>
                      <w:color w:val="auto"/>
                      <w:szCs w:val="21"/>
                      <w:highlight w:val="none"/>
                    </w:rPr>
                    <w:t>t</w:t>
                  </w:r>
                  <w:r>
                    <w:rPr>
                      <w:b/>
                      <w:color w:val="auto"/>
                      <w:szCs w:val="21"/>
                      <w:highlight w:val="none"/>
                    </w:rPr>
                    <w:t>/a）</w:t>
                  </w:r>
                </w:p>
              </w:tc>
              <w:tc>
                <w:tcPr>
                  <w:tcW w:w="1365" w:type="dxa"/>
                  <w:tcBorders>
                    <w:tl2br w:val="nil"/>
                    <w:tr2bl w:val="nil"/>
                  </w:tcBorders>
                  <w:vAlign w:val="center"/>
                </w:tcPr>
                <w:p>
                  <w:pPr>
                    <w:kinsoku w:val="0"/>
                    <w:snapToGrid w:val="0"/>
                    <w:jc w:val="center"/>
                    <w:outlineLvl w:val="0"/>
                    <w:rPr>
                      <w:b/>
                      <w:color w:val="auto"/>
                      <w:szCs w:val="21"/>
                      <w:highlight w:val="none"/>
                    </w:rPr>
                  </w:pPr>
                  <w:r>
                    <w:rPr>
                      <w:b/>
                      <w:color w:val="auto"/>
                      <w:szCs w:val="21"/>
                      <w:highlight w:val="none"/>
                    </w:rPr>
                    <w:t>排放浓度</w:t>
                  </w:r>
                </w:p>
                <w:p>
                  <w:pPr>
                    <w:kinsoku w:val="0"/>
                    <w:snapToGrid w:val="0"/>
                    <w:jc w:val="center"/>
                    <w:outlineLvl w:val="0"/>
                    <w:rPr>
                      <w:color w:val="auto"/>
                      <w:highlight w:val="none"/>
                    </w:rPr>
                  </w:pPr>
                  <w:r>
                    <w:rPr>
                      <w:b/>
                      <w:color w:val="auto"/>
                      <w:szCs w:val="21"/>
                      <w:highlight w:val="none"/>
                    </w:rPr>
                    <w:t>（mg/m³）</w:t>
                  </w:r>
                </w:p>
              </w:tc>
              <w:tc>
                <w:tcPr>
                  <w:tcW w:w="1185" w:type="dxa"/>
                  <w:tcBorders>
                    <w:tl2br w:val="nil"/>
                    <w:tr2bl w:val="nil"/>
                  </w:tcBorders>
                  <w:vAlign w:val="center"/>
                </w:tcPr>
                <w:p>
                  <w:pPr>
                    <w:kinsoku w:val="0"/>
                    <w:snapToGrid w:val="0"/>
                    <w:jc w:val="center"/>
                    <w:outlineLvl w:val="0"/>
                    <w:rPr>
                      <w:b/>
                      <w:color w:val="auto"/>
                      <w:szCs w:val="21"/>
                      <w:highlight w:val="none"/>
                    </w:rPr>
                  </w:pPr>
                  <w:r>
                    <w:rPr>
                      <w:b/>
                      <w:color w:val="auto"/>
                      <w:szCs w:val="21"/>
                      <w:highlight w:val="none"/>
                    </w:rPr>
                    <w:t>排放速率</w:t>
                  </w:r>
                </w:p>
                <w:p>
                  <w:pPr>
                    <w:kinsoku w:val="0"/>
                    <w:snapToGrid w:val="0"/>
                    <w:jc w:val="center"/>
                    <w:outlineLvl w:val="0"/>
                    <w:rPr>
                      <w:bCs/>
                      <w:color w:val="auto"/>
                      <w:szCs w:val="21"/>
                      <w:highlight w:val="none"/>
                    </w:rPr>
                  </w:pPr>
                  <w:r>
                    <w:rPr>
                      <w:b/>
                      <w:color w:val="auto"/>
                      <w:szCs w:val="21"/>
                      <w:highlight w:val="none"/>
                    </w:rPr>
                    <w:t>（kg/h）</w:t>
                  </w:r>
                </w:p>
              </w:tc>
              <w:tc>
                <w:tcPr>
                  <w:tcW w:w="1050" w:type="dxa"/>
                  <w:tcBorders>
                    <w:tl2br w:val="nil"/>
                    <w:tr2bl w:val="nil"/>
                  </w:tcBorders>
                  <w:vAlign w:val="center"/>
                </w:tcPr>
                <w:p>
                  <w:pPr>
                    <w:kinsoku w:val="0"/>
                    <w:snapToGrid w:val="0"/>
                    <w:jc w:val="center"/>
                    <w:outlineLvl w:val="0"/>
                    <w:rPr>
                      <w:b/>
                      <w:color w:val="auto"/>
                      <w:szCs w:val="21"/>
                      <w:highlight w:val="none"/>
                    </w:rPr>
                  </w:pPr>
                  <w:r>
                    <w:rPr>
                      <w:b/>
                      <w:color w:val="auto"/>
                      <w:szCs w:val="21"/>
                      <w:highlight w:val="none"/>
                    </w:rPr>
                    <w:t>排放量</w:t>
                  </w:r>
                </w:p>
                <w:p>
                  <w:pPr>
                    <w:kinsoku w:val="0"/>
                    <w:snapToGrid w:val="0"/>
                    <w:jc w:val="center"/>
                    <w:outlineLvl w:val="0"/>
                    <w:rPr>
                      <w:color w:val="auto"/>
                      <w:highlight w:val="none"/>
                    </w:rPr>
                  </w:pPr>
                  <w:r>
                    <w:rPr>
                      <w:b/>
                      <w:color w:val="auto"/>
                      <w:szCs w:val="21"/>
                      <w:highlight w:val="none"/>
                    </w:rPr>
                    <w:t>（</w:t>
                  </w:r>
                  <w:r>
                    <w:rPr>
                      <w:rFonts w:hint="eastAsia"/>
                      <w:b/>
                      <w:color w:val="auto"/>
                      <w:szCs w:val="21"/>
                      <w:highlight w:val="none"/>
                    </w:rPr>
                    <w:t>t</w:t>
                  </w:r>
                  <w:r>
                    <w:rPr>
                      <w:b/>
                      <w:color w:val="auto"/>
                      <w:szCs w:val="21"/>
                      <w:highlight w:val="non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986" w:type="dxa"/>
                  <w:vMerge w:val="restart"/>
                  <w:tcBorders>
                    <w:tl2br w:val="nil"/>
                    <w:tr2bl w:val="nil"/>
                  </w:tcBorders>
                  <w:vAlign w:val="center"/>
                </w:tcPr>
                <w:p>
                  <w:pPr>
                    <w:pStyle w:val="47"/>
                    <w:tabs>
                      <w:tab w:val="left" w:pos="607"/>
                    </w:tabs>
                    <w:snapToGrid w:val="0"/>
                    <w:spacing w:line="360" w:lineRule="auto"/>
                    <w:jc w:val="center"/>
                    <w:rPr>
                      <w:rFonts w:ascii="Times New Roman" w:cs="Times New Roman"/>
                      <w:bCs/>
                      <w:color w:val="auto"/>
                      <w:sz w:val="21"/>
                      <w:szCs w:val="21"/>
                      <w:highlight w:val="none"/>
                    </w:rPr>
                  </w:pPr>
                  <w:r>
                    <w:rPr>
                      <w:rFonts w:hint="eastAsia" w:ascii="Times New Roman" w:cs="Times New Roman"/>
                      <w:bCs/>
                      <w:color w:val="auto"/>
                      <w:sz w:val="21"/>
                      <w:szCs w:val="21"/>
                      <w:highlight w:val="none"/>
                    </w:rPr>
                    <w:t>非甲烷总烃</w:t>
                  </w:r>
                </w:p>
              </w:tc>
              <w:tc>
                <w:tcPr>
                  <w:tcW w:w="1245" w:type="dxa"/>
                  <w:tcBorders>
                    <w:tl2br w:val="nil"/>
                    <w:tr2bl w:val="nil"/>
                  </w:tcBorders>
                  <w:vAlign w:val="center"/>
                </w:tcPr>
                <w:p>
                  <w:pPr>
                    <w:pStyle w:val="47"/>
                    <w:tabs>
                      <w:tab w:val="left" w:pos="607"/>
                    </w:tabs>
                    <w:snapToGrid w:val="0"/>
                    <w:spacing w:line="360" w:lineRule="auto"/>
                    <w:jc w:val="center"/>
                    <w:rPr>
                      <w:rFonts w:ascii="Times New Roman" w:cs="Times New Roman"/>
                      <w:bCs/>
                      <w:color w:val="auto"/>
                      <w:sz w:val="21"/>
                      <w:szCs w:val="21"/>
                      <w:highlight w:val="none"/>
                    </w:rPr>
                  </w:pPr>
                  <w:r>
                    <w:rPr>
                      <w:rFonts w:ascii="Times New Roman" w:cs="Times New Roman"/>
                      <w:bCs/>
                      <w:color w:val="auto"/>
                      <w:sz w:val="21"/>
                      <w:szCs w:val="21"/>
                      <w:highlight w:val="none"/>
                    </w:rPr>
                    <w:t>有组织</w:t>
                  </w:r>
                </w:p>
              </w:tc>
              <w:tc>
                <w:tcPr>
                  <w:tcW w:w="1251" w:type="dxa"/>
                  <w:tcBorders>
                    <w:tl2br w:val="nil"/>
                    <w:tr2bl w:val="nil"/>
                  </w:tcBorders>
                  <w:vAlign w:val="center"/>
                </w:tcPr>
                <w:p>
                  <w:pPr>
                    <w:widowControl/>
                    <w:jc w:val="center"/>
                    <w:textAlignment w:val="center"/>
                    <w:rPr>
                      <w:rFonts w:hint="default" w:eastAsia="宋体"/>
                      <w:color w:val="auto"/>
                      <w:highlight w:val="none"/>
                      <w:lang w:val="en-US" w:eastAsia="zh-CN"/>
                    </w:rPr>
                  </w:pPr>
                  <w:r>
                    <w:rPr>
                      <w:rFonts w:hint="eastAsia"/>
                      <w:bCs/>
                      <w:color w:val="auto"/>
                      <w:szCs w:val="21"/>
                      <w:highlight w:val="none"/>
                      <w:lang w:val="en-US" w:eastAsia="zh-CN"/>
                    </w:rPr>
                    <w:t>21.65</w:t>
                  </w:r>
                </w:p>
              </w:tc>
              <w:tc>
                <w:tcPr>
                  <w:tcW w:w="1185" w:type="dxa"/>
                  <w:tcBorders>
                    <w:tl2br w:val="nil"/>
                    <w:tr2bl w:val="nil"/>
                  </w:tcBorders>
                  <w:vAlign w:val="center"/>
                </w:tcPr>
                <w:p>
                  <w:pPr>
                    <w:widowControl/>
                    <w:jc w:val="center"/>
                    <w:textAlignment w:val="center"/>
                    <w:rPr>
                      <w:rFonts w:hint="default" w:eastAsia="宋体"/>
                      <w:bCs/>
                      <w:color w:val="auto"/>
                      <w:szCs w:val="21"/>
                      <w:highlight w:val="none"/>
                      <w:lang w:val="en-US" w:eastAsia="zh-CN"/>
                    </w:rPr>
                  </w:pPr>
                  <w:r>
                    <w:rPr>
                      <w:rFonts w:hint="eastAsia"/>
                      <w:bCs/>
                      <w:color w:val="auto"/>
                      <w:szCs w:val="21"/>
                      <w:highlight w:val="none"/>
                      <w:lang w:val="en-US" w:eastAsia="zh-CN"/>
                    </w:rPr>
                    <w:t>0.179</w:t>
                  </w:r>
                </w:p>
              </w:tc>
              <w:tc>
                <w:tcPr>
                  <w:tcW w:w="1050" w:type="dxa"/>
                  <w:tcBorders>
                    <w:tl2br w:val="nil"/>
                    <w:tr2bl w:val="nil"/>
                  </w:tcBorders>
                  <w:vAlign w:val="center"/>
                </w:tcPr>
                <w:p>
                  <w:pPr>
                    <w:widowControl/>
                    <w:jc w:val="center"/>
                    <w:textAlignment w:val="center"/>
                    <w:rPr>
                      <w:rFonts w:hint="default" w:eastAsia="宋体"/>
                      <w:color w:val="auto"/>
                      <w:highlight w:val="none"/>
                      <w:lang w:val="en-US" w:eastAsia="zh-CN"/>
                    </w:rPr>
                  </w:pPr>
                  <w:r>
                    <w:rPr>
                      <w:rFonts w:hint="eastAsia"/>
                      <w:color w:val="auto"/>
                      <w:highlight w:val="none"/>
                      <w:lang w:val="en-US" w:eastAsia="zh-CN"/>
                    </w:rPr>
                    <w:t>0.430</w:t>
                  </w:r>
                </w:p>
              </w:tc>
              <w:tc>
                <w:tcPr>
                  <w:tcW w:w="1365" w:type="dxa"/>
                  <w:tcBorders>
                    <w:tl2br w:val="nil"/>
                    <w:tr2bl w:val="nil"/>
                  </w:tcBorders>
                  <w:vAlign w:val="center"/>
                </w:tcPr>
                <w:p>
                  <w:pPr>
                    <w:widowControl/>
                    <w:jc w:val="center"/>
                    <w:textAlignment w:val="center"/>
                    <w:rPr>
                      <w:rFonts w:hint="default" w:eastAsia="宋体"/>
                      <w:color w:val="auto"/>
                      <w:highlight w:val="none"/>
                      <w:lang w:val="en-US" w:eastAsia="zh-CN"/>
                    </w:rPr>
                  </w:pPr>
                  <w:r>
                    <w:rPr>
                      <w:rFonts w:hint="eastAsia"/>
                      <w:color w:val="auto"/>
                      <w:kern w:val="0"/>
                      <w:szCs w:val="21"/>
                      <w:highlight w:val="none"/>
                      <w:lang w:val="en-US" w:eastAsia="zh-CN"/>
                    </w:rPr>
                    <w:t>8.33</w:t>
                  </w:r>
                </w:p>
              </w:tc>
              <w:tc>
                <w:tcPr>
                  <w:tcW w:w="1185" w:type="dxa"/>
                  <w:tcBorders>
                    <w:tl2br w:val="nil"/>
                    <w:tr2bl w:val="nil"/>
                  </w:tcBorders>
                  <w:vAlign w:val="center"/>
                </w:tcPr>
                <w:p>
                  <w:pPr>
                    <w:widowControl/>
                    <w:jc w:val="center"/>
                    <w:textAlignment w:val="center"/>
                    <w:rPr>
                      <w:rFonts w:hint="default" w:eastAsia="宋体"/>
                      <w:bCs/>
                      <w:color w:val="auto"/>
                      <w:szCs w:val="21"/>
                      <w:highlight w:val="none"/>
                      <w:lang w:val="en-US" w:eastAsia="zh-CN"/>
                    </w:rPr>
                  </w:pPr>
                  <w:r>
                    <w:rPr>
                      <w:rFonts w:hint="eastAsia"/>
                      <w:bCs/>
                      <w:color w:val="auto"/>
                      <w:szCs w:val="21"/>
                      <w:highlight w:val="none"/>
                      <w:lang w:val="en-US" w:eastAsia="zh-CN"/>
                    </w:rPr>
                    <w:t>0.069</w:t>
                  </w:r>
                </w:p>
              </w:tc>
              <w:tc>
                <w:tcPr>
                  <w:tcW w:w="1050" w:type="dxa"/>
                  <w:tcBorders>
                    <w:tl2br w:val="nil"/>
                    <w:tr2bl w:val="nil"/>
                  </w:tcBorders>
                  <w:vAlign w:val="center"/>
                </w:tcPr>
                <w:p>
                  <w:pPr>
                    <w:widowControl/>
                    <w:jc w:val="center"/>
                    <w:textAlignment w:val="center"/>
                    <w:rPr>
                      <w:rFonts w:hint="default"/>
                      <w:color w:val="auto"/>
                      <w:highlight w:val="none"/>
                      <w:lang w:val="en-US"/>
                    </w:rPr>
                  </w:pPr>
                  <w:r>
                    <w:rPr>
                      <w:rFonts w:hint="eastAsia"/>
                      <w:color w:val="auto"/>
                      <w:kern w:val="0"/>
                      <w:szCs w:val="21"/>
                      <w:highlight w:val="none"/>
                      <w:lang w:val="en-US" w:eastAsia="zh-CN"/>
                    </w:rPr>
                    <w:t>0.166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dxa"/>
                  <w:vMerge w:val="continue"/>
                  <w:tcBorders>
                    <w:tl2br w:val="nil"/>
                    <w:tr2bl w:val="nil"/>
                  </w:tcBorders>
                  <w:vAlign w:val="center"/>
                </w:tcPr>
                <w:p>
                  <w:pPr>
                    <w:pStyle w:val="47"/>
                    <w:tabs>
                      <w:tab w:val="left" w:pos="607"/>
                    </w:tabs>
                    <w:snapToGrid w:val="0"/>
                    <w:spacing w:line="360" w:lineRule="auto"/>
                    <w:jc w:val="center"/>
                    <w:rPr>
                      <w:rFonts w:ascii="Times New Roman" w:cs="Times New Roman"/>
                      <w:bCs/>
                      <w:color w:val="auto"/>
                      <w:sz w:val="21"/>
                      <w:szCs w:val="21"/>
                      <w:highlight w:val="none"/>
                    </w:rPr>
                  </w:pPr>
                </w:p>
              </w:tc>
              <w:tc>
                <w:tcPr>
                  <w:tcW w:w="1245" w:type="dxa"/>
                  <w:tcBorders>
                    <w:tl2br w:val="nil"/>
                    <w:tr2bl w:val="nil"/>
                  </w:tcBorders>
                  <w:vAlign w:val="center"/>
                </w:tcPr>
                <w:p>
                  <w:pPr>
                    <w:pStyle w:val="47"/>
                    <w:tabs>
                      <w:tab w:val="left" w:pos="607"/>
                    </w:tabs>
                    <w:snapToGrid w:val="0"/>
                    <w:spacing w:line="360" w:lineRule="auto"/>
                    <w:jc w:val="center"/>
                    <w:rPr>
                      <w:rFonts w:ascii="Times New Roman" w:cs="Times New Roman"/>
                      <w:bCs/>
                      <w:color w:val="auto"/>
                      <w:sz w:val="21"/>
                      <w:szCs w:val="21"/>
                      <w:highlight w:val="none"/>
                    </w:rPr>
                  </w:pPr>
                  <w:r>
                    <w:rPr>
                      <w:rFonts w:ascii="Times New Roman" w:cs="Times New Roman"/>
                      <w:bCs/>
                      <w:color w:val="auto"/>
                      <w:sz w:val="21"/>
                      <w:szCs w:val="21"/>
                      <w:highlight w:val="none"/>
                    </w:rPr>
                    <w:t>无组织</w:t>
                  </w:r>
                </w:p>
              </w:tc>
              <w:tc>
                <w:tcPr>
                  <w:tcW w:w="1251" w:type="dxa"/>
                  <w:tcBorders>
                    <w:tl2br w:val="nil"/>
                    <w:tr2bl w:val="nil"/>
                  </w:tcBorders>
                  <w:vAlign w:val="center"/>
                </w:tcPr>
                <w:p>
                  <w:pPr>
                    <w:widowControl/>
                    <w:jc w:val="center"/>
                    <w:textAlignment w:val="center"/>
                    <w:rPr>
                      <w:rFonts w:hint="default" w:eastAsia="宋体"/>
                      <w:color w:val="auto"/>
                      <w:highlight w:val="none"/>
                      <w:lang w:val="en-US" w:eastAsia="zh-CN"/>
                    </w:rPr>
                  </w:pPr>
                  <w:r>
                    <w:rPr>
                      <w:rFonts w:hint="eastAsia"/>
                      <w:color w:val="auto"/>
                      <w:kern w:val="0"/>
                      <w:szCs w:val="21"/>
                      <w:highlight w:val="none"/>
                      <w:lang w:val="en-US" w:eastAsia="zh-CN"/>
                    </w:rPr>
                    <w:t>1.414</w:t>
                  </w:r>
                </w:p>
              </w:tc>
              <w:tc>
                <w:tcPr>
                  <w:tcW w:w="1185" w:type="dxa"/>
                  <w:tcBorders>
                    <w:tl2br w:val="nil"/>
                    <w:tr2bl w:val="nil"/>
                  </w:tcBorders>
                  <w:vAlign w:val="center"/>
                </w:tcPr>
                <w:p>
                  <w:pPr>
                    <w:widowControl/>
                    <w:jc w:val="center"/>
                    <w:textAlignment w:val="center"/>
                    <w:rPr>
                      <w:rFonts w:hint="default" w:eastAsia="宋体"/>
                      <w:bCs/>
                      <w:color w:val="auto"/>
                      <w:szCs w:val="21"/>
                      <w:highlight w:val="none"/>
                      <w:lang w:val="en-US" w:eastAsia="zh-CN"/>
                    </w:rPr>
                  </w:pPr>
                  <w:r>
                    <w:rPr>
                      <w:rFonts w:hint="eastAsia"/>
                      <w:bCs/>
                      <w:color w:val="auto"/>
                      <w:szCs w:val="21"/>
                      <w:highlight w:val="none"/>
                      <w:lang w:val="en-US" w:eastAsia="zh-CN"/>
                    </w:rPr>
                    <w:t>0.045</w:t>
                  </w:r>
                </w:p>
              </w:tc>
              <w:tc>
                <w:tcPr>
                  <w:tcW w:w="1050" w:type="dxa"/>
                  <w:tcBorders>
                    <w:tl2br w:val="nil"/>
                    <w:tr2bl w:val="nil"/>
                  </w:tcBorders>
                  <w:vAlign w:val="center"/>
                </w:tcPr>
                <w:p>
                  <w:pPr>
                    <w:widowControl/>
                    <w:jc w:val="center"/>
                    <w:textAlignment w:val="center"/>
                    <w:rPr>
                      <w:rFonts w:hint="default" w:eastAsia="宋体"/>
                      <w:color w:val="auto"/>
                      <w:highlight w:val="none"/>
                      <w:lang w:val="en-US" w:eastAsia="zh-CN"/>
                    </w:rPr>
                  </w:pPr>
                  <w:r>
                    <w:rPr>
                      <w:rFonts w:hint="eastAsia"/>
                      <w:color w:val="auto"/>
                      <w:highlight w:val="none"/>
                      <w:lang w:val="en-US" w:eastAsia="zh-CN"/>
                    </w:rPr>
                    <w:t>0.108</w:t>
                  </w:r>
                </w:p>
              </w:tc>
              <w:tc>
                <w:tcPr>
                  <w:tcW w:w="1365" w:type="dxa"/>
                  <w:tcBorders>
                    <w:tl2br w:val="nil"/>
                    <w:tr2bl w:val="nil"/>
                  </w:tcBorders>
                  <w:vAlign w:val="center"/>
                </w:tcPr>
                <w:p>
                  <w:pPr>
                    <w:widowControl/>
                    <w:jc w:val="center"/>
                    <w:textAlignment w:val="center"/>
                    <w:rPr>
                      <w:color w:val="auto"/>
                      <w:highlight w:val="none"/>
                    </w:rPr>
                  </w:pPr>
                  <w:r>
                    <w:rPr>
                      <w:rFonts w:hint="eastAsia"/>
                      <w:color w:val="auto"/>
                      <w:kern w:val="0"/>
                      <w:szCs w:val="21"/>
                      <w:highlight w:val="none"/>
                      <w:lang w:val="en-US" w:eastAsia="zh-CN"/>
                    </w:rPr>
                    <w:t>1.414</w:t>
                  </w:r>
                </w:p>
              </w:tc>
              <w:tc>
                <w:tcPr>
                  <w:tcW w:w="1185" w:type="dxa"/>
                  <w:tcBorders>
                    <w:tl2br w:val="nil"/>
                    <w:tr2bl w:val="nil"/>
                  </w:tcBorders>
                  <w:vAlign w:val="center"/>
                </w:tcPr>
                <w:p>
                  <w:pPr>
                    <w:widowControl/>
                    <w:jc w:val="center"/>
                    <w:textAlignment w:val="center"/>
                    <w:rPr>
                      <w:rFonts w:hint="default" w:eastAsia="宋体"/>
                      <w:bCs/>
                      <w:color w:val="auto"/>
                      <w:szCs w:val="21"/>
                      <w:highlight w:val="none"/>
                      <w:lang w:val="en-US" w:eastAsia="zh-CN"/>
                    </w:rPr>
                  </w:pPr>
                  <w:r>
                    <w:rPr>
                      <w:rFonts w:hint="eastAsia"/>
                      <w:bCs/>
                      <w:color w:val="auto"/>
                      <w:szCs w:val="21"/>
                      <w:highlight w:val="none"/>
                      <w:lang w:val="en-US" w:eastAsia="zh-CN"/>
                    </w:rPr>
                    <w:t>0.045</w:t>
                  </w:r>
                </w:p>
              </w:tc>
              <w:tc>
                <w:tcPr>
                  <w:tcW w:w="1050" w:type="dxa"/>
                  <w:tcBorders>
                    <w:tl2br w:val="nil"/>
                    <w:tr2bl w:val="nil"/>
                  </w:tcBorders>
                  <w:vAlign w:val="center"/>
                </w:tcPr>
                <w:p>
                  <w:pPr>
                    <w:widowControl/>
                    <w:jc w:val="center"/>
                    <w:textAlignment w:val="center"/>
                    <w:rPr>
                      <w:rFonts w:hint="default" w:eastAsia="宋体"/>
                      <w:color w:val="auto"/>
                      <w:highlight w:val="none"/>
                      <w:lang w:val="en-US" w:eastAsia="zh-CN"/>
                    </w:rPr>
                  </w:pPr>
                  <w:r>
                    <w:rPr>
                      <w:rFonts w:hint="eastAsia"/>
                      <w:color w:val="auto"/>
                      <w:highlight w:val="none"/>
                      <w:lang w:val="en-US" w:eastAsia="zh-CN"/>
                    </w:rPr>
                    <w:t>0.108</w:t>
                  </w:r>
                </w:p>
              </w:tc>
            </w:tr>
          </w:tbl>
          <w:p>
            <w:pPr>
              <w:spacing w:line="360" w:lineRule="auto"/>
              <w:ind w:firstLine="480" w:firstLineChars="200"/>
              <w:rPr>
                <w:rFonts w:hAnsi="宋体"/>
                <w:color w:val="auto"/>
                <w:sz w:val="24"/>
                <w:highlight w:val="none"/>
              </w:rPr>
            </w:pPr>
            <w:r>
              <w:rPr>
                <w:color w:val="auto"/>
                <w:sz w:val="24"/>
                <w:highlight w:val="none"/>
              </w:rPr>
              <w:t>根据上表可知项目非甲烷总烃</w:t>
            </w:r>
            <w:r>
              <w:rPr>
                <w:rFonts w:hint="eastAsia"/>
                <w:color w:val="auto"/>
                <w:sz w:val="24"/>
                <w:highlight w:val="none"/>
              </w:rPr>
              <w:t>有组织</w:t>
            </w:r>
            <w:r>
              <w:rPr>
                <w:color w:val="auto"/>
                <w:sz w:val="24"/>
                <w:highlight w:val="none"/>
              </w:rPr>
              <w:t>排放浓度和排放速率可以达到《合成树脂工业污染物排放标准》（GB 31572-2015）中表4规定的大气污染物排放标准限值</w:t>
            </w:r>
            <w:r>
              <w:rPr>
                <w:rFonts w:hint="eastAsia"/>
                <w:color w:val="auto"/>
                <w:sz w:val="24"/>
                <w:highlight w:val="none"/>
                <w:lang w:eastAsia="zh-CN"/>
              </w:rPr>
              <w:t>；</w:t>
            </w:r>
            <w:r>
              <w:rPr>
                <w:rFonts w:hint="eastAsia"/>
                <w:color w:val="auto"/>
                <w:sz w:val="24"/>
                <w:highlight w:val="none"/>
                <w:shd w:val="clear" w:color="auto" w:fill="FFFFFF"/>
              </w:rPr>
              <w:t>无组织排放量较少，</w:t>
            </w:r>
            <w:r>
              <w:rPr>
                <w:color w:val="auto"/>
                <w:sz w:val="24"/>
                <w:highlight w:val="none"/>
                <w:shd w:val="clear" w:color="auto" w:fill="FFFFFF"/>
              </w:rPr>
              <w:t>根据</w:t>
            </w:r>
            <w:r>
              <w:rPr>
                <w:rFonts w:hint="eastAsia"/>
                <w:color w:val="auto"/>
                <w:sz w:val="24"/>
                <w:highlight w:val="none"/>
                <w:shd w:val="clear" w:color="auto" w:fill="FFFFFF"/>
                <w:lang w:eastAsia="zh-CN"/>
              </w:rPr>
              <w:t>检测报告</w:t>
            </w:r>
            <w:r>
              <w:rPr>
                <w:color w:val="auto"/>
                <w:sz w:val="24"/>
                <w:highlight w:val="none"/>
                <w:shd w:val="clear" w:color="auto" w:fill="FFFFFF"/>
              </w:rPr>
              <w:t>，</w:t>
            </w:r>
            <w:r>
              <w:rPr>
                <w:rFonts w:hint="eastAsia" w:hAnsi="宋体"/>
                <w:color w:val="auto"/>
                <w:sz w:val="24"/>
                <w:highlight w:val="none"/>
                <w:lang w:val="en-US" w:eastAsia="zh-CN"/>
              </w:rPr>
              <w:t>边界非甲烷总烃平均浓度为1.414mg/m</w:t>
            </w:r>
            <w:r>
              <w:rPr>
                <w:rFonts w:hint="eastAsia" w:hAnsi="宋体"/>
                <w:color w:val="auto"/>
                <w:sz w:val="24"/>
                <w:highlight w:val="none"/>
                <w:vertAlign w:val="superscript"/>
                <w:lang w:val="en-US" w:eastAsia="zh-CN"/>
              </w:rPr>
              <w:t>3</w:t>
            </w:r>
            <w:r>
              <w:rPr>
                <w:rFonts w:hint="eastAsia" w:hAnsi="宋体"/>
                <w:color w:val="auto"/>
                <w:sz w:val="24"/>
                <w:highlight w:val="none"/>
                <w:lang w:val="en-US" w:eastAsia="zh-CN"/>
              </w:rPr>
              <w:t>，</w:t>
            </w:r>
            <w:r>
              <w:rPr>
                <w:color w:val="auto"/>
                <w:kern w:val="0"/>
                <w:sz w:val="24"/>
                <w:highlight w:val="none"/>
              </w:rPr>
              <w:t>未超过《合成树脂工业污染物排放标准》（GB31572-2015）中的表9企业边界大气污染物浓度限值</w:t>
            </w:r>
            <w:r>
              <w:rPr>
                <w:color w:val="auto"/>
                <w:sz w:val="24"/>
                <w:highlight w:val="none"/>
              </w:rPr>
              <w:t>（非甲烷总烃：≤4.0mg/m</w:t>
            </w:r>
            <w:r>
              <w:rPr>
                <w:color w:val="auto"/>
                <w:sz w:val="24"/>
                <w:highlight w:val="none"/>
                <w:vertAlign w:val="superscript"/>
              </w:rPr>
              <w:t>3</w:t>
            </w:r>
            <w:r>
              <w:rPr>
                <w:color w:val="auto"/>
                <w:sz w:val="24"/>
                <w:highlight w:val="none"/>
              </w:rPr>
              <w:t>）</w:t>
            </w:r>
            <w:r>
              <w:rPr>
                <w:rFonts w:hint="eastAsia"/>
                <w:color w:val="auto"/>
                <w:sz w:val="24"/>
                <w:highlight w:val="none"/>
              </w:rPr>
              <w:t>，对周围环境影响较小。</w:t>
            </w:r>
          </w:p>
          <w:p>
            <w:pPr>
              <w:keepLines/>
              <w:spacing w:line="346" w:lineRule="auto"/>
              <w:ind w:firstLine="480" w:firstLineChars="200"/>
              <w:rPr>
                <w:color w:val="auto"/>
                <w:sz w:val="24"/>
                <w:highlight w:val="none"/>
              </w:rPr>
            </w:pPr>
            <w:r>
              <w:rPr>
                <w:color w:val="auto"/>
                <w:sz w:val="24"/>
                <w:highlight w:val="none"/>
              </w:rPr>
              <w:pict>
                <v:group id="_x0000_s1275" o:spid="_x0000_s1275" o:spt="203" style="height:155.6pt;width:391.5pt;" coordsize="4972049,1976120" editas="canvas">
                  <o:lock v:ext="edit"/>
                  <v:shape id="_x0000_s1274" o:spid="_x0000_s1274" o:spt="75" type="#_x0000_t75" style="position:absolute;left:0;top:0;height:1976120;width:4972049;" filled="f" stroked="t" coordsize="21600,21600">
                    <v:fill on="f" focussize="0,0"/>
                    <v:stroke weight="0.5pt" color="#000000"/>
                    <v:imagedata o:title=""/>
                    <o:lock v:ext="edit" aspectratio="f"/>
                  </v:shape>
                  <v:shape id="_x0000_s1278" o:spid="_x0000_s1278" style="position:absolute;left:755015;top:160020;height:723265;width:3885565;" filled="f" stroked="t" coordsize="4740,1125" path="m4740,0hal0,0hal0,840hal495,840hal495,1125hae">
                    <v:path arrowok="t"/>
                    <v:fill on="f" focussize="0,0"/>
                    <v:stroke weight="1.5pt" color="#000000" endarrow="block"/>
                    <v:imagedata o:title=""/>
                    <o:lock v:ext="edit" aspectratio="f"/>
                  </v:shape>
                  <v:rect id="_x0000_s1279" o:spid="_x0000_s1279" o:spt="1" style="position:absolute;left:754380;top:874395;height:238125;width:657225;" filled="f" stroked="t" coordsize="21600,21600">
                    <v:path/>
                    <v:fill on="f" focussize="0,0"/>
                    <v:stroke weight="1.5pt" color="#000000" startarrow="block" endarrow="block"/>
                    <v:imagedata o:title=""/>
                    <o:lock v:ext="edit" aspectratio="f"/>
                  </v:rect>
                  <v:shape id="_x0000_s1280" o:spid="_x0000_s1280" style="position:absolute;left:582930;top:1007745;height:304800;width:161925;" filled="f" stroked="t" coordsize="255,480" path="m225,0hal0,0hal0,465hal255,480hae">
                    <v:path arrowok="t"/>
                    <v:fill on="f" focussize="0,0"/>
                    <v:stroke weight="1.5pt" color="#000000" endarrow="block"/>
                    <v:imagedata o:title=""/>
                    <o:lock v:ext="edit" aspectratio="f"/>
                  </v:shape>
                  <v:rect id="_x0000_s1281" o:spid="_x0000_s1281" o:spt="1" style="position:absolute;left:754380;top:1217295;height:228600;width:666750;" filled="f" stroked="t" coordsize="21600,21600">
                    <v:path/>
                    <v:fill on="f" focussize="0,0"/>
                    <v:stroke weight="1.5pt" color="#000000" startarrow="block" endarrow="block"/>
                    <v:imagedata o:title=""/>
                    <o:lock v:ext="edit" aspectratio="f"/>
                  </v:rect>
                  <v:shape id="_x0000_s1283" o:spid="_x0000_s1283" style="position:absolute;left:335280;top:226695;height:1562100;width:1266825;" filled="f" stroked="t" coordsize="1995,2460" path="m1710,1710hal1995,1710hal1995,2460hal0,2460hal0,0hae">
                    <v:path arrowok="t"/>
                    <v:fill on="f" focussize="0,0"/>
                    <v:stroke weight="1.5pt" color="#000000" endarrow="block"/>
                    <v:imagedata o:title=""/>
                    <o:lock v:ext="edit" aspectratio="f"/>
                  </v:shape>
                  <v:rect id="_x0000_s1284" o:spid="_x0000_s1284" o:spt="1" style="position:absolute;left:1906905;top:588645;height:609600;width:2552700;" filled="f" stroked="t" coordsize="21600,21600">
                    <v:path/>
                    <v:fill on="f" focussize="0,0"/>
                    <v:stroke weight="1.5pt" color="#000000" startarrow="block" endarrow="block"/>
                    <v:imagedata o:title=""/>
                    <o:lock v:ext="edit" aspectratio="f"/>
                  </v:rect>
                  <v:shape id="_x0000_s1285" o:spid="_x0000_s1285" style="position:absolute;left:2306955;top:188595;height:409575;width:635;" filled="f" stroked="t" coordsize="1,645" path="m0,645hal0,0hae">
                    <v:path arrowok="t"/>
                    <v:fill on="f" focussize="0,0"/>
                    <v:stroke weight="1.5pt" color="#000000" dashstyle="dash" endarrow="block"/>
                    <v:imagedata o:title=""/>
                    <o:lock v:ext="edit" aspectratio="f"/>
                  </v:shape>
                  <v:shape id="_x0000_s1286" o:spid="_x0000_s1286" style="position:absolute;left:180340;top:189230;flip:x;height:406400;width:2485390;" filled="f" stroked="t" coordsize="1,645" path="m0,645hal0,0hae">
                    <v:path arrowok="t"/>
                    <v:fill on="f" focussize="0,0"/>
                    <v:stroke weight="1.5pt" color="#000000" dashstyle="dash" endarrow="block"/>
                    <v:imagedata o:title=""/>
                    <o:lock v:ext="edit" aspectratio="f"/>
                  </v:shape>
                  <v:shape id="_x0000_s1287" o:spid="_x0000_s1287" style="position:absolute;left:513080;top:179705;flip:x;height:406400;width:2476500;" filled="f" stroked="t" coordsize="1,645" path="m0,645hal0,0hae">
                    <v:path arrowok="t"/>
                    <v:fill on="f" focussize="0,0"/>
                    <v:stroke weight="1.5pt" color="#000000" dashstyle="dash" endarrow="block"/>
                    <v:imagedata o:title=""/>
                    <o:lock v:ext="edit" aspectratio="f"/>
                  </v:shape>
                  <v:shape id="_x0000_s1288" o:spid="_x0000_s1288" style="position:absolute;left:798830;top:179705;flip:x;height:406400;width:2476500;" filled="f" stroked="t" coordsize="1,645" path="m0,645hal0,0hae">
                    <v:path arrowok="t"/>
                    <v:fill on="f" focussize="0,0"/>
                    <v:stroke weight="1.5pt" color="#000000" dashstyle="dash" endarrow="block"/>
                    <v:imagedata o:title=""/>
                    <o:lock v:ext="edit" aspectratio="f"/>
                  </v:shape>
                  <v:shape id="_x0000_s1289" o:spid="_x0000_s1289" style="position:absolute;left:1113155;top:179705;flip:x;height:406400;width:2476500;" filled="f" stroked="t" coordsize="1,645" path="m0,645hal0,0hae">
                    <v:path arrowok="t"/>
                    <v:fill on="f" focussize="0,0"/>
                    <v:stroke weight="1.5pt" color="#000000" dashstyle="dash" endarrow="block"/>
                    <v:imagedata o:title=""/>
                    <o:lock v:ext="edit" aspectratio="f"/>
                  </v:shape>
                  <v:shape id="_x0000_s1290" o:spid="_x0000_s1290" style="position:absolute;left:1437005;top:179705;flip:x;height:406400;width:2476500;" filled="f" stroked="t" coordsize="1,645" path="m0,645hal0,0hae">
                    <v:path arrowok="t"/>
                    <v:fill on="f" focussize="0,0"/>
                    <v:stroke weight="1.5pt" color="#000000" dashstyle="dash" endarrow="block"/>
                    <v:imagedata o:title=""/>
                    <o:lock v:ext="edit" aspectratio="f"/>
                  </v:shape>
                  <v:shape id="艺术字 3083" o:spid="_x0000_s1291" o:spt="136" type="#_x0000_t136" style="position:absolute;left:2894330;top:779780;height:165100;width:612775;" fillcolor="#000000" filled="t" stroked="t" coordsize="21600,21600" adj="10800">
                    <v:path/>
                    <v:fill on="t" color2="#FFFFFF" focussize="0,0"/>
                    <v:stroke color="#000000"/>
                    <v:imagedata o:title=""/>
                    <o:lock v:ext="edit" aspectratio="f"/>
                    <v:textpath on="t" fitshape="t" fitpath="t" trim="t" xscale="f" string="注塑设备" style="font-family:宋体;font-size:18pt;v-text-align:center;"/>
                  </v:shape>
                  <v:shape id="艺术字 3083" o:spid="_x0000_s1292" o:spt="136" type="#_x0000_t136" style="position:absolute;left:836930;top:913130;height:136525;width:460375;" fillcolor="#000000" filled="t" stroked="t" coordsize="21600,21600" adj="10800">
                    <v:path/>
                    <v:fill on="t" color2="#FFFFFF" focussize="0,0"/>
                    <v:stroke color="#000000"/>
                    <v:imagedata o:title=""/>
                    <o:lock v:ext="edit" aspectratio="f"/>
                    <v:textpath on="t" fitshape="t" fitpath="t" trim="t" xscale="f" string="UV光解" style="font-family:宋体;font-size:18pt;v-text-align:center;"/>
                  </v:shape>
                  <v:shape id="艺术字 3083" o:spid="_x0000_s1293" o:spt="136" type="#_x0000_t136" style="position:absolute;left:846455;top:1275080;height:127000;width:457200;" fillcolor="#000000" filled="t" stroked="t" coordsize="21600,21600" adj="10800">
                    <v:path/>
                    <v:fill on="t" color2="#FFFFFF" focussize="0,0"/>
                    <v:stroke color="#000000"/>
                    <v:imagedata o:title=""/>
                    <o:lock v:ext="edit" aspectratio="f"/>
                    <v:textpath on="t" fitshape="t" fitpath="t" trim="t" xscale="f" string="活性炭" style="font-family:宋体;font-size:18pt;v-text-align:center;"/>
                  </v:shape>
                  <v:shape id="艺术字 3083" o:spid="_x0000_s1294" o:spt="136" type="#_x0000_t136" style="position:absolute;left:3371215;top:1627505;height:174625;width:1437640;" fillcolor="#000000" filled="t" stroked="t" coordsize="21600,21600" adj="10800">
                    <v:path/>
                    <v:fill on="t" color2="#FFFFFF" focussize="0,0"/>
                    <v:stroke color="#000000"/>
                    <v:imagedata o:title=""/>
                    <o:lock v:ext="edit" aspectratio="f"/>
                    <v:textpath on="t" fitshape="t" fitpath="t" trim="t" xscale="f" string="注塑废气处理示意图" style="font-family:宋体;font-size:18pt;v-text-align:center;"/>
                  </v:shape>
                  <w10:wrap type="none"/>
                  <w10:anchorlock/>
                </v:group>
              </w:pict>
            </w:r>
          </w:p>
          <w:p>
            <w:pPr>
              <w:keepLines/>
              <w:spacing w:line="346" w:lineRule="auto"/>
              <w:ind w:firstLine="482" w:firstLineChars="200"/>
              <w:rPr>
                <w:color w:val="auto"/>
                <w:spacing w:val="-2"/>
                <w:sz w:val="24"/>
                <w:highlight w:val="none"/>
              </w:rPr>
            </w:pPr>
            <w:r>
              <w:rPr>
                <w:rFonts w:hint="eastAsia" w:hAnsi="宋体"/>
                <w:b/>
                <w:color w:val="auto"/>
                <w:sz w:val="24"/>
                <w:highlight w:val="none"/>
              </w:rPr>
              <w:t>破碎工序：</w:t>
            </w:r>
            <w:r>
              <w:rPr>
                <w:rFonts w:hint="eastAsia"/>
                <w:bCs/>
                <w:color w:val="auto"/>
                <w:sz w:val="24"/>
                <w:highlight w:val="none"/>
              </w:rPr>
              <w:t>项目破碎工序</w:t>
            </w:r>
            <w:r>
              <w:rPr>
                <w:rFonts w:hint="eastAsia"/>
                <w:color w:val="auto"/>
                <w:sz w:val="24"/>
                <w:highlight w:val="none"/>
              </w:rPr>
              <w:t>使用破碎机将塑胶边角料进行破碎的过程中会产生少量的粉尘，主要成分为颗粒物。</w:t>
            </w:r>
            <w:r>
              <w:rPr>
                <w:rFonts w:hint="eastAsia"/>
                <w:bCs/>
                <w:color w:val="auto"/>
                <w:sz w:val="24"/>
                <w:highlight w:val="none"/>
              </w:rPr>
              <w:t>项目</w:t>
            </w:r>
            <w:r>
              <w:rPr>
                <w:rFonts w:hint="eastAsia"/>
                <w:color w:val="auto"/>
                <w:sz w:val="24"/>
                <w:highlight w:val="none"/>
              </w:rPr>
              <w:t>塑胶料（含色母）的</w:t>
            </w:r>
            <w:r>
              <w:rPr>
                <w:rFonts w:hint="eastAsia"/>
                <w:bCs/>
                <w:color w:val="auto"/>
                <w:sz w:val="24"/>
                <w:highlight w:val="none"/>
              </w:rPr>
              <w:t>用量合计为100.1</w:t>
            </w:r>
            <w:r>
              <w:rPr>
                <w:bCs/>
                <w:color w:val="auto"/>
                <w:sz w:val="24"/>
                <w:highlight w:val="none"/>
              </w:rPr>
              <w:t>t/a</w:t>
            </w:r>
            <w:r>
              <w:rPr>
                <w:rFonts w:hint="eastAsia"/>
                <w:bCs/>
                <w:color w:val="auto"/>
                <w:sz w:val="24"/>
                <w:highlight w:val="none"/>
              </w:rPr>
              <w:t>，根据</w:t>
            </w:r>
            <w:r>
              <w:rPr>
                <w:rFonts w:hint="eastAsia"/>
                <w:bCs/>
                <w:color w:val="auto"/>
                <w:sz w:val="24"/>
                <w:highlight w:val="none"/>
                <w:lang w:eastAsia="zh-CN"/>
              </w:rPr>
              <w:t>建设单位提供的资料</w:t>
            </w:r>
            <w:r>
              <w:rPr>
                <w:rFonts w:hint="eastAsia"/>
                <w:bCs/>
                <w:color w:val="auto"/>
                <w:sz w:val="24"/>
                <w:highlight w:val="none"/>
              </w:rPr>
              <w:t>，边角料的产生系数约为</w:t>
            </w:r>
            <w:r>
              <w:rPr>
                <w:rFonts w:hint="eastAsia"/>
                <w:bCs/>
                <w:color w:val="auto"/>
                <w:sz w:val="24"/>
                <w:highlight w:val="none"/>
                <w:lang w:val="en-US" w:eastAsia="zh-CN"/>
              </w:rPr>
              <w:t>0.05</w:t>
            </w:r>
            <w:r>
              <w:rPr>
                <w:rFonts w:hint="eastAsia"/>
                <w:bCs/>
                <w:color w:val="auto"/>
                <w:sz w:val="24"/>
                <w:highlight w:val="none"/>
              </w:rPr>
              <w:t>t边角料/t原材料，因此项目边角料的产生量为</w:t>
            </w:r>
            <w:r>
              <w:rPr>
                <w:rFonts w:hint="eastAsia"/>
                <w:bCs/>
                <w:color w:val="auto"/>
                <w:sz w:val="24"/>
                <w:highlight w:val="none"/>
                <w:lang w:val="en-US" w:eastAsia="zh-CN"/>
              </w:rPr>
              <w:t>5</w:t>
            </w:r>
            <w:r>
              <w:rPr>
                <w:rFonts w:hint="eastAsia"/>
                <w:bCs/>
                <w:color w:val="auto"/>
                <w:sz w:val="24"/>
                <w:highlight w:val="none"/>
              </w:rPr>
              <w:t>t/a。类比同类型项目</w:t>
            </w:r>
            <w:r>
              <w:rPr>
                <w:rFonts w:hint="eastAsia"/>
                <w:bCs/>
                <w:color w:val="auto"/>
                <w:sz w:val="24"/>
                <w:highlight w:val="none"/>
                <w:lang w:eastAsia="zh-CN"/>
              </w:rPr>
              <w:t>可知，</w:t>
            </w:r>
            <w:r>
              <w:rPr>
                <w:rFonts w:hint="eastAsia"/>
                <w:bCs/>
                <w:color w:val="auto"/>
                <w:sz w:val="24"/>
                <w:highlight w:val="none"/>
              </w:rPr>
              <w:t>破碎过程中</w:t>
            </w:r>
            <w:r>
              <w:rPr>
                <w:rFonts w:hint="eastAsia"/>
                <w:color w:val="auto"/>
                <w:sz w:val="24"/>
                <w:highlight w:val="none"/>
              </w:rPr>
              <w:t>粉尘的产生量取边角料的0.1%计，则粉尘的产生量约为0.00</w:t>
            </w:r>
            <w:r>
              <w:rPr>
                <w:rFonts w:hint="eastAsia"/>
                <w:color w:val="auto"/>
                <w:sz w:val="24"/>
                <w:highlight w:val="none"/>
                <w:lang w:val="en-US" w:eastAsia="zh-CN"/>
              </w:rPr>
              <w:t>5</w:t>
            </w:r>
            <w:r>
              <w:rPr>
                <w:rFonts w:hint="eastAsia"/>
                <w:color w:val="auto"/>
                <w:sz w:val="24"/>
                <w:highlight w:val="none"/>
              </w:rPr>
              <w:t>t/a，年工作</w:t>
            </w:r>
            <w:r>
              <w:rPr>
                <w:rFonts w:hint="eastAsia"/>
                <w:color w:val="auto"/>
                <w:sz w:val="24"/>
                <w:highlight w:val="none"/>
                <w:lang w:val="en-US" w:eastAsia="zh-CN"/>
              </w:rPr>
              <w:t>2400</w:t>
            </w:r>
            <w:r>
              <w:rPr>
                <w:rFonts w:hint="eastAsia"/>
                <w:color w:val="auto"/>
                <w:sz w:val="24"/>
                <w:highlight w:val="none"/>
              </w:rPr>
              <w:t>小时</w:t>
            </w:r>
            <w:r>
              <w:rPr>
                <w:rFonts w:hint="eastAsia" w:hAnsi="宋体"/>
                <w:color w:val="auto"/>
                <w:sz w:val="24"/>
                <w:highlight w:val="none"/>
              </w:rPr>
              <w:t>，则</w:t>
            </w:r>
            <w:r>
              <w:rPr>
                <w:rFonts w:hint="eastAsia"/>
                <w:color w:val="auto"/>
                <w:sz w:val="24"/>
                <w:highlight w:val="none"/>
              </w:rPr>
              <w:t>产生速率为0.00</w:t>
            </w:r>
            <w:r>
              <w:rPr>
                <w:rFonts w:hint="eastAsia"/>
                <w:color w:val="auto"/>
                <w:sz w:val="24"/>
                <w:highlight w:val="none"/>
                <w:lang w:val="en-US" w:eastAsia="zh-CN"/>
              </w:rPr>
              <w:t>2</w:t>
            </w:r>
            <w:r>
              <w:rPr>
                <w:rFonts w:hint="eastAsia"/>
                <w:color w:val="auto"/>
                <w:sz w:val="24"/>
                <w:highlight w:val="none"/>
              </w:rPr>
              <w:t>kg/h。</w:t>
            </w:r>
            <w:r>
              <w:rPr>
                <w:rFonts w:hint="eastAsia"/>
                <w:color w:val="auto"/>
                <w:sz w:val="24"/>
                <w:highlight w:val="none"/>
                <w:shd w:val="clear" w:color="auto" w:fill="FFFFFF"/>
              </w:rPr>
              <w:t>粉尘以无组织形式排放，</w:t>
            </w:r>
            <w:r>
              <w:rPr>
                <w:rFonts w:hint="eastAsia" w:hAnsi="宋体"/>
                <w:color w:val="auto"/>
                <w:sz w:val="24"/>
                <w:highlight w:val="none"/>
                <w:lang w:eastAsia="zh-CN"/>
              </w:rPr>
              <w:t>根据</w:t>
            </w:r>
            <w:r>
              <w:rPr>
                <w:rFonts w:hint="eastAsia" w:hAnsi="宋体"/>
                <w:color w:val="auto"/>
                <w:sz w:val="24"/>
                <w:highlight w:val="none"/>
                <w:lang w:val="en-US" w:eastAsia="zh-CN"/>
              </w:rPr>
              <w:t>检测报告《（2019）环境监测110501号》，</w:t>
            </w:r>
            <w:r>
              <w:rPr>
                <w:rFonts w:hint="eastAsia"/>
                <w:color w:val="auto"/>
                <w:sz w:val="24"/>
                <w:highlight w:val="none"/>
                <w:lang w:eastAsia="zh-CN"/>
              </w:rPr>
              <w:t>边界颗粒物平均</w:t>
            </w:r>
            <w:r>
              <w:rPr>
                <w:rFonts w:hint="eastAsia"/>
                <w:color w:val="auto"/>
                <w:kern w:val="0"/>
                <w:sz w:val="24"/>
                <w:highlight w:val="none"/>
              </w:rPr>
              <w:t>浓度为</w:t>
            </w:r>
            <w:r>
              <w:rPr>
                <w:rFonts w:hint="eastAsia"/>
                <w:color w:val="auto"/>
                <w:kern w:val="0"/>
                <w:sz w:val="24"/>
                <w:highlight w:val="none"/>
                <w:lang w:val="en-US" w:eastAsia="zh-CN"/>
              </w:rPr>
              <w:t>0.41</w:t>
            </w:r>
            <w:r>
              <w:rPr>
                <w:color w:val="auto"/>
                <w:sz w:val="24"/>
                <w:highlight w:val="none"/>
              </w:rPr>
              <w:t>mg/m</w:t>
            </w:r>
            <w:r>
              <w:rPr>
                <w:color w:val="auto"/>
                <w:sz w:val="24"/>
                <w:highlight w:val="none"/>
                <w:vertAlign w:val="superscript"/>
              </w:rPr>
              <w:t>3</w:t>
            </w:r>
            <w:r>
              <w:rPr>
                <w:rFonts w:hint="eastAsia"/>
                <w:color w:val="auto"/>
                <w:kern w:val="0"/>
                <w:sz w:val="24"/>
                <w:highlight w:val="none"/>
              </w:rPr>
              <w:t>，未超过</w:t>
            </w:r>
            <w:r>
              <w:rPr>
                <w:color w:val="auto"/>
                <w:sz w:val="24"/>
                <w:highlight w:val="none"/>
              </w:rPr>
              <w:t>广东省地方标准《大气污染物排放限值》（DB44/ 27-2001）第二时段无组织排放监控浓度限值</w:t>
            </w:r>
            <w:r>
              <w:rPr>
                <w:rFonts w:hint="eastAsia"/>
                <w:color w:val="auto"/>
                <w:sz w:val="24"/>
                <w:highlight w:val="none"/>
              </w:rPr>
              <w:t>（1</w:t>
            </w:r>
            <w:r>
              <w:rPr>
                <w:color w:val="auto"/>
                <w:sz w:val="24"/>
                <w:highlight w:val="none"/>
              </w:rPr>
              <w:t>.0mg/m</w:t>
            </w:r>
            <w:r>
              <w:rPr>
                <w:color w:val="auto"/>
                <w:sz w:val="24"/>
                <w:highlight w:val="none"/>
                <w:vertAlign w:val="superscript"/>
              </w:rPr>
              <w:t>3</w:t>
            </w:r>
            <w:r>
              <w:rPr>
                <w:rFonts w:hint="eastAsia"/>
                <w:color w:val="auto"/>
                <w:sz w:val="24"/>
                <w:highlight w:val="none"/>
              </w:rPr>
              <w:t>），对周围环境影响较小。</w:t>
            </w:r>
            <w:r>
              <w:rPr>
                <w:color w:val="auto"/>
                <w:sz w:val="24"/>
                <w:highlight w:val="none"/>
              </w:rPr>
              <w:t>同时加强车间机械通风措施，使生产车间符合《工业企业设计卫生标准》（TJ36-79）（GBZ1-2010）要求，</w:t>
            </w:r>
            <w:r>
              <w:rPr>
                <w:color w:val="auto"/>
                <w:spacing w:val="-2"/>
                <w:sz w:val="24"/>
                <w:highlight w:val="none"/>
              </w:rPr>
              <w:t>另外，建设单位必须做好员工的防护措施（如配带口罩）</w:t>
            </w:r>
            <w:r>
              <w:rPr>
                <w:color w:val="auto"/>
                <w:sz w:val="24"/>
                <w:highlight w:val="none"/>
              </w:rPr>
              <w:t>，以确保员工身体健康不受到影响，</w:t>
            </w:r>
            <w:r>
              <w:rPr>
                <w:color w:val="auto"/>
                <w:kern w:val="0"/>
                <w:sz w:val="24"/>
                <w:highlight w:val="none"/>
              </w:rPr>
              <w:t>则不会对周围空气环境造成明显影响</w:t>
            </w:r>
            <w:r>
              <w:rPr>
                <w:color w:val="auto"/>
                <w:spacing w:val="-2"/>
                <w:sz w:val="24"/>
                <w:highlight w:val="none"/>
              </w:rPr>
              <w:t>。</w:t>
            </w:r>
          </w:p>
          <w:p>
            <w:pPr>
              <w:spacing w:line="360" w:lineRule="auto"/>
              <w:ind w:firstLine="472" w:firstLineChars="196"/>
              <w:rPr>
                <w:b/>
                <w:bCs/>
                <w:color w:val="auto"/>
                <w:sz w:val="24"/>
                <w:highlight w:val="none"/>
              </w:rPr>
            </w:pPr>
            <w:r>
              <w:rPr>
                <w:rFonts w:hint="eastAsia"/>
                <w:b/>
                <w:bCs/>
                <w:color w:val="auto"/>
                <w:sz w:val="24"/>
                <w:highlight w:val="none"/>
              </w:rPr>
              <w:t>二、水污染源</w:t>
            </w:r>
          </w:p>
          <w:p>
            <w:pPr>
              <w:adjustRightInd w:val="0"/>
              <w:spacing w:line="360" w:lineRule="auto"/>
              <w:ind w:firstLine="482" w:firstLineChars="200"/>
              <w:rPr>
                <w:rFonts w:hAnsi="宋体"/>
                <w:color w:val="auto"/>
                <w:sz w:val="24"/>
                <w:highlight w:val="none"/>
              </w:rPr>
            </w:pPr>
            <w:r>
              <w:rPr>
                <w:rFonts w:hint="eastAsia" w:hAnsi="宋体"/>
                <w:b/>
                <w:color w:val="auto"/>
                <w:sz w:val="24"/>
                <w:highlight w:val="none"/>
              </w:rPr>
              <w:t>注塑</w:t>
            </w:r>
            <w:r>
              <w:rPr>
                <w:rFonts w:hAnsi="宋体"/>
                <w:b/>
                <w:color w:val="auto"/>
                <w:sz w:val="24"/>
                <w:highlight w:val="none"/>
              </w:rPr>
              <w:t>冷却用水：</w:t>
            </w:r>
            <w:r>
              <w:rPr>
                <w:rFonts w:hAnsi="宋体"/>
                <w:color w:val="auto"/>
                <w:sz w:val="24"/>
                <w:highlight w:val="none"/>
              </w:rPr>
              <w:t>项目</w:t>
            </w:r>
            <w:r>
              <w:rPr>
                <w:rFonts w:hint="eastAsia" w:hAnsi="宋体"/>
                <w:color w:val="auto"/>
                <w:sz w:val="24"/>
                <w:highlight w:val="none"/>
              </w:rPr>
              <w:t>注塑</w:t>
            </w:r>
            <w:r>
              <w:rPr>
                <w:rFonts w:hAnsi="宋体"/>
                <w:color w:val="auto"/>
                <w:sz w:val="24"/>
                <w:highlight w:val="none"/>
              </w:rPr>
              <w:t>工序中</w:t>
            </w:r>
            <w:r>
              <w:rPr>
                <w:rFonts w:hint="eastAsia" w:hAnsi="宋体"/>
                <w:color w:val="auto"/>
                <w:sz w:val="24"/>
                <w:highlight w:val="none"/>
              </w:rPr>
              <w:t>需使用冷却塔进行</w:t>
            </w:r>
            <w:r>
              <w:rPr>
                <w:rFonts w:hAnsi="宋体"/>
                <w:color w:val="auto"/>
                <w:sz w:val="24"/>
                <w:highlight w:val="none"/>
              </w:rPr>
              <w:t>冷却，冷却方式为间接冷却，冷却用水为普通的自来水，其中无需添加矿物油、乳化液等冷却剂，根据建设单位提供资料，</w:t>
            </w:r>
            <w:r>
              <w:rPr>
                <w:rFonts w:hint="eastAsia" w:hAnsi="宋体"/>
                <w:color w:val="auto"/>
                <w:sz w:val="24"/>
                <w:highlight w:val="none"/>
              </w:rPr>
              <w:t>项目冷却塔</w:t>
            </w:r>
            <w:r>
              <w:rPr>
                <w:rFonts w:hAnsi="宋体"/>
                <w:color w:val="auto"/>
                <w:sz w:val="24"/>
                <w:highlight w:val="none"/>
              </w:rPr>
              <w:t>循环水量为</w:t>
            </w:r>
            <w:r>
              <w:rPr>
                <w:rFonts w:hint="eastAsia"/>
                <w:color w:val="auto"/>
                <w:sz w:val="24"/>
                <w:highlight w:val="none"/>
                <w:lang w:val="en-US" w:eastAsia="zh-CN"/>
              </w:rPr>
              <w:t>2</w:t>
            </w:r>
            <w:r>
              <w:rPr>
                <w:rFonts w:hint="eastAsia"/>
                <w:color w:val="auto"/>
                <w:sz w:val="24"/>
                <w:highlight w:val="none"/>
              </w:rPr>
              <w:t>t</w:t>
            </w:r>
            <w:r>
              <w:rPr>
                <w:rStyle w:val="46"/>
                <w:rFonts w:hint="eastAsia"/>
                <w:color w:val="auto"/>
                <w:highlight w:val="none"/>
                <w:lang w:val="en-US" w:eastAsia="zh-CN"/>
              </w:rPr>
              <w:t>/h</w:t>
            </w:r>
            <w:r>
              <w:rPr>
                <w:rFonts w:hAnsi="宋体"/>
                <w:color w:val="auto"/>
                <w:sz w:val="24"/>
                <w:highlight w:val="none"/>
              </w:rPr>
              <w:t>，该冷却水循环使用，不外排，</w:t>
            </w:r>
            <w:r>
              <w:rPr>
                <w:rFonts w:hint="eastAsia"/>
                <w:color w:val="auto"/>
                <w:sz w:val="24"/>
                <w:highlight w:val="none"/>
              </w:rPr>
              <w:t>因受热等因素损失，需定期补充新鲜水，损耗</w:t>
            </w:r>
            <w:r>
              <w:rPr>
                <w:color w:val="auto"/>
                <w:sz w:val="24"/>
                <w:highlight w:val="none"/>
              </w:rPr>
              <w:t>补充用水约占</w:t>
            </w:r>
            <w:r>
              <w:rPr>
                <w:rFonts w:hint="eastAsia"/>
                <w:color w:val="auto"/>
                <w:sz w:val="24"/>
                <w:highlight w:val="none"/>
              </w:rPr>
              <w:t>循环水量</w:t>
            </w:r>
            <w:r>
              <w:rPr>
                <w:color w:val="auto"/>
                <w:sz w:val="24"/>
                <w:highlight w:val="none"/>
              </w:rPr>
              <w:t>的</w:t>
            </w:r>
            <w:r>
              <w:rPr>
                <w:rFonts w:hint="eastAsia"/>
                <w:color w:val="auto"/>
                <w:sz w:val="24"/>
                <w:highlight w:val="none"/>
              </w:rPr>
              <w:t>2</w:t>
            </w:r>
            <w:r>
              <w:rPr>
                <w:color w:val="auto"/>
                <w:sz w:val="24"/>
                <w:highlight w:val="none"/>
              </w:rPr>
              <w:t>%，</w:t>
            </w:r>
            <w:r>
              <w:rPr>
                <w:rFonts w:hint="eastAsia"/>
                <w:color w:val="auto"/>
                <w:sz w:val="24"/>
                <w:highlight w:val="none"/>
              </w:rPr>
              <w:t>即补充用水量为</w:t>
            </w:r>
            <w:r>
              <w:rPr>
                <w:rFonts w:hint="eastAsia"/>
                <w:color w:val="auto"/>
                <w:sz w:val="24"/>
                <w:highlight w:val="none"/>
                <w:lang w:val="en-US" w:eastAsia="zh-CN"/>
              </w:rPr>
              <w:t>0.04t</w:t>
            </w:r>
            <w:r>
              <w:rPr>
                <w:rFonts w:hint="eastAsia"/>
                <w:color w:val="auto"/>
                <w:sz w:val="24"/>
                <w:highlight w:val="none"/>
              </w:rPr>
              <w:t>/</w:t>
            </w:r>
            <w:r>
              <w:rPr>
                <w:rFonts w:hint="eastAsia"/>
                <w:color w:val="auto"/>
                <w:sz w:val="24"/>
                <w:highlight w:val="none"/>
                <w:lang w:val="en-US" w:eastAsia="zh-CN"/>
              </w:rPr>
              <w:t>h</w:t>
            </w:r>
            <w:r>
              <w:rPr>
                <w:rFonts w:hint="eastAsia"/>
                <w:color w:val="auto"/>
                <w:sz w:val="24"/>
                <w:highlight w:val="none"/>
              </w:rPr>
              <w:t>（</w:t>
            </w:r>
            <w:r>
              <w:rPr>
                <w:rFonts w:hint="eastAsia"/>
                <w:color w:val="auto"/>
                <w:sz w:val="24"/>
                <w:highlight w:val="none"/>
                <w:lang w:val="en-US" w:eastAsia="zh-CN"/>
              </w:rPr>
              <w:t>96t</w:t>
            </w:r>
            <w:r>
              <w:rPr>
                <w:rFonts w:hint="eastAsia"/>
                <w:color w:val="auto"/>
                <w:sz w:val="24"/>
                <w:highlight w:val="none"/>
              </w:rPr>
              <w:t>/a）</w:t>
            </w:r>
            <w:r>
              <w:rPr>
                <w:rFonts w:hint="eastAsia"/>
                <w:color w:val="auto"/>
                <w:sz w:val="24"/>
                <w:highlight w:val="none"/>
                <w:lang w:eastAsia="zh-CN"/>
              </w:rPr>
              <w:t>。</w:t>
            </w:r>
          </w:p>
          <w:p>
            <w:pPr>
              <w:snapToGrid w:val="0"/>
              <w:spacing w:line="360" w:lineRule="auto"/>
              <w:ind w:firstLine="482" w:firstLineChars="200"/>
              <w:rPr>
                <w:color w:val="auto"/>
                <w:sz w:val="24"/>
                <w:highlight w:val="none"/>
              </w:rPr>
            </w:pPr>
            <w:r>
              <w:rPr>
                <w:rFonts w:hint="eastAsia"/>
                <w:b/>
                <w:color w:val="auto"/>
                <w:sz w:val="24"/>
                <w:highlight w:val="none"/>
              </w:rPr>
              <w:t>生活污水：</w:t>
            </w:r>
            <w:r>
              <w:rPr>
                <w:color w:val="auto"/>
                <w:sz w:val="24"/>
                <w:highlight w:val="none"/>
              </w:rPr>
              <w:t>项目设有员工及管理人员总数为</w:t>
            </w:r>
            <w:r>
              <w:rPr>
                <w:rFonts w:hint="eastAsia"/>
                <w:color w:val="auto"/>
                <w:sz w:val="24"/>
                <w:highlight w:val="none"/>
              </w:rPr>
              <w:t>10</w:t>
            </w:r>
            <w:r>
              <w:rPr>
                <w:color w:val="auto"/>
                <w:sz w:val="24"/>
                <w:highlight w:val="none"/>
              </w:rPr>
              <w:t>人，</w:t>
            </w:r>
            <w:r>
              <w:rPr>
                <w:rFonts w:hint="eastAsia"/>
                <w:color w:val="auto"/>
                <w:sz w:val="24"/>
                <w:highlight w:val="none"/>
              </w:rPr>
              <w:t>均不在项目内食宿</w:t>
            </w:r>
            <w:r>
              <w:rPr>
                <w:rFonts w:hint="eastAsia"/>
                <w:bCs/>
                <w:color w:val="auto"/>
                <w:sz w:val="24"/>
                <w:highlight w:val="none"/>
              </w:rPr>
              <w:t>，</w:t>
            </w:r>
            <w:r>
              <w:rPr>
                <w:color w:val="auto"/>
                <w:sz w:val="24"/>
                <w:highlight w:val="none"/>
              </w:rPr>
              <w:t>根据《广东省用水定额》（DB44/1461-2014），</w:t>
            </w:r>
            <w:r>
              <w:rPr>
                <w:rFonts w:hint="eastAsia"/>
                <w:color w:val="auto"/>
                <w:sz w:val="24"/>
                <w:highlight w:val="none"/>
              </w:rPr>
              <w:t>则项目一天用水量=0.04t</w:t>
            </w:r>
            <w:r>
              <w:rPr>
                <w:color w:val="auto"/>
                <w:sz w:val="24"/>
                <w:highlight w:val="none"/>
              </w:rPr>
              <w:t>/d</w:t>
            </w:r>
            <w:r>
              <w:rPr>
                <w:rFonts w:hint="eastAsia"/>
                <w:color w:val="auto"/>
                <w:sz w:val="24"/>
                <w:highlight w:val="none"/>
              </w:rPr>
              <w:t>×10=0.4t</w:t>
            </w:r>
            <w:r>
              <w:rPr>
                <w:color w:val="auto"/>
                <w:sz w:val="24"/>
                <w:highlight w:val="none"/>
              </w:rPr>
              <w:t>/d</w:t>
            </w:r>
            <w:r>
              <w:rPr>
                <w:rFonts w:hint="eastAsia"/>
                <w:color w:val="auto"/>
                <w:sz w:val="24"/>
                <w:highlight w:val="none"/>
              </w:rPr>
              <w:t>，</w:t>
            </w:r>
            <w:r>
              <w:rPr>
                <w:color w:val="auto"/>
                <w:sz w:val="24"/>
                <w:highlight w:val="none"/>
              </w:rPr>
              <w:t>一年</w:t>
            </w:r>
            <w:r>
              <w:rPr>
                <w:rFonts w:hint="eastAsia"/>
                <w:color w:val="auto"/>
                <w:sz w:val="24"/>
                <w:highlight w:val="none"/>
              </w:rPr>
              <w:t>300</w:t>
            </w:r>
            <w:r>
              <w:rPr>
                <w:color w:val="auto"/>
                <w:sz w:val="24"/>
                <w:highlight w:val="none"/>
              </w:rPr>
              <w:t>天计算，生活用水</w:t>
            </w:r>
            <w:r>
              <w:rPr>
                <w:rFonts w:hint="eastAsia"/>
                <w:color w:val="auto"/>
                <w:sz w:val="24"/>
                <w:highlight w:val="none"/>
              </w:rPr>
              <w:t>量</w:t>
            </w:r>
            <w:r>
              <w:rPr>
                <w:color w:val="auto"/>
                <w:sz w:val="24"/>
                <w:highlight w:val="none"/>
              </w:rPr>
              <w:t>为</w:t>
            </w:r>
            <w:r>
              <w:rPr>
                <w:rFonts w:hint="eastAsia"/>
                <w:color w:val="auto"/>
                <w:sz w:val="24"/>
                <w:highlight w:val="none"/>
              </w:rPr>
              <w:t>120</w:t>
            </w:r>
            <w:r>
              <w:rPr>
                <w:color w:val="auto"/>
                <w:sz w:val="24"/>
                <w:highlight w:val="none"/>
              </w:rPr>
              <w:t>t/a。项目生活污水排污系数按0.9计算，则生活污水排放量约为</w:t>
            </w:r>
            <w:r>
              <w:rPr>
                <w:rFonts w:hint="eastAsia"/>
                <w:color w:val="auto"/>
                <w:sz w:val="24"/>
                <w:highlight w:val="none"/>
              </w:rPr>
              <w:t>108t</w:t>
            </w:r>
            <w:r>
              <w:rPr>
                <w:color w:val="auto"/>
                <w:sz w:val="24"/>
                <w:highlight w:val="none"/>
              </w:rPr>
              <w:t>/a，该类污水的主要污染物为COD</w:t>
            </w:r>
            <w:r>
              <w:rPr>
                <w:rFonts w:eastAsia="楷体_GB2312"/>
                <w:color w:val="auto"/>
                <w:sz w:val="24"/>
                <w:highlight w:val="none"/>
                <w:vertAlign w:val="subscript"/>
              </w:rPr>
              <w:t>Cr</w:t>
            </w:r>
            <w:r>
              <w:rPr>
                <w:color w:val="auto"/>
                <w:sz w:val="24"/>
                <w:highlight w:val="none"/>
              </w:rPr>
              <w:t>（</w:t>
            </w:r>
            <w:r>
              <w:rPr>
                <w:rFonts w:hint="eastAsia"/>
                <w:color w:val="auto"/>
                <w:sz w:val="24"/>
                <w:highlight w:val="none"/>
              </w:rPr>
              <w:t>250</w:t>
            </w:r>
            <w:r>
              <w:rPr>
                <w:color w:val="auto"/>
                <w:sz w:val="24"/>
                <w:highlight w:val="none"/>
              </w:rPr>
              <w:t>mg/L）、BOD</w:t>
            </w:r>
            <w:r>
              <w:rPr>
                <w:color w:val="auto"/>
                <w:sz w:val="24"/>
                <w:highlight w:val="none"/>
                <w:vertAlign w:val="subscript"/>
              </w:rPr>
              <w:t>5</w:t>
            </w:r>
            <w:r>
              <w:rPr>
                <w:color w:val="auto"/>
                <w:sz w:val="24"/>
                <w:highlight w:val="none"/>
              </w:rPr>
              <w:t>（</w:t>
            </w:r>
            <w:r>
              <w:rPr>
                <w:rFonts w:hint="eastAsia"/>
                <w:color w:val="auto"/>
                <w:sz w:val="24"/>
                <w:highlight w:val="none"/>
              </w:rPr>
              <w:t>150</w:t>
            </w:r>
            <w:r>
              <w:rPr>
                <w:color w:val="auto"/>
                <w:sz w:val="24"/>
                <w:highlight w:val="none"/>
              </w:rPr>
              <w:t>mg/L）、SS（</w:t>
            </w:r>
            <w:r>
              <w:rPr>
                <w:rFonts w:hint="eastAsia"/>
                <w:color w:val="auto"/>
                <w:sz w:val="24"/>
                <w:highlight w:val="none"/>
              </w:rPr>
              <w:t>150</w:t>
            </w:r>
            <w:r>
              <w:rPr>
                <w:color w:val="auto"/>
                <w:sz w:val="24"/>
                <w:highlight w:val="none"/>
              </w:rPr>
              <w:t>mg/L）、NH</w:t>
            </w:r>
            <w:r>
              <w:rPr>
                <w:color w:val="auto"/>
                <w:sz w:val="24"/>
                <w:highlight w:val="none"/>
                <w:vertAlign w:val="subscript"/>
              </w:rPr>
              <w:t>3</w:t>
            </w:r>
            <w:r>
              <w:rPr>
                <w:color w:val="auto"/>
                <w:sz w:val="24"/>
                <w:highlight w:val="none"/>
              </w:rPr>
              <w:t>-N（25mg/L）。</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lang w:val="zh-CN"/>
              </w:rPr>
              <w:t>生活污水污染物</w:t>
            </w:r>
            <w:r>
              <w:rPr>
                <w:rFonts w:hint="eastAsia" w:eastAsia="宋体" w:cs="Times New Roman"/>
                <w:b/>
                <w:color w:val="auto"/>
                <w:sz w:val="21"/>
                <w:szCs w:val="21"/>
                <w:highlight w:val="none"/>
                <w:lang w:val="zh-CN"/>
              </w:rPr>
              <w:t>产排情况表</w:t>
            </w:r>
          </w:p>
          <w:tbl>
            <w:tblPr>
              <w:tblStyle w:val="40"/>
              <w:tblW w:w="850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362"/>
              <w:gridCol w:w="1361"/>
              <w:gridCol w:w="1361"/>
              <w:gridCol w:w="1530"/>
              <w:gridCol w:w="15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restart"/>
                  <w:tcBorders>
                    <w:tl2br w:val="nil"/>
                    <w:tr2bl w:val="nil"/>
                  </w:tcBorders>
                  <w:vAlign w:val="center"/>
                </w:tcPr>
                <w:p>
                  <w:pPr>
                    <w:widowControl/>
                    <w:jc w:val="center"/>
                    <w:rPr>
                      <w:b/>
                      <w:bCs/>
                      <w:color w:val="auto"/>
                      <w:kern w:val="0"/>
                      <w:szCs w:val="21"/>
                      <w:highlight w:val="none"/>
                    </w:rPr>
                  </w:pPr>
                  <w:r>
                    <w:rPr>
                      <w:b/>
                      <w:bCs/>
                      <w:color w:val="auto"/>
                      <w:kern w:val="0"/>
                      <w:szCs w:val="21"/>
                      <w:highlight w:val="none"/>
                    </w:rPr>
                    <w:t>废水量</w:t>
                  </w:r>
                </w:p>
              </w:tc>
              <w:tc>
                <w:tcPr>
                  <w:tcW w:w="1362" w:type="dxa"/>
                  <w:vMerge w:val="restart"/>
                  <w:tcBorders>
                    <w:tl2br w:val="nil"/>
                    <w:tr2bl w:val="nil"/>
                  </w:tcBorders>
                  <w:vAlign w:val="center"/>
                </w:tcPr>
                <w:p>
                  <w:pPr>
                    <w:widowControl/>
                    <w:jc w:val="center"/>
                    <w:rPr>
                      <w:b/>
                      <w:bCs/>
                      <w:color w:val="auto"/>
                      <w:kern w:val="0"/>
                      <w:szCs w:val="21"/>
                      <w:highlight w:val="none"/>
                    </w:rPr>
                  </w:pPr>
                  <w:r>
                    <w:rPr>
                      <w:b/>
                      <w:bCs/>
                      <w:color w:val="auto"/>
                      <w:kern w:val="0"/>
                      <w:szCs w:val="21"/>
                      <w:highlight w:val="none"/>
                    </w:rPr>
                    <w:t>污染物</w:t>
                  </w:r>
                </w:p>
              </w:tc>
              <w:tc>
                <w:tcPr>
                  <w:tcW w:w="2722" w:type="dxa"/>
                  <w:gridSpan w:val="2"/>
                  <w:tcBorders>
                    <w:tl2br w:val="nil"/>
                    <w:tr2bl w:val="nil"/>
                  </w:tcBorders>
                  <w:vAlign w:val="center"/>
                </w:tcPr>
                <w:p>
                  <w:pPr>
                    <w:widowControl/>
                    <w:jc w:val="center"/>
                    <w:rPr>
                      <w:b/>
                      <w:bCs/>
                      <w:color w:val="auto"/>
                      <w:kern w:val="0"/>
                      <w:szCs w:val="21"/>
                      <w:highlight w:val="none"/>
                    </w:rPr>
                  </w:pPr>
                  <w:r>
                    <w:rPr>
                      <w:b/>
                      <w:bCs/>
                      <w:color w:val="auto"/>
                      <w:kern w:val="0"/>
                      <w:szCs w:val="21"/>
                      <w:highlight w:val="none"/>
                    </w:rPr>
                    <w:t>产生情况</w:t>
                  </w:r>
                </w:p>
              </w:tc>
              <w:tc>
                <w:tcPr>
                  <w:tcW w:w="3056" w:type="dxa"/>
                  <w:gridSpan w:val="2"/>
                  <w:tcBorders>
                    <w:tl2br w:val="nil"/>
                    <w:tr2bl w:val="nil"/>
                  </w:tcBorders>
                  <w:vAlign w:val="center"/>
                </w:tcPr>
                <w:p>
                  <w:pPr>
                    <w:widowControl/>
                    <w:jc w:val="center"/>
                    <w:rPr>
                      <w:b/>
                      <w:bCs/>
                      <w:color w:val="auto"/>
                      <w:kern w:val="0"/>
                      <w:szCs w:val="21"/>
                      <w:highlight w:val="none"/>
                    </w:rPr>
                  </w:pPr>
                  <w:r>
                    <w:rPr>
                      <w:b/>
                      <w:bCs/>
                      <w:color w:val="auto"/>
                      <w:kern w:val="0"/>
                      <w:szCs w:val="21"/>
                      <w:highlight w:val="none"/>
                    </w:rPr>
                    <w:t>排放情况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continue"/>
                  <w:tcBorders>
                    <w:tl2br w:val="nil"/>
                    <w:tr2bl w:val="nil"/>
                  </w:tcBorders>
                  <w:vAlign w:val="center"/>
                </w:tcPr>
                <w:p>
                  <w:pPr>
                    <w:widowControl/>
                    <w:jc w:val="center"/>
                    <w:rPr>
                      <w:b/>
                      <w:bCs/>
                      <w:color w:val="auto"/>
                      <w:kern w:val="0"/>
                      <w:szCs w:val="21"/>
                      <w:highlight w:val="none"/>
                    </w:rPr>
                  </w:pPr>
                </w:p>
              </w:tc>
              <w:tc>
                <w:tcPr>
                  <w:tcW w:w="1362" w:type="dxa"/>
                  <w:vMerge w:val="continue"/>
                  <w:tcBorders>
                    <w:tl2br w:val="nil"/>
                    <w:tr2bl w:val="nil"/>
                  </w:tcBorders>
                  <w:vAlign w:val="center"/>
                </w:tcPr>
                <w:p>
                  <w:pPr>
                    <w:widowControl/>
                    <w:jc w:val="center"/>
                    <w:rPr>
                      <w:b/>
                      <w:bCs/>
                      <w:color w:val="auto"/>
                      <w:kern w:val="0"/>
                      <w:szCs w:val="21"/>
                      <w:highlight w:val="none"/>
                    </w:rPr>
                  </w:pPr>
                </w:p>
              </w:tc>
              <w:tc>
                <w:tcPr>
                  <w:tcW w:w="1361" w:type="dxa"/>
                  <w:tcBorders>
                    <w:tl2br w:val="nil"/>
                    <w:tr2bl w:val="nil"/>
                  </w:tcBorders>
                  <w:vAlign w:val="center"/>
                </w:tcPr>
                <w:p>
                  <w:pPr>
                    <w:widowControl/>
                    <w:jc w:val="center"/>
                    <w:rPr>
                      <w:b/>
                      <w:bCs/>
                      <w:color w:val="auto"/>
                      <w:kern w:val="0"/>
                      <w:szCs w:val="21"/>
                      <w:highlight w:val="none"/>
                    </w:rPr>
                  </w:pPr>
                  <w:r>
                    <w:rPr>
                      <w:b/>
                      <w:bCs/>
                      <w:color w:val="auto"/>
                      <w:kern w:val="0"/>
                      <w:szCs w:val="21"/>
                      <w:highlight w:val="none"/>
                    </w:rPr>
                    <w:t>产生浓度</w:t>
                  </w:r>
                </w:p>
              </w:tc>
              <w:tc>
                <w:tcPr>
                  <w:tcW w:w="1361" w:type="dxa"/>
                  <w:tcBorders>
                    <w:tl2br w:val="nil"/>
                    <w:tr2bl w:val="nil"/>
                  </w:tcBorders>
                  <w:vAlign w:val="center"/>
                </w:tcPr>
                <w:p>
                  <w:pPr>
                    <w:widowControl/>
                    <w:jc w:val="center"/>
                    <w:rPr>
                      <w:b/>
                      <w:bCs/>
                      <w:color w:val="auto"/>
                      <w:kern w:val="0"/>
                      <w:szCs w:val="21"/>
                      <w:highlight w:val="none"/>
                    </w:rPr>
                  </w:pPr>
                  <w:r>
                    <w:rPr>
                      <w:b/>
                      <w:bCs/>
                      <w:color w:val="auto"/>
                      <w:kern w:val="0"/>
                      <w:szCs w:val="21"/>
                      <w:highlight w:val="none"/>
                    </w:rPr>
                    <w:t>产生量</w:t>
                  </w:r>
                </w:p>
              </w:tc>
              <w:tc>
                <w:tcPr>
                  <w:tcW w:w="1530" w:type="dxa"/>
                  <w:tcBorders>
                    <w:tl2br w:val="nil"/>
                    <w:tr2bl w:val="nil"/>
                  </w:tcBorders>
                  <w:vAlign w:val="center"/>
                </w:tcPr>
                <w:p>
                  <w:pPr>
                    <w:widowControl/>
                    <w:jc w:val="center"/>
                    <w:rPr>
                      <w:b/>
                      <w:bCs/>
                      <w:color w:val="auto"/>
                      <w:kern w:val="0"/>
                      <w:szCs w:val="21"/>
                      <w:highlight w:val="none"/>
                    </w:rPr>
                  </w:pPr>
                  <w:r>
                    <w:rPr>
                      <w:b/>
                      <w:bCs/>
                      <w:color w:val="auto"/>
                      <w:kern w:val="0"/>
                      <w:szCs w:val="21"/>
                      <w:highlight w:val="none"/>
                    </w:rPr>
                    <w:t>排放浓度</w:t>
                  </w:r>
                </w:p>
              </w:tc>
              <w:tc>
                <w:tcPr>
                  <w:tcW w:w="1526" w:type="dxa"/>
                  <w:tcBorders>
                    <w:tl2br w:val="nil"/>
                    <w:tr2bl w:val="nil"/>
                  </w:tcBorders>
                  <w:vAlign w:val="center"/>
                </w:tcPr>
                <w:p>
                  <w:pPr>
                    <w:widowControl/>
                    <w:jc w:val="center"/>
                    <w:rPr>
                      <w:b/>
                      <w:bCs/>
                      <w:color w:val="auto"/>
                      <w:kern w:val="0"/>
                      <w:szCs w:val="21"/>
                      <w:highlight w:val="none"/>
                    </w:rPr>
                  </w:pPr>
                  <w:r>
                    <w:rPr>
                      <w:b/>
                      <w:bCs/>
                      <w:color w:val="auto"/>
                      <w:kern w:val="0"/>
                      <w:szCs w:val="21"/>
                      <w:highlight w:val="none"/>
                    </w:rPr>
                    <w:t>排放量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restart"/>
                  <w:tcBorders>
                    <w:tl2br w:val="nil"/>
                    <w:tr2bl w:val="nil"/>
                  </w:tcBorders>
                  <w:vAlign w:val="center"/>
                </w:tcPr>
                <w:p>
                  <w:pPr>
                    <w:jc w:val="center"/>
                    <w:rPr>
                      <w:color w:val="auto"/>
                      <w:szCs w:val="21"/>
                      <w:highlight w:val="none"/>
                    </w:rPr>
                  </w:pPr>
                  <w:r>
                    <w:rPr>
                      <w:rFonts w:hint="eastAsia"/>
                      <w:color w:val="auto"/>
                      <w:szCs w:val="21"/>
                      <w:highlight w:val="none"/>
                    </w:rPr>
                    <w:t>108t</w:t>
                  </w:r>
                  <w:r>
                    <w:rPr>
                      <w:color w:val="auto"/>
                      <w:szCs w:val="21"/>
                      <w:highlight w:val="none"/>
                    </w:rPr>
                    <w:t>/a</w:t>
                  </w:r>
                </w:p>
              </w:tc>
              <w:tc>
                <w:tcPr>
                  <w:tcW w:w="1362" w:type="dxa"/>
                  <w:tcBorders>
                    <w:tl2br w:val="nil"/>
                    <w:tr2bl w:val="nil"/>
                  </w:tcBorders>
                  <w:vAlign w:val="center"/>
                </w:tcPr>
                <w:p>
                  <w:pPr>
                    <w:jc w:val="center"/>
                    <w:rPr>
                      <w:color w:val="auto"/>
                      <w:szCs w:val="21"/>
                      <w:highlight w:val="none"/>
                    </w:rPr>
                  </w:pPr>
                  <w:r>
                    <w:rPr>
                      <w:color w:val="auto"/>
                      <w:szCs w:val="21"/>
                      <w:highlight w:val="none"/>
                    </w:rPr>
                    <w:t>COD</w:t>
                  </w:r>
                </w:p>
              </w:tc>
              <w:tc>
                <w:tcPr>
                  <w:tcW w:w="1361" w:type="dxa"/>
                  <w:tcBorders>
                    <w:tl2br w:val="nil"/>
                    <w:tr2bl w:val="nil"/>
                  </w:tcBorders>
                  <w:vAlign w:val="center"/>
                </w:tcPr>
                <w:p>
                  <w:pPr>
                    <w:jc w:val="center"/>
                    <w:rPr>
                      <w:color w:val="auto"/>
                      <w:szCs w:val="21"/>
                      <w:highlight w:val="none"/>
                    </w:rPr>
                  </w:pPr>
                  <w:r>
                    <w:rPr>
                      <w:color w:val="auto"/>
                      <w:szCs w:val="21"/>
                      <w:highlight w:val="none"/>
                    </w:rPr>
                    <w:t>250</w:t>
                  </w:r>
                  <w:r>
                    <w:rPr>
                      <w:bCs/>
                      <w:color w:val="auto"/>
                      <w:kern w:val="0"/>
                      <w:szCs w:val="21"/>
                      <w:highlight w:val="none"/>
                    </w:rPr>
                    <w:t>mg/L</w:t>
                  </w:r>
                </w:p>
              </w:tc>
              <w:tc>
                <w:tcPr>
                  <w:tcW w:w="1361" w:type="dxa"/>
                  <w:tcBorders>
                    <w:tl2br w:val="nil"/>
                    <w:tr2bl w:val="nil"/>
                  </w:tcBorders>
                  <w:vAlign w:val="center"/>
                </w:tcPr>
                <w:p>
                  <w:pPr>
                    <w:widowControl/>
                    <w:jc w:val="center"/>
                    <w:textAlignment w:val="center"/>
                    <w:rPr>
                      <w:color w:val="auto"/>
                      <w:kern w:val="0"/>
                      <w:szCs w:val="21"/>
                      <w:highlight w:val="none"/>
                    </w:rPr>
                  </w:pPr>
                  <w:r>
                    <w:rPr>
                      <w:color w:val="auto"/>
                      <w:kern w:val="0"/>
                      <w:szCs w:val="21"/>
                      <w:highlight w:val="none"/>
                      <w:lang w:bidi="ar"/>
                    </w:rPr>
                    <w:t>0.027</w:t>
                  </w:r>
                  <w:r>
                    <w:rPr>
                      <w:rFonts w:hint="eastAsia"/>
                      <w:color w:val="auto"/>
                      <w:szCs w:val="21"/>
                      <w:highlight w:val="none"/>
                    </w:rPr>
                    <w:t>t</w:t>
                  </w:r>
                  <w:r>
                    <w:rPr>
                      <w:color w:val="auto"/>
                      <w:szCs w:val="21"/>
                      <w:highlight w:val="none"/>
                    </w:rPr>
                    <w:t>/a</w:t>
                  </w:r>
                  <w:r>
                    <w:rPr>
                      <w:color w:val="auto"/>
                      <w:kern w:val="0"/>
                      <w:szCs w:val="21"/>
                      <w:highlight w:val="none"/>
                      <w:lang w:bidi="ar"/>
                    </w:rPr>
                    <w:t xml:space="preserve"> </w:t>
                  </w:r>
                </w:p>
              </w:tc>
              <w:tc>
                <w:tcPr>
                  <w:tcW w:w="1530" w:type="dxa"/>
                  <w:tcBorders>
                    <w:tl2br w:val="nil"/>
                    <w:tr2bl w:val="nil"/>
                  </w:tcBorders>
                  <w:vAlign w:val="center"/>
                </w:tcPr>
                <w:p>
                  <w:pPr>
                    <w:widowControl/>
                    <w:jc w:val="center"/>
                    <w:rPr>
                      <w:color w:val="auto"/>
                      <w:kern w:val="0"/>
                      <w:szCs w:val="21"/>
                      <w:highlight w:val="none"/>
                    </w:rPr>
                  </w:pPr>
                  <w:r>
                    <w:rPr>
                      <w:color w:val="auto"/>
                      <w:kern w:val="0"/>
                      <w:szCs w:val="21"/>
                      <w:highlight w:val="none"/>
                    </w:rPr>
                    <w:t>200mg/L</w:t>
                  </w:r>
                </w:p>
              </w:tc>
              <w:tc>
                <w:tcPr>
                  <w:tcW w:w="1526" w:type="dxa"/>
                  <w:tcBorders>
                    <w:tl2br w:val="nil"/>
                    <w:tr2bl w:val="nil"/>
                  </w:tcBorders>
                  <w:vAlign w:val="center"/>
                </w:tcPr>
                <w:p>
                  <w:pPr>
                    <w:widowControl/>
                    <w:jc w:val="center"/>
                    <w:textAlignment w:val="center"/>
                    <w:rPr>
                      <w:color w:val="auto"/>
                      <w:kern w:val="0"/>
                      <w:szCs w:val="21"/>
                      <w:highlight w:val="none"/>
                    </w:rPr>
                  </w:pPr>
                  <w:r>
                    <w:rPr>
                      <w:color w:val="auto"/>
                      <w:kern w:val="0"/>
                      <w:szCs w:val="21"/>
                      <w:highlight w:val="none"/>
                      <w:lang w:bidi="ar"/>
                    </w:rPr>
                    <w:t>0.022</w:t>
                  </w:r>
                  <w:r>
                    <w:rPr>
                      <w:rFonts w:hint="eastAsia"/>
                      <w:color w:val="auto"/>
                      <w:szCs w:val="21"/>
                      <w:highlight w:val="none"/>
                    </w:rPr>
                    <w:t>t</w:t>
                  </w:r>
                  <w:r>
                    <w:rPr>
                      <w:color w:val="auto"/>
                      <w:szCs w:val="21"/>
                      <w:highlight w:val="none"/>
                    </w:rPr>
                    <w:t>/a</w:t>
                  </w:r>
                  <w:r>
                    <w:rPr>
                      <w:color w:val="auto"/>
                      <w:kern w:val="0"/>
                      <w:szCs w:val="21"/>
                      <w:highlight w:val="none"/>
                      <w:lang w:bidi="ar"/>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continue"/>
                  <w:tcBorders>
                    <w:tl2br w:val="nil"/>
                    <w:tr2bl w:val="nil"/>
                  </w:tcBorders>
                  <w:vAlign w:val="center"/>
                </w:tcPr>
                <w:p>
                  <w:pPr>
                    <w:widowControl/>
                    <w:jc w:val="center"/>
                    <w:rPr>
                      <w:color w:val="auto"/>
                      <w:szCs w:val="21"/>
                      <w:highlight w:val="none"/>
                    </w:rPr>
                  </w:pPr>
                </w:p>
              </w:tc>
              <w:tc>
                <w:tcPr>
                  <w:tcW w:w="1362" w:type="dxa"/>
                  <w:tcBorders>
                    <w:tl2br w:val="nil"/>
                    <w:tr2bl w:val="nil"/>
                  </w:tcBorders>
                  <w:vAlign w:val="center"/>
                </w:tcPr>
                <w:p>
                  <w:pPr>
                    <w:jc w:val="center"/>
                    <w:rPr>
                      <w:color w:val="auto"/>
                      <w:szCs w:val="21"/>
                      <w:highlight w:val="none"/>
                    </w:rPr>
                  </w:pPr>
                  <w:r>
                    <w:rPr>
                      <w:color w:val="auto"/>
                      <w:szCs w:val="21"/>
                      <w:highlight w:val="none"/>
                    </w:rPr>
                    <w:t>BOD</w:t>
                  </w:r>
                  <w:r>
                    <w:rPr>
                      <w:color w:val="auto"/>
                      <w:szCs w:val="21"/>
                      <w:highlight w:val="none"/>
                      <w:vertAlign w:val="subscript"/>
                    </w:rPr>
                    <w:t>5</w:t>
                  </w:r>
                </w:p>
              </w:tc>
              <w:tc>
                <w:tcPr>
                  <w:tcW w:w="1361" w:type="dxa"/>
                  <w:tcBorders>
                    <w:tl2br w:val="nil"/>
                    <w:tr2bl w:val="nil"/>
                  </w:tcBorders>
                  <w:vAlign w:val="center"/>
                </w:tcPr>
                <w:p>
                  <w:pPr>
                    <w:jc w:val="center"/>
                    <w:rPr>
                      <w:color w:val="auto"/>
                      <w:szCs w:val="21"/>
                      <w:highlight w:val="none"/>
                    </w:rPr>
                  </w:pPr>
                  <w:r>
                    <w:rPr>
                      <w:color w:val="auto"/>
                      <w:szCs w:val="21"/>
                      <w:highlight w:val="none"/>
                    </w:rPr>
                    <w:t>150</w:t>
                  </w:r>
                  <w:r>
                    <w:rPr>
                      <w:bCs/>
                      <w:color w:val="auto"/>
                      <w:kern w:val="0"/>
                      <w:szCs w:val="21"/>
                      <w:highlight w:val="none"/>
                    </w:rPr>
                    <w:t>mg/L</w:t>
                  </w:r>
                </w:p>
              </w:tc>
              <w:tc>
                <w:tcPr>
                  <w:tcW w:w="1361" w:type="dxa"/>
                  <w:tcBorders>
                    <w:tl2br w:val="nil"/>
                    <w:tr2bl w:val="nil"/>
                  </w:tcBorders>
                  <w:vAlign w:val="center"/>
                </w:tcPr>
                <w:p>
                  <w:pPr>
                    <w:widowControl/>
                    <w:jc w:val="center"/>
                    <w:textAlignment w:val="center"/>
                    <w:rPr>
                      <w:color w:val="auto"/>
                      <w:kern w:val="0"/>
                      <w:szCs w:val="21"/>
                      <w:highlight w:val="none"/>
                    </w:rPr>
                  </w:pPr>
                  <w:r>
                    <w:rPr>
                      <w:color w:val="auto"/>
                      <w:kern w:val="0"/>
                      <w:szCs w:val="21"/>
                      <w:highlight w:val="none"/>
                      <w:lang w:bidi="ar"/>
                    </w:rPr>
                    <w:t>0.016</w:t>
                  </w:r>
                  <w:r>
                    <w:rPr>
                      <w:rFonts w:hint="eastAsia"/>
                      <w:color w:val="auto"/>
                      <w:szCs w:val="21"/>
                      <w:highlight w:val="none"/>
                    </w:rPr>
                    <w:t>t</w:t>
                  </w:r>
                  <w:r>
                    <w:rPr>
                      <w:color w:val="auto"/>
                      <w:szCs w:val="21"/>
                      <w:highlight w:val="none"/>
                    </w:rPr>
                    <w:t>/a</w:t>
                  </w:r>
                  <w:r>
                    <w:rPr>
                      <w:color w:val="auto"/>
                      <w:kern w:val="0"/>
                      <w:szCs w:val="21"/>
                      <w:highlight w:val="none"/>
                      <w:lang w:bidi="ar"/>
                    </w:rPr>
                    <w:t xml:space="preserve"> </w:t>
                  </w:r>
                </w:p>
              </w:tc>
              <w:tc>
                <w:tcPr>
                  <w:tcW w:w="1530" w:type="dxa"/>
                  <w:tcBorders>
                    <w:tl2br w:val="nil"/>
                    <w:tr2bl w:val="nil"/>
                  </w:tcBorders>
                  <w:vAlign w:val="center"/>
                </w:tcPr>
                <w:p>
                  <w:pPr>
                    <w:widowControl/>
                    <w:jc w:val="center"/>
                    <w:rPr>
                      <w:color w:val="auto"/>
                      <w:kern w:val="0"/>
                      <w:szCs w:val="21"/>
                      <w:highlight w:val="none"/>
                    </w:rPr>
                  </w:pPr>
                  <w:r>
                    <w:rPr>
                      <w:color w:val="auto"/>
                      <w:kern w:val="0"/>
                      <w:szCs w:val="21"/>
                      <w:highlight w:val="none"/>
                    </w:rPr>
                    <w:t>120mg/L</w:t>
                  </w:r>
                </w:p>
              </w:tc>
              <w:tc>
                <w:tcPr>
                  <w:tcW w:w="1526" w:type="dxa"/>
                  <w:tcBorders>
                    <w:tl2br w:val="nil"/>
                    <w:tr2bl w:val="nil"/>
                  </w:tcBorders>
                  <w:vAlign w:val="center"/>
                </w:tcPr>
                <w:p>
                  <w:pPr>
                    <w:widowControl/>
                    <w:jc w:val="center"/>
                    <w:textAlignment w:val="center"/>
                    <w:rPr>
                      <w:color w:val="auto"/>
                      <w:kern w:val="0"/>
                      <w:szCs w:val="21"/>
                      <w:highlight w:val="none"/>
                    </w:rPr>
                  </w:pPr>
                  <w:r>
                    <w:rPr>
                      <w:color w:val="auto"/>
                      <w:kern w:val="0"/>
                      <w:szCs w:val="21"/>
                      <w:highlight w:val="none"/>
                      <w:lang w:bidi="ar"/>
                    </w:rPr>
                    <w:t>0.013</w:t>
                  </w:r>
                  <w:r>
                    <w:rPr>
                      <w:rFonts w:hint="eastAsia"/>
                      <w:color w:val="auto"/>
                      <w:szCs w:val="21"/>
                      <w:highlight w:val="none"/>
                    </w:rPr>
                    <w:t>t</w:t>
                  </w:r>
                  <w:r>
                    <w:rPr>
                      <w:color w:val="auto"/>
                      <w:szCs w:val="21"/>
                      <w:highlight w:val="none"/>
                    </w:rPr>
                    <w:t>/a</w:t>
                  </w:r>
                  <w:r>
                    <w:rPr>
                      <w:color w:val="auto"/>
                      <w:kern w:val="0"/>
                      <w:szCs w:val="21"/>
                      <w:highlight w:val="none"/>
                      <w:lang w:bidi="ar"/>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continue"/>
                  <w:tcBorders>
                    <w:tl2br w:val="nil"/>
                    <w:tr2bl w:val="nil"/>
                  </w:tcBorders>
                  <w:vAlign w:val="center"/>
                </w:tcPr>
                <w:p>
                  <w:pPr>
                    <w:widowControl/>
                    <w:jc w:val="center"/>
                    <w:rPr>
                      <w:color w:val="auto"/>
                      <w:szCs w:val="21"/>
                      <w:highlight w:val="none"/>
                    </w:rPr>
                  </w:pPr>
                </w:p>
              </w:tc>
              <w:tc>
                <w:tcPr>
                  <w:tcW w:w="1362" w:type="dxa"/>
                  <w:tcBorders>
                    <w:tl2br w:val="nil"/>
                    <w:tr2bl w:val="nil"/>
                  </w:tcBorders>
                  <w:vAlign w:val="center"/>
                </w:tcPr>
                <w:p>
                  <w:pPr>
                    <w:jc w:val="center"/>
                    <w:rPr>
                      <w:color w:val="auto"/>
                      <w:szCs w:val="21"/>
                      <w:highlight w:val="none"/>
                    </w:rPr>
                  </w:pPr>
                  <w:r>
                    <w:rPr>
                      <w:color w:val="auto"/>
                      <w:szCs w:val="21"/>
                      <w:highlight w:val="none"/>
                    </w:rPr>
                    <w:t>SS</w:t>
                  </w:r>
                </w:p>
              </w:tc>
              <w:tc>
                <w:tcPr>
                  <w:tcW w:w="1361" w:type="dxa"/>
                  <w:tcBorders>
                    <w:tl2br w:val="nil"/>
                    <w:tr2bl w:val="nil"/>
                  </w:tcBorders>
                  <w:vAlign w:val="center"/>
                </w:tcPr>
                <w:p>
                  <w:pPr>
                    <w:jc w:val="center"/>
                    <w:rPr>
                      <w:color w:val="auto"/>
                      <w:szCs w:val="21"/>
                      <w:highlight w:val="none"/>
                    </w:rPr>
                  </w:pPr>
                  <w:r>
                    <w:rPr>
                      <w:color w:val="auto"/>
                      <w:szCs w:val="21"/>
                      <w:highlight w:val="none"/>
                    </w:rPr>
                    <w:t>150</w:t>
                  </w:r>
                  <w:r>
                    <w:rPr>
                      <w:bCs/>
                      <w:color w:val="auto"/>
                      <w:kern w:val="0"/>
                      <w:szCs w:val="21"/>
                      <w:highlight w:val="none"/>
                    </w:rPr>
                    <w:t>mg/L</w:t>
                  </w:r>
                </w:p>
              </w:tc>
              <w:tc>
                <w:tcPr>
                  <w:tcW w:w="1361" w:type="dxa"/>
                  <w:tcBorders>
                    <w:tl2br w:val="nil"/>
                    <w:tr2bl w:val="nil"/>
                  </w:tcBorders>
                  <w:vAlign w:val="center"/>
                </w:tcPr>
                <w:p>
                  <w:pPr>
                    <w:widowControl/>
                    <w:jc w:val="center"/>
                    <w:textAlignment w:val="center"/>
                    <w:rPr>
                      <w:color w:val="auto"/>
                      <w:kern w:val="0"/>
                      <w:szCs w:val="21"/>
                      <w:highlight w:val="none"/>
                    </w:rPr>
                  </w:pPr>
                  <w:r>
                    <w:rPr>
                      <w:color w:val="auto"/>
                      <w:kern w:val="0"/>
                      <w:szCs w:val="21"/>
                      <w:highlight w:val="none"/>
                      <w:lang w:bidi="ar"/>
                    </w:rPr>
                    <w:t>0.016</w:t>
                  </w:r>
                  <w:r>
                    <w:rPr>
                      <w:rFonts w:hint="eastAsia"/>
                      <w:color w:val="auto"/>
                      <w:szCs w:val="21"/>
                      <w:highlight w:val="none"/>
                    </w:rPr>
                    <w:t>t</w:t>
                  </w:r>
                  <w:r>
                    <w:rPr>
                      <w:color w:val="auto"/>
                      <w:szCs w:val="21"/>
                      <w:highlight w:val="none"/>
                    </w:rPr>
                    <w:t>/a</w:t>
                  </w:r>
                  <w:r>
                    <w:rPr>
                      <w:color w:val="auto"/>
                      <w:kern w:val="0"/>
                      <w:szCs w:val="21"/>
                      <w:highlight w:val="none"/>
                      <w:lang w:bidi="ar"/>
                    </w:rPr>
                    <w:t xml:space="preserve"> </w:t>
                  </w:r>
                </w:p>
              </w:tc>
              <w:tc>
                <w:tcPr>
                  <w:tcW w:w="1530" w:type="dxa"/>
                  <w:tcBorders>
                    <w:tl2br w:val="nil"/>
                    <w:tr2bl w:val="nil"/>
                  </w:tcBorders>
                  <w:vAlign w:val="center"/>
                </w:tcPr>
                <w:p>
                  <w:pPr>
                    <w:widowControl/>
                    <w:jc w:val="center"/>
                    <w:rPr>
                      <w:color w:val="auto"/>
                      <w:kern w:val="0"/>
                      <w:szCs w:val="21"/>
                      <w:highlight w:val="none"/>
                    </w:rPr>
                  </w:pPr>
                  <w:r>
                    <w:rPr>
                      <w:color w:val="auto"/>
                      <w:kern w:val="0"/>
                      <w:szCs w:val="21"/>
                      <w:highlight w:val="none"/>
                    </w:rPr>
                    <w:t>120mg/L</w:t>
                  </w:r>
                </w:p>
              </w:tc>
              <w:tc>
                <w:tcPr>
                  <w:tcW w:w="1526" w:type="dxa"/>
                  <w:tcBorders>
                    <w:tl2br w:val="nil"/>
                    <w:tr2bl w:val="nil"/>
                  </w:tcBorders>
                  <w:vAlign w:val="center"/>
                </w:tcPr>
                <w:p>
                  <w:pPr>
                    <w:widowControl/>
                    <w:jc w:val="center"/>
                    <w:textAlignment w:val="center"/>
                    <w:rPr>
                      <w:color w:val="auto"/>
                      <w:kern w:val="0"/>
                      <w:szCs w:val="21"/>
                      <w:highlight w:val="none"/>
                    </w:rPr>
                  </w:pPr>
                  <w:r>
                    <w:rPr>
                      <w:color w:val="auto"/>
                      <w:kern w:val="0"/>
                      <w:szCs w:val="21"/>
                      <w:highlight w:val="none"/>
                      <w:lang w:bidi="ar"/>
                    </w:rPr>
                    <w:t>0.013</w:t>
                  </w:r>
                  <w:r>
                    <w:rPr>
                      <w:rFonts w:hint="eastAsia"/>
                      <w:color w:val="auto"/>
                      <w:szCs w:val="21"/>
                      <w:highlight w:val="none"/>
                    </w:rPr>
                    <w:t>t</w:t>
                  </w:r>
                  <w:r>
                    <w:rPr>
                      <w:color w:val="auto"/>
                      <w:szCs w:val="21"/>
                      <w:highlight w:val="none"/>
                    </w:rPr>
                    <w:t>/a</w:t>
                  </w:r>
                  <w:r>
                    <w:rPr>
                      <w:color w:val="auto"/>
                      <w:kern w:val="0"/>
                      <w:szCs w:val="21"/>
                      <w:highlight w:val="none"/>
                      <w:lang w:bidi="ar"/>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continue"/>
                  <w:tcBorders>
                    <w:tl2br w:val="nil"/>
                    <w:tr2bl w:val="nil"/>
                  </w:tcBorders>
                  <w:vAlign w:val="center"/>
                </w:tcPr>
                <w:p>
                  <w:pPr>
                    <w:widowControl/>
                    <w:jc w:val="center"/>
                    <w:rPr>
                      <w:color w:val="auto"/>
                      <w:szCs w:val="21"/>
                      <w:highlight w:val="none"/>
                    </w:rPr>
                  </w:pPr>
                </w:p>
              </w:tc>
              <w:tc>
                <w:tcPr>
                  <w:tcW w:w="1362" w:type="dxa"/>
                  <w:tcBorders>
                    <w:tl2br w:val="nil"/>
                    <w:tr2bl w:val="nil"/>
                  </w:tcBorders>
                  <w:vAlign w:val="center"/>
                </w:tcPr>
                <w:p>
                  <w:pPr>
                    <w:jc w:val="center"/>
                    <w:rPr>
                      <w:color w:val="auto"/>
                      <w:szCs w:val="21"/>
                      <w:highlight w:val="none"/>
                    </w:rPr>
                  </w:pPr>
                  <w:r>
                    <w:rPr>
                      <w:color w:val="auto"/>
                      <w:szCs w:val="21"/>
                      <w:highlight w:val="none"/>
                    </w:rPr>
                    <w:t>NH</w:t>
                  </w:r>
                  <w:r>
                    <w:rPr>
                      <w:color w:val="auto"/>
                      <w:szCs w:val="21"/>
                      <w:highlight w:val="none"/>
                      <w:vertAlign w:val="subscript"/>
                    </w:rPr>
                    <w:t>3</w:t>
                  </w:r>
                  <w:r>
                    <w:rPr>
                      <w:color w:val="auto"/>
                      <w:szCs w:val="21"/>
                      <w:highlight w:val="none"/>
                    </w:rPr>
                    <w:t>-N</w:t>
                  </w:r>
                </w:p>
              </w:tc>
              <w:tc>
                <w:tcPr>
                  <w:tcW w:w="1361" w:type="dxa"/>
                  <w:tcBorders>
                    <w:tl2br w:val="nil"/>
                    <w:tr2bl w:val="nil"/>
                  </w:tcBorders>
                  <w:vAlign w:val="center"/>
                </w:tcPr>
                <w:p>
                  <w:pPr>
                    <w:jc w:val="center"/>
                    <w:rPr>
                      <w:color w:val="auto"/>
                      <w:szCs w:val="21"/>
                      <w:highlight w:val="none"/>
                    </w:rPr>
                  </w:pPr>
                  <w:r>
                    <w:rPr>
                      <w:color w:val="auto"/>
                      <w:szCs w:val="21"/>
                      <w:highlight w:val="none"/>
                    </w:rPr>
                    <w:t>25</w:t>
                  </w:r>
                  <w:r>
                    <w:rPr>
                      <w:bCs/>
                      <w:color w:val="auto"/>
                      <w:kern w:val="0"/>
                      <w:szCs w:val="21"/>
                      <w:highlight w:val="none"/>
                    </w:rPr>
                    <w:t>mg/L</w:t>
                  </w:r>
                </w:p>
              </w:tc>
              <w:tc>
                <w:tcPr>
                  <w:tcW w:w="1361" w:type="dxa"/>
                  <w:tcBorders>
                    <w:tl2br w:val="nil"/>
                    <w:tr2bl w:val="nil"/>
                  </w:tcBorders>
                  <w:vAlign w:val="center"/>
                </w:tcPr>
                <w:p>
                  <w:pPr>
                    <w:widowControl/>
                    <w:jc w:val="center"/>
                    <w:textAlignment w:val="center"/>
                    <w:rPr>
                      <w:color w:val="auto"/>
                      <w:kern w:val="0"/>
                      <w:szCs w:val="21"/>
                      <w:highlight w:val="none"/>
                    </w:rPr>
                  </w:pPr>
                  <w:r>
                    <w:rPr>
                      <w:color w:val="auto"/>
                      <w:kern w:val="0"/>
                      <w:szCs w:val="21"/>
                      <w:highlight w:val="none"/>
                      <w:lang w:bidi="ar"/>
                    </w:rPr>
                    <w:t>0.003</w:t>
                  </w:r>
                  <w:r>
                    <w:rPr>
                      <w:rFonts w:hint="eastAsia"/>
                      <w:color w:val="auto"/>
                      <w:szCs w:val="21"/>
                      <w:highlight w:val="none"/>
                    </w:rPr>
                    <w:t>t</w:t>
                  </w:r>
                  <w:r>
                    <w:rPr>
                      <w:color w:val="auto"/>
                      <w:szCs w:val="21"/>
                      <w:highlight w:val="none"/>
                    </w:rPr>
                    <w:t>/a</w:t>
                  </w:r>
                  <w:r>
                    <w:rPr>
                      <w:color w:val="auto"/>
                      <w:kern w:val="0"/>
                      <w:szCs w:val="21"/>
                      <w:highlight w:val="none"/>
                      <w:lang w:bidi="ar"/>
                    </w:rPr>
                    <w:t xml:space="preserve"> </w:t>
                  </w:r>
                </w:p>
              </w:tc>
              <w:tc>
                <w:tcPr>
                  <w:tcW w:w="1530" w:type="dxa"/>
                  <w:tcBorders>
                    <w:tl2br w:val="nil"/>
                    <w:tr2bl w:val="nil"/>
                  </w:tcBorders>
                  <w:vAlign w:val="center"/>
                </w:tcPr>
                <w:p>
                  <w:pPr>
                    <w:widowControl/>
                    <w:jc w:val="center"/>
                    <w:rPr>
                      <w:color w:val="auto"/>
                      <w:kern w:val="0"/>
                      <w:szCs w:val="21"/>
                      <w:highlight w:val="none"/>
                    </w:rPr>
                  </w:pPr>
                  <w:r>
                    <w:rPr>
                      <w:color w:val="auto"/>
                      <w:kern w:val="0"/>
                      <w:szCs w:val="21"/>
                      <w:highlight w:val="none"/>
                    </w:rPr>
                    <w:t>20mg/L</w:t>
                  </w:r>
                </w:p>
              </w:tc>
              <w:tc>
                <w:tcPr>
                  <w:tcW w:w="1526" w:type="dxa"/>
                  <w:tcBorders>
                    <w:tl2br w:val="nil"/>
                    <w:tr2bl w:val="nil"/>
                  </w:tcBorders>
                  <w:vAlign w:val="center"/>
                </w:tcPr>
                <w:p>
                  <w:pPr>
                    <w:widowControl/>
                    <w:jc w:val="center"/>
                    <w:textAlignment w:val="center"/>
                    <w:rPr>
                      <w:color w:val="auto"/>
                      <w:kern w:val="0"/>
                      <w:szCs w:val="21"/>
                      <w:highlight w:val="none"/>
                    </w:rPr>
                  </w:pPr>
                  <w:r>
                    <w:rPr>
                      <w:color w:val="auto"/>
                      <w:kern w:val="0"/>
                      <w:szCs w:val="21"/>
                      <w:highlight w:val="none"/>
                      <w:lang w:bidi="ar"/>
                    </w:rPr>
                    <w:t>0.002</w:t>
                  </w:r>
                  <w:r>
                    <w:rPr>
                      <w:rFonts w:hint="eastAsia"/>
                      <w:color w:val="auto"/>
                      <w:szCs w:val="21"/>
                      <w:highlight w:val="none"/>
                    </w:rPr>
                    <w:t>t</w:t>
                  </w:r>
                  <w:r>
                    <w:rPr>
                      <w:color w:val="auto"/>
                      <w:szCs w:val="21"/>
                      <w:highlight w:val="none"/>
                    </w:rPr>
                    <w:t>/a</w:t>
                  </w:r>
                  <w:r>
                    <w:rPr>
                      <w:color w:val="auto"/>
                      <w:kern w:val="0"/>
                      <w:szCs w:val="21"/>
                      <w:highlight w:val="none"/>
                      <w:lang w:bidi="ar"/>
                    </w:rPr>
                    <w:t xml:space="preserve"> </w:t>
                  </w:r>
                </w:p>
              </w:tc>
            </w:tr>
          </w:tbl>
          <w:p>
            <w:pPr>
              <w:adjustRightInd w:val="0"/>
              <w:snapToGrid w:val="0"/>
              <w:spacing w:line="360" w:lineRule="auto"/>
              <w:ind w:firstLine="482" w:firstLineChars="200"/>
              <w:rPr>
                <w:b/>
                <w:bCs/>
                <w:color w:val="auto"/>
                <w:sz w:val="24"/>
                <w:highlight w:val="none"/>
              </w:rPr>
            </w:pPr>
            <w:r>
              <w:rPr>
                <w:rFonts w:hint="eastAsia"/>
                <w:b/>
                <w:bCs/>
                <w:color w:val="auto"/>
                <w:sz w:val="24"/>
                <w:highlight w:val="none"/>
              </w:rPr>
              <w:t>三、噪声污染源</w:t>
            </w:r>
          </w:p>
          <w:p>
            <w:pPr>
              <w:spacing w:line="360" w:lineRule="auto"/>
              <w:ind w:firstLine="480" w:firstLineChars="200"/>
              <w:jc w:val="left"/>
              <w:rPr>
                <w:color w:val="auto"/>
                <w:sz w:val="24"/>
                <w:highlight w:val="none"/>
              </w:rPr>
            </w:pPr>
            <w:r>
              <w:rPr>
                <w:rFonts w:hint="eastAsia" w:hAnsi="宋体"/>
                <w:color w:val="auto"/>
                <w:sz w:val="24"/>
                <w:highlight w:val="none"/>
              </w:rPr>
              <w:t>本项目的噪声主要来自生产设备运行时产生的噪声，噪声值约为70～90dB(A)。各类加工机械</w:t>
            </w:r>
            <w:r>
              <w:rPr>
                <w:rFonts w:hint="eastAsia"/>
                <w:color w:val="auto"/>
                <w:sz w:val="24"/>
                <w:highlight w:val="none"/>
              </w:rPr>
              <w:t>具体噪声值见下表。</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hint="eastAsia" w:eastAsia="宋体" w:cs="Times New Roman"/>
                <w:b/>
                <w:color w:val="auto"/>
                <w:sz w:val="21"/>
                <w:szCs w:val="21"/>
                <w:highlight w:val="none"/>
              </w:rPr>
              <w:t xml:space="preserve"> 噪声污染情况一览表</w:t>
            </w:r>
          </w:p>
          <w:tbl>
            <w:tblPr>
              <w:tblStyle w:val="41"/>
              <w:tblW w:w="86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2084"/>
              <w:gridCol w:w="2816"/>
              <w:gridCol w:w="1252"/>
              <w:gridCol w:w="1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9" w:type="dxa"/>
                  <w:vAlign w:val="center"/>
                </w:tcPr>
                <w:p>
                  <w:pPr>
                    <w:spacing w:line="360" w:lineRule="auto"/>
                    <w:jc w:val="center"/>
                    <w:rPr>
                      <w:b/>
                      <w:bCs/>
                      <w:color w:val="auto"/>
                      <w:szCs w:val="21"/>
                      <w:highlight w:val="none"/>
                    </w:rPr>
                  </w:pPr>
                  <w:r>
                    <w:rPr>
                      <w:rFonts w:hint="eastAsia"/>
                      <w:b/>
                      <w:bCs/>
                      <w:color w:val="auto"/>
                      <w:szCs w:val="21"/>
                      <w:highlight w:val="none"/>
                    </w:rPr>
                    <w:t>序号</w:t>
                  </w:r>
                </w:p>
              </w:tc>
              <w:tc>
                <w:tcPr>
                  <w:tcW w:w="2084" w:type="dxa"/>
                  <w:vAlign w:val="center"/>
                </w:tcPr>
                <w:p>
                  <w:pPr>
                    <w:spacing w:line="360" w:lineRule="auto"/>
                    <w:jc w:val="center"/>
                    <w:rPr>
                      <w:b/>
                      <w:bCs/>
                      <w:color w:val="auto"/>
                      <w:szCs w:val="21"/>
                      <w:highlight w:val="none"/>
                    </w:rPr>
                  </w:pPr>
                  <w:r>
                    <w:rPr>
                      <w:rFonts w:hint="eastAsia"/>
                      <w:b/>
                      <w:bCs/>
                      <w:color w:val="auto"/>
                      <w:szCs w:val="21"/>
                      <w:highlight w:val="none"/>
                    </w:rPr>
                    <w:t>噪声源</w:t>
                  </w:r>
                </w:p>
              </w:tc>
              <w:tc>
                <w:tcPr>
                  <w:tcW w:w="2816" w:type="dxa"/>
                  <w:vAlign w:val="center"/>
                </w:tcPr>
                <w:p>
                  <w:pPr>
                    <w:spacing w:line="360" w:lineRule="auto"/>
                    <w:jc w:val="center"/>
                    <w:rPr>
                      <w:b/>
                      <w:bCs/>
                      <w:color w:val="auto"/>
                      <w:szCs w:val="21"/>
                      <w:highlight w:val="none"/>
                    </w:rPr>
                  </w:pPr>
                  <w:r>
                    <w:rPr>
                      <w:rFonts w:hint="eastAsia"/>
                      <w:b/>
                      <w:bCs/>
                      <w:color w:val="auto"/>
                      <w:szCs w:val="21"/>
                      <w:highlight w:val="none"/>
                    </w:rPr>
                    <w:t>噪声</w:t>
                  </w:r>
                  <w:r>
                    <w:rPr>
                      <w:rFonts w:hint="eastAsia" w:eastAsia="宋体"/>
                      <w:b/>
                      <w:bCs/>
                      <w:color w:val="auto"/>
                      <w:sz w:val="21"/>
                      <w:szCs w:val="21"/>
                      <w:highlight w:val="none"/>
                      <w:vertAlign w:val="baseline"/>
                      <w:lang w:eastAsia="zh-CN"/>
                    </w:rPr>
                    <w:t>声功率级</w:t>
                  </w:r>
                  <w:r>
                    <w:rPr>
                      <w:rFonts w:hint="eastAsia"/>
                      <w:b/>
                      <w:bCs/>
                      <w:color w:val="auto"/>
                      <w:szCs w:val="21"/>
                      <w:highlight w:val="none"/>
                    </w:rPr>
                    <w:t>源强dB(A)</w:t>
                  </w:r>
                </w:p>
              </w:tc>
              <w:tc>
                <w:tcPr>
                  <w:tcW w:w="1252" w:type="dxa"/>
                  <w:vAlign w:val="center"/>
                </w:tcPr>
                <w:p>
                  <w:pPr>
                    <w:spacing w:line="360" w:lineRule="auto"/>
                    <w:jc w:val="center"/>
                    <w:rPr>
                      <w:rFonts w:hint="eastAsia" w:eastAsia="宋体"/>
                      <w:b/>
                      <w:bCs/>
                      <w:color w:val="auto"/>
                      <w:szCs w:val="21"/>
                      <w:highlight w:val="none"/>
                      <w:lang w:eastAsia="zh-CN"/>
                    </w:rPr>
                  </w:pPr>
                  <w:r>
                    <w:rPr>
                      <w:rFonts w:hint="eastAsia"/>
                      <w:b/>
                      <w:bCs/>
                      <w:color w:val="auto"/>
                      <w:szCs w:val="21"/>
                      <w:highlight w:val="none"/>
                      <w:lang w:eastAsia="zh-CN"/>
                    </w:rPr>
                    <w:t>取值距离</w:t>
                  </w:r>
                </w:p>
              </w:tc>
              <w:tc>
                <w:tcPr>
                  <w:tcW w:w="1339" w:type="dxa"/>
                  <w:vAlign w:val="center"/>
                </w:tcPr>
                <w:p>
                  <w:pPr>
                    <w:spacing w:line="360" w:lineRule="auto"/>
                    <w:jc w:val="center"/>
                    <w:rPr>
                      <w:rFonts w:hint="eastAsia"/>
                      <w:b/>
                      <w:bCs/>
                      <w:color w:val="auto"/>
                      <w:szCs w:val="21"/>
                      <w:highlight w:val="none"/>
                    </w:rPr>
                  </w:pPr>
                  <w:r>
                    <w:rPr>
                      <w:rFonts w:hint="eastAsia"/>
                      <w:b/>
                      <w:bCs/>
                      <w:color w:val="auto"/>
                      <w:szCs w:val="21"/>
                      <w:highlight w:val="none"/>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highlight w:val="none"/>
                    </w:rPr>
                  </w:pPr>
                  <w:r>
                    <w:rPr>
                      <w:rFonts w:hint="eastAsia"/>
                      <w:color w:val="auto"/>
                      <w:szCs w:val="21"/>
                      <w:highlight w:val="none"/>
                    </w:rPr>
                    <w:t>1</w:t>
                  </w:r>
                </w:p>
              </w:tc>
              <w:tc>
                <w:tcPr>
                  <w:tcW w:w="2084" w:type="dxa"/>
                  <w:vAlign w:val="center"/>
                </w:tcPr>
                <w:p>
                  <w:pPr>
                    <w:widowControl/>
                    <w:spacing w:line="360" w:lineRule="auto"/>
                    <w:jc w:val="center"/>
                    <w:textAlignment w:val="center"/>
                    <w:rPr>
                      <w:color w:val="auto"/>
                      <w:szCs w:val="21"/>
                      <w:highlight w:val="none"/>
                    </w:rPr>
                  </w:pPr>
                  <w:r>
                    <w:rPr>
                      <w:rFonts w:hint="eastAsia"/>
                      <w:color w:val="auto"/>
                      <w:kern w:val="0"/>
                      <w:szCs w:val="21"/>
                      <w:highlight w:val="none"/>
                      <w:lang w:bidi="ar"/>
                    </w:rPr>
                    <w:t>车床</w:t>
                  </w:r>
                </w:p>
              </w:tc>
              <w:tc>
                <w:tcPr>
                  <w:tcW w:w="2816" w:type="dxa"/>
                  <w:vAlign w:val="center"/>
                </w:tcPr>
                <w:p>
                  <w:pPr>
                    <w:spacing w:line="360" w:lineRule="auto"/>
                    <w:jc w:val="center"/>
                    <w:rPr>
                      <w:color w:val="auto"/>
                      <w:szCs w:val="21"/>
                      <w:highlight w:val="none"/>
                    </w:rPr>
                  </w:pPr>
                  <w:r>
                    <w:rPr>
                      <w:rFonts w:hint="eastAsia"/>
                      <w:color w:val="auto"/>
                      <w:szCs w:val="21"/>
                      <w:highlight w:val="none"/>
                    </w:rPr>
                    <w:t>70~80</w:t>
                  </w:r>
                </w:p>
              </w:tc>
              <w:tc>
                <w:tcPr>
                  <w:tcW w:w="1252" w:type="dxa"/>
                  <w:vMerge w:val="restart"/>
                  <w:vAlign w:val="center"/>
                </w:tcPr>
                <w:p>
                  <w:pPr>
                    <w:spacing w:line="360" w:lineRule="auto"/>
                    <w:jc w:val="center"/>
                    <w:rPr>
                      <w:color w:val="auto"/>
                      <w:szCs w:val="21"/>
                      <w:highlight w:val="none"/>
                    </w:rPr>
                  </w:pPr>
                  <w:r>
                    <w:rPr>
                      <w:rFonts w:hint="eastAsia"/>
                      <w:b w:val="0"/>
                      <w:bCs w:val="0"/>
                      <w:color w:val="auto"/>
                      <w:sz w:val="21"/>
                      <w:szCs w:val="21"/>
                      <w:highlight w:val="none"/>
                      <w:vertAlign w:val="baseline"/>
                      <w:lang w:val="en-US" w:eastAsia="zh-CN"/>
                    </w:rPr>
                    <w:t>设备1m处</w:t>
                  </w:r>
                </w:p>
              </w:tc>
              <w:tc>
                <w:tcPr>
                  <w:tcW w:w="1339" w:type="dxa"/>
                  <w:vMerge w:val="restart"/>
                  <w:vAlign w:val="center"/>
                </w:tcPr>
                <w:p>
                  <w:pPr>
                    <w:spacing w:line="360" w:lineRule="auto"/>
                    <w:jc w:val="center"/>
                    <w:rPr>
                      <w:rFonts w:hint="eastAsia"/>
                      <w:color w:val="auto"/>
                      <w:szCs w:val="21"/>
                      <w:highlight w:val="none"/>
                    </w:rPr>
                  </w:pPr>
                  <w:r>
                    <w:rPr>
                      <w:rFonts w:hint="eastAsia"/>
                      <w:color w:val="auto"/>
                      <w:szCs w:val="21"/>
                      <w:highlight w:val="none"/>
                    </w:rPr>
                    <w:t>车间内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highlight w:val="none"/>
                    </w:rPr>
                  </w:pPr>
                  <w:r>
                    <w:rPr>
                      <w:rFonts w:hint="eastAsia"/>
                      <w:color w:val="auto"/>
                      <w:szCs w:val="21"/>
                      <w:highlight w:val="none"/>
                    </w:rPr>
                    <w:t>2</w:t>
                  </w:r>
                </w:p>
              </w:tc>
              <w:tc>
                <w:tcPr>
                  <w:tcW w:w="2084" w:type="dxa"/>
                  <w:vAlign w:val="center"/>
                </w:tcPr>
                <w:p>
                  <w:pPr>
                    <w:widowControl/>
                    <w:spacing w:line="360" w:lineRule="auto"/>
                    <w:jc w:val="center"/>
                    <w:textAlignment w:val="center"/>
                    <w:rPr>
                      <w:color w:val="auto"/>
                      <w:szCs w:val="21"/>
                      <w:highlight w:val="none"/>
                    </w:rPr>
                  </w:pPr>
                  <w:r>
                    <w:rPr>
                      <w:rFonts w:hint="eastAsia"/>
                      <w:color w:val="auto"/>
                      <w:szCs w:val="21"/>
                      <w:highlight w:val="none"/>
                    </w:rPr>
                    <w:t>磨床</w:t>
                  </w:r>
                </w:p>
              </w:tc>
              <w:tc>
                <w:tcPr>
                  <w:tcW w:w="2816" w:type="dxa"/>
                  <w:vAlign w:val="center"/>
                </w:tcPr>
                <w:p>
                  <w:pPr>
                    <w:spacing w:line="360" w:lineRule="auto"/>
                    <w:jc w:val="center"/>
                    <w:rPr>
                      <w:color w:val="auto"/>
                      <w:szCs w:val="21"/>
                      <w:highlight w:val="none"/>
                    </w:rPr>
                  </w:pPr>
                  <w:r>
                    <w:rPr>
                      <w:rFonts w:hint="eastAsia"/>
                      <w:color w:val="auto"/>
                      <w:szCs w:val="21"/>
                      <w:highlight w:val="none"/>
                    </w:rPr>
                    <w:t>70~80</w:t>
                  </w:r>
                </w:p>
              </w:tc>
              <w:tc>
                <w:tcPr>
                  <w:tcW w:w="1252" w:type="dxa"/>
                  <w:vMerge w:val="continue"/>
                  <w:vAlign w:val="center"/>
                </w:tcPr>
                <w:p>
                  <w:pPr>
                    <w:spacing w:line="360" w:lineRule="auto"/>
                    <w:jc w:val="center"/>
                    <w:rPr>
                      <w:color w:val="auto"/>
                      <w:szCs w:val="21"/>
                      <w:highlight w:val="none"/>
                    </w:rPr>
                  </w:pPr>
                </w:p>
              </w:tc>
              <w:tc>
                <w:tcPr>
                  <w:tcW w:w="1339" w:type="dxa"/>
                  <w:vMerge w:val="continue"/>
                  <w:vAlign w:val="center"/>
                </w:tcPr>
                <w:p>
                  <w:pPr>
                    <w:spacing w:line="360" w:lineRule="auto"/>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highlight w:val="none"/>
                    </w:rPr>
                  </w:pPr>
                  <w:r>
                    <w:rPr>
                      <w:rFonts w:hint="eastAsia"/>
                      <w:color w:val="auto"/>
                      <w:szCs w:val="21"/>
                      <w:highlight w:val="none"/>
                    </w:rPr>
                    <w:t>3</w:t>
                  </w:r>
                </w:p>
              </w:tc>
              <w:tc>
                <w:tcPr>
                  <w:tcW w:w="2084" w:type="dxa"/>
                  <w:vAlign w:val="center"/>
                </w:tcPr>
                <w:p>
                  <w:pPr>
                    <w:widowControl/>
                    <w:spacing w:line="360" w:lineRule="auto"/>
                    <w:jc w:val="center"/>
                    <w:textAlignment w:val="center"/>
                    <w:rPr>
                      <w:color w:val="auto"/>
                      <w:szCs w:val="21"/>
                      <w:highlight w:val="none"/>
                    </w:rPr>
                  </w:pPr>
                  <w:r>
                    <w:rPr>
                      <w:color w:val="auto"/>
                      <w:szCs w:val="21"/>
                      <w:highlight w:val="none"/>
                    </w:rPr>
                    <w:t>铣床</w:t>
                  </w:r>
                </w:p>
              </w:tc>
              <w:tc>
                <w:tcPr>
                  <w:tcW w:w="2816" w:type="dxa"/>
                  <w:vAlign w:val="center"/>
                </w:tcPr>
                <w:p>
                  <w:pPr>
                    <w:spacing w:line="360" w:lineRule="auto"/>
                    <w:jc w:val="center"/>
                    <w:rPr>
                      <w:color w:val="auto"/>
                      <w:szCs w:val="21"/>
                      <w:highlight w:val="none"/>
                    </w:rPr>
                  </w:pPr>
                  <w:r>
                    <w:rPr>
                      <w:rFonts w:hint="eastAsia"/>
                      <w:color w:val="auto"/>
                      <w:szCs w:val="21"/>
                      <w:highlight w:val="none"/>
                    </w:rPr>
                    <w:t>70~80</w:t>
                  </w:r>
                </w:p>
              </w:tc>
              <w:tc>
                <w:tcPr>
                  <w:tcW w:w="1252" w:type="dxa"/>
                  <w:vMerge w:val="continue"/>
                  <w:vAlign w:val="center"/>
                </w:tcPr>
                <w:p>
                  <w:pPr>
                    <w:spacing w:line="360" w:lineRule="auto"/>
                    <w:jc w:val="center"/>
                    <w:rPr>
                      <w:color w:val="auto"/>
                      <w:szCs w:val="21"/>
                      <w:highlight w:val="none"/>
                    </w:rPr>
                  </w:pPr>
                </w:p>
              </w:tc>
              <w:tc>
                <w:tcPr>
                  <w:tcW w:w="1339" w:type="dxa"/>
                  <w:vMerge w:val="continue"/>
                  <w:vAlign w:val="center"/>
                </w:tcPr>
                <w:p>
                  <w:pPr>
                    <w:spacing w:line="360" w:lineRule="auto"/>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highlight w:val="none"/>
                    </w:rPr>
                  </w:pPr>
                  <w:r>
                    <w:rPr>
                      <w:rFonts w:hint="eastAsia"/>
                      <w:color w:val="auto"/>
                      <w:szCs w:val="21"/>
                      <w:highlight w:val="none"/>
                    </w:rPr>
                    <w:t>4</w:t>
                  </w:r>
                </w:p>
              </w:tc>
              <w:tc>
                <w:tcPr>
                  <w:tcW w:w="2084" w:type="dxa"/>
                  <w:vAlign w:val="center"/>
                </w:tcPr>
                <w:p>
                  <w:pPr>
                    <w:widowControl/>
                    <w:spacing w:line="360" w:lineRule="auto"/>
                    <w:jc w:val="center"/>
                    <w:textAlignment w:val="center"/>
                    <w:rPr>
                      <w:color w:val="auto"/>
                      <w:szCs w:val="21"/>
                      <w:highlight w:val="none"/>
                    </w:rPr>
                  </w:pPr>
                  <w:r>
                    <w:rPr>
                      <w:rFonts w:hint="eastAsia" w:ascii="宋体" w:hAnsi="宋体" w:cs="宋体"/>
                      <w:color w:val="auto"/>
                      <w:kern w:val="0"/>
                      <w:szCs w:val="21"/>
                      <w:highlight w:val="none"/>
                      <w:lang w:bidi="ar"/>
                    </w:rPr>
                    <w:t>混料机</w:t>
                  </w:r>
                </w:p>
              </w:tc>
              <w:tc>
                <w:tcPr>
                  <w:tcW w:w="2816" w:type="dxa"/>
                  <w:vAlign w:val="center"/>
                </w:tcPr>
                <w:p>
                  <w:pPr>
                    <w:spacing w:line="360" w:lineRule="auto"/>
                    <w:jc w:val="center"/>
                    <w:rPr>
                      <w:color w:val="auto"/>
                      <w:szCs w:val="21"/>
                      <w:highlight w:val="none"/>
                    </w:rPr>
                  </w:pPr>
                  <w:r>
                    <w:rPr>
                      <w:rFonts w:hint="eastAsia"/>
                      <w:color w:val="auto"/>
                      <w:szCs w:val="21"/>
                      <w:highlight w:val="none"/>
                    </w:rPr>
                    <w:t>70~80</w:t>
                  </w:r>
                </w:p>
              </w:tc>
              <w:tc>
                <w:tcPr>
                  <w:tcW w:w="1252" w:type="dxa"/>
                  <w:vMerge w:val="continue"/>
                  <w:vAlign w:val="center"/>
                </w:tcPr>
                <w:p>
                  <w:pPr>
                    <w:spacing w:line="360" w:lineRule="auto"/>
                    <w:jc w:val="center"/>
                    <w:rPr>
                      <w:color w:val="auto"/>
                      <w:szCs w:val="21"/>
                      <w:highlight w:val="none"/>
                    </w:rPr>
                  </w:pPr>
                </w:p>
              </w:tc>
              <w:tc>
                <w:tcPr>
                  <w:tcW w:w="1339" w:type="dxa"/>
                  <w:vMerge w:val="continue"/>
                  <w:vAlign w:val="center"/>
                </w:tcPr>
                <w:p>
                  <w:pPr>
                    <w:spacing w:line="360" w:lineRule="auto"/>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highlight w:val="none"/>
                    </w:rPr>
                  </w:pPr>
                  <w:r>
                    <w:rPr>
                      <w:rFonts w:hint="eastAsia"/>
                      <w:color w:val="auto"/>
                      <w:szCs w:val="21"/>
                      <w:highlight w:val="none"/>
                    </w:rPr>
                    <w:t>5</w:t>
                  </w:r>
                </w:p>
              </w:tc>
              <w:tc>
                <w:tcPr>
                  <w:tcW w:w="2084" w:type="dxa"/>
                  <w:vAlign w:val="center"/>
                </w:tcPr>
                <w:p>
                  <w:pPr>
                    <w:widowControl/>
                    <w:spacing w:line="360" w:lineRule="auto"/>
                    <w:jc w:val="center"/>
                    <w:textAlignment w:val="center"/>
                    <w:rPr>
                      <w:color w:val="auto"/>
                      <w:szCs w:val="21"/>
                      <w:highlight w:val="none"/>
                    </w:rPr>
                  </w:pPr>
                  <w:r>
                    <w:rPr>
                      <w:rFonts w:hint="eastAsia" w:ascii="宋体" w:hAnsi="宋体" w:cs="宋体"/>
                      <w:color w:val="auto"/>
                      <w:kern w:val="0"/>
                      <w:szCs w:val="21"/>
                      <w:highlight w:val="none"/>
                      <w:lang w:bidi="ar"/>
                    </w:rPr>
                    <w:t>注塑机</w:t>
                  </w:r>
                </w:p>
              </w:tc>
              <w:tc>
                <w:tcPr>
                  <w:tcW w:w="2816" w:type="dxa"/>
                  <w:vAlign w:val="center"/>
                </w:tcPr>
                <w:p>
                  <w:pPr>
                    <w:spacing w:line="360" w:lineRule="auto"/>
                    <w:jc w:val="center"/>
                    <w:rPr>
                      <w:color w:val="auto"/>
                      <w:szCs w:val="21"/>
                      <w:highlight w:val="none"/>
                    </w:rPr>
                  </w:pPr>
                  <w:r>
                    <w:rPr>
                      <w:rFonts w:hint="eastAsia"/>
                      <w:color w:val="auto"/>
                      <w:szCs w:val="21"/>
                      <w:highlight w:val="none"/>
                    </w:rPr>
                    <w:t>70~80</w:t>
                  </w:r>
                </w:p>
              </w:tc>
              <w:tc>
                <w:tcPr>
                  <w:tcW w:w="1252" w:type="dxa"/>
                  <w:vMerge w:val="continue"/>
                  <w:vAlign w:val="center"/>
                </w:tcPr>
                <w:p>
                  <w:pPr>
                    <w:spacing w:line="360" w:lineRule="auto"/>
                    <w:jc w:val="center"/>
                    <w:rPr>
                      <w:color w:val="auto"/>
                      <w:szCs w:val="21"/>
                      <w:highlight w:val="none"/>
                    </w:rPr>
                  </w:pPr>
                </w:p>
              </w:tc>
              <w:tc>
                <w:tcPr>
                  <w:tcW w:w="1339" w:type="dxa"/>
                  <w:vMerge w:val="continue"/>
                  <w:vAlign w:val="center"/>
                </w:tcPr>
                <w:p>
                  <w:pPr>
                    <w:spacing w:line="360" w:lineRule="auto"/>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highlight w:val="none"/>
                    </w:rPr>
                  </w:pPr>
                  <w:r>
                    <w:rPr>
                      <w:rFonts w:hint="eastAsia"/>
                      <w:color w:val="auto"/>
                      <w:szCs w:val="21"/>
                      <w:highlight w:val="none"/>
                    </w:rPr>
                    <w:t>6</w:t>
                  </w:r>
                </w:p>
              </w:tc>
              <w:tc>
                <w:tcPr>
                  <w:tcW w:w="2084" w:type="dxa"/>
                  <w:vAlign w:val="center"/>
                </w:tcPr>
                <w:p>
                  <w:pPr>
                    <w:widowControl/>
                    <w:spacing w:line="360" w:lineRule="auto"/>
                    <w:jc w:val="center"/>
                    <w:textAlignment w:val="center"/>
                    <w:rPr>
                      <w:color w:val="auto"/>
                      <w:szCs w:val="21"/>
                      <w:highlight w:val="none"/>
                    </w:rPr>
                  </w:pPr>
                  <w:r>
                    <w:rPr>
                      <w:rFonts w:hint="eastAsia" w:ascii="宋体" w:hAnsi="宋体" w:cs="宋体"/>
                      <w:color w:val="auto"/>
                      <w:kern w:val="0"/>
                      <w:szCs w:val="21"/>
                      <w:highlight w:val="none"/>
                      <w:lang w:bidi="ar"/>
                    </w:rPr>
                    <w:t>破碎机</w:t>
                  </w:r>
                </w:p>
              </w:tc>
              <w:tc>
                <w:tcPr>
                  <w:tcW w:w="2816" w:type="dxa"/>
                  <w:vAlign w:val="center"/>
                </w:tcPr>
                <w:p>
                  <w:pPr>
                    <w:spacing w:line="360" w:lineRule="auto"/>
                    <w:jc w:val="center"/>
                    <w:rPr>
                      <w:color w:val="auto"/>
                      <w:szCs w:val="21"/>
                      <w:highlight w:val="none"/>
                    </w:rPr>
                  </w:pPr>
                  <w:r>
                    <w:rPr>
                      <w:rFonts w:hint="eastAsia"/>
                      <w:color w:val="auto"/>
                      <w:szCs w:val="21"/>
                      <w:highlight w:val="none"/>
                    </w:rPr>
                    <w:t>70~80</w:t>
                  </w:r>
                </w:p>
              </w:tc>
              <w:tc>
                <w:tcPr>
                  <w:tcW w:w="1252" w:type="dxa"/>
                  <w:vMerge w:val="continue"/>
                  <w:vAlign w:val="center"/>
                </w:tcPr>
                <w:p>
                  <w:pPr>
                    <w:spacing w:line="360" w:lineRule="auto"/>
                    <w:jc w:val="center"/>
                    <w:rPr>
                      <w:color w:val="auto"/>
                      <w:szCs w:val="21"/>
                      <w:highlight w:val="none"/>
                    </w:rPr>
                  </w:pPr>
                </w:p>
              </w:tc>
              <w:tc>
                <w:tcPr>
                  <w:tcW w:w="1339" w:type="dxa"/>
                  <w:vMerge w:val="continue"/>
                  <w:vAlign w:val="center"/>
                </w:tcPr>
                <w:p>
                  <w:pPr>
                    <w:spacing w:line="360" w:lineRule="auto"/>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highlight w:val="none"/>
                    </w:rPr>
                  </w:pPr>
                  <w:r>
                    <w:rPr>
                      <w:rFonts w:hint="eastAsia"/>
                      <w:color w:val="auto"/>
                      <w:szCs w:val="21"/>
                      <w:highlight w:val="none"/>
                    </w:rPr>
                    <w:t>7</w:t>
                  </w:r>
                </w:p>
              </w:tc>
              <w:tc>
                <w:tcPr>
                  <w:tcW w:w="2084" w:type="dxa"/>
                  <w:vAlign w:val="center"/>
                </w:tcPr>
                <w:p>
                  <w:pPr>
                    <w:spacing w:line="360" w:lineRule="auto"/>
                    <w:jc w:val="center"/>
                    <w:rPr>
                      <w:color w:val="auto"/>
                      <w:szCs w:val="21"/>
                      <w:highlight w:val="none"/>
                    </w:rPr>
                  </w:pPr>
                  <w:r>
                    <w:rPr>
                      <w:rFonts w:hint="eastAsia"/>
                      <w:color w:val="auto"/>
                      <w:szCs w:val="21"/>
                      <w:highlight w:val="none"/>
                    </w:rPr>
                    <w:t>空压机</w:t>
                  </w:r>
                </w:p>
              </w:tc>
              <w:tc>
                <w:tcPr>
                  <w:tcW w:w="2816" w:type="dxa"/>
                  <w:vAlign w:val="center"/>
                </w:tcPr>
                <w:p>
                  <w:pPr>
                    <w:spacing w:line="360" w:lineRule="auto"/>
                    <w:jc w:val="center"/>
                    <w:rPr>
                      <w:color w:val="auto"/>
                      <w:szCs w:val="21"/>
                      <w:highlight w:val="none"/>
                    </w:rPr>
                  </w:pPr>
                  <w:r>
                    <w:rPr>
                      <w:rFonts w:hint="eastAsia"/>
                      <w:color w:val="auto"/>
                      <w:szCs w:val="21"/>
                      <w:highlight w:val="none"/>
                    </w:rPr>
                    <w:t>80~90</w:t>
                  </w:r>
                </w:p>
              </w:tc>
              <w:tc>
                <w:tcPr>
                  <w:tcW w:w="1252" w:type="dxa"/>
                  <w:vMerge w:val="continue"/>
                  <w:vAlign w:val="center"/>
                </w:tcPr>
                <w:p>
                  <w:pPr>
                    <w:spacing w:line="360" w:lineRule="auto"/>
                    <w:jc w:val="center"/>
                    <w:rPr>
                      <w:color w:val="auto"/>
                      <w:szCs w:val="21"/>
                      <w:highlight w:val="none"/>
                    </w:rPr>
                  </w:pPr>
                </w:p>
              </w:tc>
              <w:tc>
                <w:tcPr>
                  <w:tcW w:w="1339" w:type="dxa"/>
                  <w:vMerge w:val="continue"/>
                  <w:vAlign w:val="center"/>
                </w:tcPr>
                <w:p>
                  <w:pPr>
                    <w:spacing w:line="360" w:lineRule="auto"/>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highlight w:val="none"/>
                    </w:rPr>
                  </w:pPr>
                  <w:r>
                    <w:rPr>
                      <w:rFonts w:hint="eastAsia"/>
                      <w:color w:val="auto"/>
                      <w:szCs w:val="21"/>
                      <w:highlight w:val="none"/>
                    </w:rPr>
                    <w:t>8</w:t>
                  </w:r>
                </w:p>
              </w:tc>
              <w:tc>
                <w:tcPr>
                  <w:tcW w:w="2084" w:type="dxa"/>
                  <w:vAlign w:val="center"/>
                </w:tcPr>
                <w:p>
                  <w:pPr>
                    <w:spacing w:line="360" w:lineRule="auto"/>
                    <w:jc w:val="center"/>
                    <w:rPr>
                      <w:color w:val="auto"/>
                      <w:szCs w:val="21"/>
                      <w:highlight w:val="none"/>
                    </w:rPr>
                  </w:pPr>
                  <w:r>
                    <w:rPr>
                      <w:rFonts w:hint="eastAsia" w:ascii="宋体" w:hAnsi="宋体"/>
                      <w:color w:val="auto"/>
                      <w:szCs w:val="21"/>
                      <w:highlight w:val="none"/>
                    </w:rPr>
                    <w:t>冷却塔</w:t>
                  </w:r>
                </w:p>
              </w:tc>
              <w:tc>
                <w:tcPr>
                  <w:tcW w:w="2816" w:type="dxa"/>
                  <w:vAlign w:val="center"/>
                </w:tcPr>
                <w:p>
                  <w:pPr>
                    <w:spacing w:line="360" w:lineRule="auto"/>
                    <w:jc w:val="center"/>
                    <w:rPr>
                      <w:color w:val="auto"/>
                      <w:szCs w:val="21"/>
                      <w:highlight w:val="none"/>
                    </w:rPr>
                  </w:pPr>
                  <w:r>
                    <w:rPr>
                      <w:rFonts w:hint="eastAsia"/>
                      <w:color w:val="auto"/>
                      <w:szCs w:val="21"/>
                      <w:highlight w:val="none"/>
                    </w:rPr>
                    <w:t>80~90</w:t>
                  </w:r>
                </w:p>
              </w:tc>
              <w:tc>
                <w:tcPr>
                  <w:tcW w:w="1252" w:type="dxa"/>
                  <w:vMerge w:val="continue"/>
                  <w:vAlign w:val="center"/>
                </w:tcPr>
                <w:p>
                  <w:pPr>
                    <w:spacing w:line="360" w:lineRule="auto"/>
                    <w:jc w:val="center"/>
                    <w:rPr>
                      <w:color w:val="auto"/>
                      <w:szCs w:val="21"/>
                      <w:highlight w:val="none"/>
                    </w:rPr>
                  </w:pPr>
                </w:p>
              </w:tc>
              <w:tc>
                <w:tcPr>
                  <w:tcW w:w="1339" w:type="dxa"/>
                  <w:vMerge w:val="continue"/>
                  <w:vAlign w:val="center"/>
                </w:tcPr>
                <w:p>
                  <w:pPr>
                    <w:spacing w:line="360" w:lineRule="auto"/>
                    <w:jc w:val="center"/>
                    <w:rPr>
                      <w:color w:val="auto"/>
                      <w:szCs w:val="21"/>
                      <w:highlight w:val="none"/>
                    </w:rPr>
                  </w:pPr>
                </w:p>
              </w:tc>
            </w:tr>
          </w:tbl>
          <w:p>
            <w:pPr>
              <w:spacing w:line="360" w:lineRule="auto"/>
              <w:ind w:firstLine="472" w:firstLineChars="196"/>
              <w:rPr>
                <w:b/>
                <w:bCs/>
                <w:color w:val="auto"/>
                <w:sz w:val="24"/>
                <w:highlight w:val="none"/>
              </w:rPr>
            </w:pPr>
            <w:r>
              <w:rPr>
                <w:rFonts w:hint="eastAsia"/>
                <w:b/>
                <w:bCs/>
                <w:color w:val="auto"/>
                <w:sz w:val="24"/>
                <w:highlight w:val="none"/>
              </w:rPr>
              <w:t>四、固体废弃物污染源</w:t>
            </w:r>
          </w:p>
          <w:p>
            <w:pPr>
              <w:pStyle w:val="53"/>
              <w:autoSpaceDE/>
              <w:autoSpaceDN/>
              <w:snapToGrid w:val="0"/>
              <w:spacing w:line="360" w:lineRule="auto"/>
              <w:ind w:firstLine="475" w:firstLineChars="197"/>
              <w:textAlignment w:val="auto"/>
              <w:rPr>
                <w:rFonts w:hAnsi="宋体" w:eastAsia="宋体"/>
                <w:bCs/>
                <w:color w:val="auto"/>
                <w:highlight w:val="none"/>
              </w:rPr>
            </w:pPr>
            <w:r>
              <w:rPr>
                <w:rFonts w:hint="eastAsia" w:ascii="宋体" w:hAnsi="宋体" w:eastAsia="宋体"/>
                <w:b/>
                <w:color w:val="auto"/>
                <w:kern w:val="2"/>
                <w:szCs w:val="24"/>
                <w:highlight w:val="none"/>
              </w:rPr>
              <w:t>生活垃圾：</w:t>
            </w:r>
            <w:r>
              <w:rPr>
                <w:rFonts w:hint="eastAsia" w:hAnsi="宋体" w:eastAsia="宋体"/>
                <w:color w:val="auto"/>
                <w:highlight w:val="none"/>
              </w:rPr>
              <w:t>项目员工生活垃圾排放量计算如下：0.5</w:t>
            </w:r>
            <w:r>
              <w:rPr>
                <w:rFonts w:eastAsia="宋体"/>
                <w:color w:val="auto"/>
                <w:highlight w:val="none"/>
              </w:rPr>
              <w:t>kg/</w:t>
            </w:r>
            <w:r>
              <w:rPr>
                <w:rFonts w:hint="eastAsia" w:hAnsi="宋体" w:eastAsia="宋体"/>
                <w:color w:val="auto"/>
                <w:highlight w:val="none"/>
              </w:rPr>
              <w:t>人</w:t>
            </w:r>
            <w:r>
              <w:rPr>
                <w:rFonts w:eastAsia="宋体"/>
                <w:color w:val="auto"/>
                <w:highlight w:val="none"/>
              </w:rPr>
              <w:t>·d×</w:t>
            </w:r>
            <w:r>
              <w:rPr>
                <w:rFonts w:hint="eastAsia" w:eastAsia="宋体"/>
                <w:color w:val="auto"/>
                <w:highlight w:val="none"/>
              </w:rPr>
              <w:t>10</w:t>
            </w:r>
            <w:r>
              <w:rPr>
                <w:rFonts w:hint="eastAsia" w:hAnsi="宋体" w:eastAsia="宋体"/>
                <w:color w:val="auto"/>
                <w:highlight w:val="none"/>
              </w:rPr>
              <w:t>人＝5</w:t>
            </w:r>
            <w:r>
              <w:rPr>
                <w:rFonts w:eastAsia="宋体"/>
                <w:color w:val="auto"/>
                <w:highlight w:val="none"/>
              </w:rPr>
              <w:t>kg/d</w:t>
            </w:r>
            <w:r>
              <w:rPr>
                <w:rFonts w:hint="eastAsia" w:hAnsi="宋体" w:eastAsia="宋体"/>
                <w:color w:val="auto"/>
                <w:highlight w:val="none"/>
              </w:rPr>
              <w:t>，即1.5</w:t>
            </w:r>
            <w:r>
              <w:rPr>
                <w:rFonts w:eastAsia="宋体"/>
                <w:color w:val="auto"/>
                <w:highlight w:val="none"/>
              </w:rPr>
              <w:t>t/a</w:t>
            </w:r>
            <w:r>
              <w:rPr>
                <w:rFonts w:hint="eastAsia" w:hAnsi="宋体" w:eastAsia="宋体"/>
                <w:color w:val="auto"/>
                <w:highlight w:val="none"/>
              </w:rPr>
              <w:t>。</w:t>
            </w:r>
            <w:r>
              <w:rPr>
                <w:rFonts w:hint="eastAsia" w:hAnsi="宋体" w:eastAsia="宋体"/>
                <w:bCs/>
                <w:color w:val="auto"/>
                <w:highlight w:val="none"/>
              </w:rPr>
              <w:t>生活垃圾包括平时生活使用的废旧塑料袋、饮料罐、纸盒等。生活垃圾中铝制罐、塑料瓶、玻璃瓶、报纸等可回收利用物质，分类收集再利用。对堆放点进行消毒杀菌，不能再利用的剩余垃圾交予环卫部门进行集中填埋处理处置。</w:t>
            </w:r>
          </w:p>
          <w:p>
            <w:pPr>
              <w:adjustRightInd w:val="0"/>
              <w:snapToGrid w:val="0"/>
              <w:spacing w:line="360" w:lineRule="auto"/>
              <w:ind w:firstLine="482" w:firstLineChars="200"/>
              <w:rPr>
                <w:color w:val="auto"/>
                <w:sz w:val="24"/>
                <w:highlight w:val="none"/>
              </w:rPr>
            </w:pPr>
            <w:r>
              <w:rPr>
                <w:rFonts w:hint="eastAsia" w:ascii="宋体" w:hAnsi="宋体"/>
                <w:b/>
                <w:color w:val="auto"/>
                <w:sz w:val="24"/>
                <w:highlight w:val="none"/>
              </w:rPr>
              <w:t>一般工业固废</w:t>
            </w:r>
            <w:r>
              <w:rPr>
                <w:rFonts w:hint="eastAsia"/>
                <w:color w:val="auto"/>
                <w:sz w:val="24"/>
                <w:highlight w:val="none"/>
              </w:rPr>
              <w:t>：</w:t>
            </w:r>
            <w:r>
              <w:rPr>
                <w:color w:val="auto"/>
                <w:sz w:val="24"/>
                <w:szCs w:val="22"/>
                <w:highlight w:val="none"/>
              </w:rPr>
              <w:t>根据建设单位提供的资料，</w:t>
            </w:r>
            <w:r>
              <w:rPr>
                <w:bCs/>
                <w:color w:val="auto"/>
                <w:sz w:val="24"/>
                <w:highlight w:val="none"/>
              </w:rPr>
              <w:t>项目</w:t>
            </w:r>
            <w:r>
              <w:rPr>
                <w:rFonts w:hint="eastAsia"/>
                <w:bCs/>
                <w:color w:val="auto"/>
                <w:sz w:val="24"/>
                <w:highlight w:val="none"/>
              </w:rPr>
              <w:t>机加工工序</w:t>
            </w:r>
            <w:r>
              <w:rPr>
                <w:bCs/>
                <w:color w:val="auto"/>
                <w:sz w:val="24"/>
                <w:highlight w:val="none"/>
              </w:rPr>
              <w:t>产生</w:t>
            </w:r>
            <w:r>
              <w:rPr>
                <w:rFonts w:hint="eastAsia"/>
                <w:bCs/>
                <w:color w:val="auto"/>
                <w:sz w:val="24"/>
                <w:highlight w:val="none"/>
              </w:rPr>
              <w:t>金属碎屑、金属</w:t>
            </w:r>
            <w:r>
              <w:rPr>
                <w:bCs/>
                <w:color w:val="auto"/>
                <w:sz w:val="24"/>
                <w:highlight w:val="none"/>
              </w:rPr>
              <w:t>边角料，产生量约为</w:t>
            </w:r>
            <w:r>
              <w:rPr>
                <w:rFonts w:hint="eastAsia"/>
                <w:bCs/>
                <w:color w:val="auto"/>
                <w:sz w:val="24"/>
                <w:highlight w:val="none"/>
              </w:rPr>
              <w:t>1</w:t>
            </w:r>
            <w:r>
              <w:rPr>
                <w:color w:val="auto"/>
                <w:spacing w:val="-2"/>
                <w:sz w:val="24"/>
                <w:highlight w:val="none"/>
              </w:rPr>
              <w:t>t/a</w:t>
            </w:r>
            <w:r>
              <w:rPr>
                <w:bCs/>
                <w:color w:val="auto"/>
                <w:sz w:val="24"/>
                <w:highlight w:val="none"/>
              </w:rPr>
              <w:t>；</w:t>
            </w:r>
            <w:r>
              <w:rPr>
                <w:rFonts w:hint="eastAsia"/>
                <w:bCs/>
                <w:color w:val="auto"/>
                <w:sz w:val="24"/>
                <w:highlight w:val="none"/>
              </w:rPr>
              <w:t>测试工序产生少量不合格品，产生量约为1</w:t>
            </w:r>
            <w:r>
              <w:rPr>
                <w:color w:val="auto"/>
                <w:spacing w:val="-2"/>
                <w:sz w:val="24"/>
                <w:highlight w:val="none"/>
              </w:rPr>
              <w:t>t/a</w:t>
            </w:r>
            <w:r>
              <w:rPr>
                <w:rFonts w:hint="eastAsia"/>
                <w:color w:val="auto"/>
                <w:spacing w:val="-2"/>
                <w:sz w:val="24"/>
                <w:highlight w:val="none"/>
              </w:rPr>
              <w:t>；包装工序产生少量废包装材料</w:t>
            </w:r>
            <w:r>
              <w:rPr>
                <w:rFonts w:hint="eastAsia"/>
                <w:bCs/>
                <w:color w:val="auto"/>
                <w:sz w:val="24"/>
                <w:highlight w:val="none"/>
              </w:rPr>
              <w:t>，产生量约为0.1</w:t>
            </w:r>
            <w:r>
              <w:rPr>
                <w:color w:val="auto"/>
                <w:spacing w:val="-2"/>
                <w:sz w:val="24"/>
                <w:highlight w:val="none"/>
              </w:rPr>
              <w:t>t/a</w:t>
            </w:r>
            <w:r>
              <w:rPr>
                <w:rFonts w:hint="eastAsia"/>
                <w:color w:val="auto"/>
                <w:spacing w:val="-2"/>
                <w:sz w:val="24"/>
                <w:highlight w:val="none"/>
              </w:rPr>
              <w:t>。</w:t>
            </w:r>
            <w:r>
              <w:rPr>
                <w:color w:val="auto"/>
                <w:sz w:val="24"/>
                <w:highlight w:val="none"/>
              </w:rPr>
              <w:t>综上所述，项目一般固废产生量为</w:t>
            </w:r>
            <w:r>
              <w:rPr>
                <w:rFonts w:hint="eastAsia"/>
                <w:color w:val="auto"/>
                <w:sz w:val="24"/>
                <w:highlight w:val="none"/>
              </w:rPr>
              <w:t>2.1</w:t>
            </w:r>
            <w:r>
              <w:rPr>
                <w:color w:val="auto"/>
                <w:spacing w:val="-2"/>
                <w:sz w:val="24"/>
                <w:highlight w:val="none"/>
              </w:rPr>
              <w:t>t/a</w:t>
            </w:r>
            <w:r>
              <w:rPr>
                <w:color w:val="auto"/>
                <w:sz w:val="24"/>
                <w:highlight w:val="none"/>
              </w:rPr>
              <w:t>，经收集后</w:t>
            </w:r>
            <w:r>
              <w:rPr>
                <w:color w:val="auto"/>
                <w:spacing w:val="-2"/>
                <w:sz w:val="24"/>
                <w:highlight w:val="none"/>
              </w:rPr>
              <w:t>交专业公司回收处理</w:t>
            </w:r>
            <w:r>
              <w:rPr>
                <w:color w:val="auto"/>
                <w:sz w:val="24"/>
                <w:highlight w:val="none"/>
              </w:rPr>
              <w:t>。</w:t>
            </w:r>
          </w:p>
          <w:p>
            <w:pPr>
              <w:adjustRightInd w:val="0"/>
              <w:snapToGrid w:val="0"/>
              <w:spacing w:line="360" w:lineRule="auto"/>
              <w:ind w:firstLine="482" w:firstLineChars="200"/>
              <w:rPr>
                <w:color w:val="auto"/>
                <w:sz w:val="24"/>
                <w:highlight w:val="none"/>
              </w:rPr>
            </w:pPr>
            <w:r>
              <w:rPr>
                <w:b/>
                <w:color w:val="auto"/>
                <w:sz w:val="24"/>
                <w:highlight w:val="none"/>
              </w:rPr>
              <w:t>危险废物</w:t>
            </w:r>
            <w:r>
              <w:rPr>
                <w:color w:val="auto"/>
                <w:sz w:val="24"/>
                <w:highlight w:val="none"/>
              </w:rPr>
              <w:t>：</w:t>
            </w:r>
            <w:r>
              <w:rPr>
                <w:rFonts w:hint="eastAsia"/>
                <w:color w:val="auto"/>
                <w:sz w:val="24"/>
                <w:highlight w:val="none"/>
              </w:rPr>
              <w:t>项目危险废物主要包括废液压油油桶、废润滑油油桶、废液压油、废润滑油、废</w:t>
            </w:r>
            <w:r>
              <w:rPr>
                <w:color w:val="auto"/>
                <w:sz w:val="24"/>
                <w:szCs w:val="20"/>
                <w:highlight w:val="none"/>
              </w:rPr>
              <w:t>UV灯管</w:t>
            </w:r>
            <w:r>
              <w:rPr>
                <w:rFonts w:hint="eastAsia"/>
                <w:color w:val="auto"/>
                <w:sz w:val="24"/>
                <w:szCs w:val="20"/>
                <w:highlight w:val="none"/>
              </w:rPr>
              <w:t>、</w:t>
            </w:r>
            <w:r>
              <w:rPr>
                <w:rFonts w:hint="eastAsia"/>
                <w:color w:val="auto"/>
                <w:sz w:val="24"/>
                <w:highlight w:val="none"/>
              </w:rPr>
              <w:t>废活性炭。</w:t>
            </w:r>
          </w:p>
          <w:p>
            <w:pPr>
              <w:adjustRightInd w:val="0"/>
              <w:snapToGrid w:val="0"/>
              <w:spacing w:line="336" w:lineRule="auto"/>
              <w:ind w:firstLine="482"/>
              <w:rPr>
                <w:color w:val="auto"/>
                <w:sz w:val="24"/>
                <w:highlight w:val="none"/>
              </w:rPr>
            </w:pPr>
            <w:r>
              <w:rPr>
                <w:rFonts w:hint="eastAsia"/>
                <w:color w:val="auto"/>
                <w:sz w:val="24"/>
                <w:highlight w:val="none"/>
              </w:rPr>
              <w:t>（1）废液压油油桶、废润滑油油桶</w:t>
            </w:r>
          </w:p>
          <w:p>
            <w:pPr>
              <w:adjustRightInd w:val="0"/>
              <w:snapToGrid w:val="0"/>
              <w:spacing w:line="360" w:lineRule="auto"/>
              <w:ind w:firstLine="480" w:firstLineChars="200"/>
              <w:rPr>
                <w:color w:val="auto"/>
                <w:sz w:val="24"/>
                <w:szCs w:val="22"/>
                <w:highlight w:val="none"/>
              </w:rPr>
            </w:pPr>
            <w:r>
              <w:rPr>
                <w:color w:val="auto"/>
                <w:sz w:val="24"/>
                <w:szCs w:val="22"/>
                <w:highlight w:val="none"/>
              </w:rPr>
              <w:t>项目</w:t>
            </w:r>
            <w:r>
              <w:rPr>
                <w:rFonts w:hint="eastAsia"/>
                <w:color w:val="auto"/>
                <w:sz w:val="24"/>
                <w:szCs w:val="20"/>
                <w:highlight w:val="none"/>
              </w:rPr>
              <w:t>注塑机内部机件润滑使用液压油、车床内部机件润滑使用润滑油，会产生</w:t>
            </w:r>
            <w:r>
              <w:rPr>
                <w:rFonts w:hint="eastAsia"/>
                <w:color w:val="auto"/>
                <w:sz w:val="24"/>
                <w:highlight w:val="none"/>
              </w:rPr>
              <w:t>废液压油油桶、废润滑油油桶</w:t>
            </w:r>
            <w:r>
              <w:rPr>
                <w:color w:val="auto"/>
                <w:sz w:val="24"/>
                <w:szCs w:val="20"/>
                <w:highlight w:val="none"/>
              </w:rPr>
              <w:t>（废物类别：HW49其他废物，废物代码：900-041-49），</w:t>
            </w:r>
            <w:r>
              <w:rPr>
                <w:color w:val="auto"/>
                <w:sz w:val="24"/>
                <w:szCs w:val="22"/>
                <w:highlight w:val="none"/>
              </w:rPr>
              <w:t>产生量约为0.</w:t>
            </w:r>
            <w:r>
              <w:rPr>
                <w:rFonts w:hint="eastAsia"/>
                <w:color w:val="auto"/>
                <w:sz w:val="24"/>
                <w:szCs w:val="22"/>
                <w:highlight w:val="none"/>
              </w:rPr>
              <w:t>02</w:t>
            </w:r>
            <w:r>
              <w:rPr>
                <w:color w:val="auto"/>
                <w:sz w:val="24"/>
                <w:szCs w:val="22"/>
                <w:highlight w:val="none"/>
              </w:rPr>
              <w:t>t/a</w:t>
            </w:r>
            <w:r>
              <w:rPr>
                <w:rFonts w:hint="eastAsia"/>
                <w:color w:val="auto"/>
                <w:sz w:val="24"/>
                <w:szCs w:val="22"/>
                <w:highlight w:val="none"/>
              </w:rPr>
              <w:t>。</w:t>
            </w:r>
            <w:r>
              <w:rPr>
                <w:rFonts w:hint="eastAsia"/>
                <w:color w:val="auto"/>
                <w:sz w:val="24"/>
                <w:highlight w:val="none"/>
              </w:rPr>
              <w:t>收集后暂存于项目危废暂存区，定期交给有危险废物处置资质单位处置。</w:t>
            </w:r>
          </w:p>
          <w:p>
            <w:pPr>
              <w:pStyle w:val="47"/>
              <w:spacing w:line="360" w:lineRule="auto"/>
              <w:rPr>
                <w:color w:val="auto"/>
                <w:highlight w:val="none"/>
              </w:rPr>
            </w:pPr>
            <w:r>
              <w:rPr>
                <w:rFonts w:hint="eastAsia" w:ascii="Times New Roman" w:cs="Times New Roman"/>
                <w:color w:val="auto"/>
                <w:szCs w:val="22"/>
                <w:highlight w:val="none"/>
              </w:rPr>
              <w:t xml:space="preserve">    （2）废液压油、废润滑油</w:t>
            </w:r>
          </w:p>
          <w:p>
            <w:pPr>
              <w:adjustRightInd w:val="0"/>
              <w:snapToGrid w:val="0"/>
              <w:spacing w:line="360" w:lineRule="auto"/>
              <w:ind w:firstLine="480" w:firstLineChars="200"/>
              <w:rPr>
                <w:color w:val="auto"/>
                <w:sz w:val="24"/>
                <w:highlight w:val="none"/>
              </w:rPr>
            </w:pPr>
            <w:r>
              <w:rPr>
                <w:color w:val="auto"/>
                <w:sz w:val="24"/>
                <w:szCs w:val="22"/>
                <w:highlight w:val="none"/>
              </w:rPr>
              <w:t>项目</w:t>
            </w:r>
            <w:r>
              <w:rPr>
                <w:rFonts w:hint="eastAsia"/>
                <w:color w:val="auto"/>
                <w:sz w:val="24"/>
                <w:szCs w:val="20"/>
                <w:highlight w:val="none"/>
              </w:rPr>
              <w:t>注塑机内部机件润滑使用液压油、车床内部机件润滑使用润滑油，</w:t>
            </w:r>
            <w:r>
              <w:rPr>
                <w:rFonts w:hint="eastAsia"/>
                <w:color w:val="auto"/>
                <w:sz w:val="24"/>
                <w:highlight w:val="none"/>
              </w:rPr>
              <w:t>液压油、润滑油</w:t>
            </w:r>
            <w:r>
              <w:rPr>
                <w:color w:val="auto"/>
                <w:sz w:val="24"/>
                <w:highlight w:val="none"/>
              </w:rPr>
              <w:t>需要定期更换，约</w:t>
            </w:r>
            <w:r>
              <w:rPr>
                <w:rFonts w:hint="eastAsia"/>
                <w:color w:val="auto"/>
                <w:sz w:val="24"/>
                <w:highlight w:val="none"/>
              </w:rPr>
              <w:t>一</w:t>
            </w:r>
            <w:r>
              <w:rPr>
                <w:color w:val="auto"/>
                <w:sz w:val="24"/>
                <w:highlight w:val="none"/>
              </w:rPr>
              <w:t>年更换一次，</w:t>
            </w:r>
            <w:r>
              <w:rPr>
                <w:rFonts w:hint="eastAsia"/>
                <w:color w:val="auto"/>
                <w:sz w:val="24"/>
                <w:highlight w:val="none"/>
              </w:rPr>
              <w:t>则</w:t>
            </w:r>
            <w:r>
              <w:rPr>
                <w:color w:val="auto"/>
                <w:sz w:val="24"/>
                <w:highlight w:val="none"/>
              </w:rPr>
              <w:t>废</w:t>
            </w:r>
            <w:r>
              <w:rPr>
                <w:rFonts w:hint="eastAsia"/>
                <w:color w:val="auto"/>
                <w:sz w:val="24"/>
                <w:highlight w:val="none"/>
              </w:rPr>
              <w:t>液压油、废润滑油</w:t>
            </w:r>
            <w:r>
              <w:rPr>
                <w:color w:val="auto"/>
                <w:sz w:val="24"/>
                <w:szCs w:val="20"/>
                <w:highlight w:val="none"/>
              </w:rPr>
              <w:t>（废物类别：</w:t>
            </w:r>
            <w:r>
              <w:rPr>
                <w:color w:val="auto"/>
                <w:sz w:val="24"/>
                <w:highlight w:val="none"/>
              </w:rPr>
              <w:t>HW08 废矿物油与含矿物油废物，废物代码：900-217-08</w:t>
            </w:r>
            <w:r>
              <w:rPr>
                <w:color w:val="auto"/>
                <w:sz w:val="24"/>
                <w:szCs w:val="20"/>
                <w:highlight w:val="none"/>
              </w:rPr>
              <w:t>）</w:t>
            </w:r>
            <w:r>
              <w:rPr>
                <w:rFonts w:hint="eastAsia"/>
                <w:color w:val="auto"/>
                <w:sz w:val="24"/>
                <w:highlight w:val="none"/>
              </w:rPr>
              <w:t>产生量分别为0.17</w:t>
            </w:r>
            <w:r>
              <w:rPr>
                <w:color w:val="auto"/>
                <w:sz w:val="24"/>
                <w:highlight w:val="none"/>
              </w:rPr>
              <w:t>t</w:t>
            </w:r>
            <w:r>
              <w:rPr>
                <w:color w:val="auto"/>
                <w:sz w:val="24"/>
                <w:szCs w:val="22"/>
                <w:highlight w:val="none"/>
              </w:rPr>
              <w:t>/a</w:t>
            </w:r>
            <w:r>
              <w:rPr>
                <w:rFonts w:hint="eastAsia"/>
                <w:color w:val="auto"/>
                <w:sz w:val="24"/>
                <w:szCs w:val="22"/>
                <w:highlight w:val="none"/>
              </w:rPr>
              <w:t>、</w:t>
            </w:r>
            <w:r>
              <w:rPr>
                <w:rFonts w:hint="eastAsia"/>
                <w:color w:val="auto"/>
                <w:sz w:val="24"/>
                <w:highlight w:val="none"/>
              </w:rPr>
              <w:t>0.02</w:t>
            </w:r>
            <w:r>
              <w:rPr>
                <w:color w:val="auto"/>
                <w:sz w:val="24"/>
                <w:highlight w:val="none"/>
              </w:rPr>
              <w:t>t</w:t>
            </w:r>
            <w:r>
              <w:rPr>
                <w:color w:val="auto"/>
                <w:sz w:val="24"/>
                <w:szCs w:val="22"/>
                <w:highlight w:val="none"/>
              </w:rPr>
              <w:t>/a</w:t>
            </w:r>
            <w:r>
              <w:rPr>
                <w:color w:val="auto"/>
                <w:sz w:val="24"/>
                <w:highlight w:val="none"/>
              </w:rPr>
              <w:t>。收集后暂存于项目危废暂存区，定期交具有危废处理资质的单位处理。</w:t>
            </w:r>
          </w:p>
          <w:p>
            <w:pPr>
              <w:pStyle w:val="47"/>
              <w:spacing w:line="360" w:lineRule="auto"/>
              <w:rPr>
                <w:color w:val="auto"/>
                <w:highlight w:val="none"/>
              </w:rPr>
            </w:pPr>
            <w:r>
              <w:rPr>
                <w:rFonts w:hint="eastAsia" w:ascii="Times New Roman"/>
                <w:color w:val="auto"/>
                <w:highlight w:val="none"/>
              </w:rPr>
              <w:t xml:space="preserve">    （3）废UV灯管、废活性炭</w:t>
            </w:r>
          </w:p>
          <w:p>
            <w:pPr>
              <w:pStyle w:val="153"/>
              <w:spacing w:line="360" w:lineRule="auto"/>
              <w:ind w:firstLine="480" w:firstLineChars="200"/>
              <w:rPr>
                <w:rFonts w:ascii="Times New Roman" w:hAnsi="Times New Roman"/>
                <w:bCs/>
                <w:color w:val="auto"/>
                <w:szCs w:val="24"/>
                <w:highlight w:val="none"/>
              </w:rPr>
            </w:pPr>
            <w:r>
              <w:rPr>
                <w:rFonts w:ascii="Times New Roman" w:hAnsi="Times New Roman"/>
                <w:bCs/>
                <w:color w:val="auto"/>
                <w:szCs w:val="24"/>
                <w:highlight w:val="none"/>
              </w:rPr>
              <w:t>项目设置一套</w:t>
            </w:r>
            <w:r>
              <w:rPr>
                <w:rFonts w:ascii="Times New Roman" w:hAnsi="Times New Roman"/>
                <w:color w:val="auto"/>
                <w:highlight w:val="none"/>
              </w:rPr>
              <w:t>UV光解+活性炭吸附装置</w:t>
            </w:r>
            <w:r>
              <w:rPr>
                <w:rFonts w:hint="eastAsia" w:ascii="Times New Roman" w:hAnsi="Times New Roman"/>
                <w:bCs/>
                <w:color w:val="auto"/>
                <w:szCs w:val="24"/>
                <w:highlight w:val="none"/>
              </w:rPr>
              <w:t>。根据工程设计规范，正常情况下，一般处理10000m</w:t>
            </w:r>
            <w:r>
              <w:rPr>
                <w:rFonts w:hint="eastAsia" w:ascii="Times New Roman" w:hAnsi="Times New Roman"/>
                <w:bCs/>
                <w:color w:val="auto"/>
                <w:szCs w:val="24"/>
                <w:highlight w:val="none"/>
                <w:vertAlign w:val="superscript"/>
              </w:rPr>
              <w:t>3</w:t>
            </w:r>
            <w:r>
              <w:rPr>
                <w:rFonts w:hint="eastAsia" w:ascii="Times New Roman" w:hAnsi="Times New Roman"/>
                <w:bCs/>
                <w:color w:val="auto"/>
                <w:szCs w:val="24"/>
                <w:highlight w:val="none"/>
              </w:rPr>
              <w:t>/h的风量的废气，需要配备4kw的</w:t>
            </w:r>
            <w:r>
              <w:rPr>
                <w:rFonts w:ascii="Times New Roman" w:hAnsi="Times New Roman"/>
                <w:color w:val="auto"/>
                <w:highlight w:val="none"/>
              </w:rPr>
              <w:t>UV</w:t>
            </w:r>
            <w:r>
              <w:rPr>
                <w:rFonts w:hint="eastAsia" w:ascii="Times New Roman" w:hAnsi="Times New Roman"/>
                <w:bCs/>
                <w:color w:val="auto"/>
                <w:szCs w:val="24"/>
                <w:highlight w:val="none"/>
              </w:rPr>
              <w:t>灯管，1根灯管的功率为150w。本项目注塑工序风量为</w:t>
            </w:r>
            <w:r>
              <w:rPr>
                <w:rFonts w:hint="eastAsia" w:ascii="Times New Roman" w:hAnsi="Times New Roman"/>
                <w:bCs/>
                <w:color w:val="auto"/>
                <w:szCs w:val="24"/>
                <w:highlight w:val="none"/>
                <w:lang w:val="en-US" w:eastAsia="zh-CN"/>
              </w:rPr>
              <w:t>8181</w:t>
            </w:r>
            <w:r>
              <w:rPr>
                <w:rFonts w:hint="eastAsia" w:ascii="Times New Roman" w:hAnsi="Times New Roman"/>
                <w:bCs/>
                <w:color w:val="auto"/>
                <w:szCs w:val="24"/>
                <w:highlight w:val="none"/>
              </w:rPr>
              <w:t>m</w:t>
            </w:r>
            <w:r>
              <w:rPr>
                <w:rFonts w:hint="eastAsia" w:ascii="Times New Roman" w:hAnsi="Times New Roman"/>
                <w:bCs/>
                <w:color w:val="auto"/>
                <w:szCs w:val="24"/>
                <w:highlight w:val="none"/>
                <w:vertAlign w:val="superscript"/>
              </w:rPr>
              <w:t>3</w:t>
            </w:r>
            <w:r>
              <w:rPr>
                <w:rFonts w:hint="eastAsia" w:ascii="Times New Roman" w:hAnsi="Times New Roman"/>
                <w:bCs/>
                <w:color w:val="auto"/>
                <w:szCs w:val="24"/>
                <w:highlight w:val="none"/>
              </w:rPr>
              <w:t>/h，则需要配备</w:t>
            </w:r>
            <w:r>
              <w:rPr>
                <w:rFonts w:hint="eastAsia" w:ascii="Times New Roman" w:hAnsi="Times New Roman"/>
                <w:bCs/>
                <w:color w:val="auto"/>
                <w:szCs w:val="24"/>
                <w:highlight w:val="none"/>
                <w:lang w:val="en-US" w:eastAsia="zh-CN"/>
              </w:rPr>
              <w:t>3.27</w:t>
            </w:r>
            <w:r>
              <w:rPr>
                <w:rFonts w:hint="eastAsia" w:ascii="Times New Roman" w:hAnsi="Times New Roman"/>
                <w:bCs/>
                <w:color w:val="auto"/>
                <w:szCs w:val="24"/>
                <w:highlight w:val="none"/>
              </w:rPr>
              <w:t>kw的</w:t>
            </w:r>
            <w:r>
              <w:rPr>
                <w:rFonts w:ascii="Times New Roman" w:hAnsi="Times New Roman"/>
                <w:color w:val="auto"/>
                <w:highlight w:val="none"/>
              </w:rPr>
              <w:t>UV</w:t>
            </w:r>
            <w:r>
              <w:rPr>
                <w:rFonts w:hint="eastAsia" w:ascii="Times New Roman" w:hAnsi="Times New Roman"/>
                <w:bCs/>
                <w:color w:val="auto"/>
                <w:szCs w:val="24"/>
                <w:highlight w:val="none"/>
              </w:rPr>
              <w:t>灯管，即需要</w:t>
            </w:r>
            <w:r>
              <w:rPr>
                <w:rFonts w:hint="eastAsia" w:ascii="Times New Roman" w:hAnsi="Times New Roman"/>
                <w:bCs/>
                <w:color w:val="auto"/>
                <w:szCs w:val="24"/>
                <w:highlight w:val="none"/>
                <w:lang w:val="en-US" w:eastAsia="zh-CN"/>
              </w:rPr>
              <w:t>22</w:t>
            </w:r>
            <w:r>
              <w:rPr>
                <w:rFonts w:hint="eastAsia" w:ascii="Times New Roman" w:hAnsi="Times New Roman"/>
                <w:bCs/>
                <w:color w:val="auto"/>
                <w:szCs w:val="24"/>
                <w:highlight w:val="none"/>
              </w:rPr>
              <w:t>根UV灯管。UV灯管</w:t>
            </w:r>
            <w:r>
              <w:rPr>
                <w:rFonts w:ascii="Times New Roman" w:hAnsi="Times New Roman"/>
                <w:bCs/>
                <w:color w:val="auto"/>
                <w:szCs w:val="24"/>
                <w:highlight w:val="none"/>
              </w:rPr>
              <w:t>使用寿命为2400小时，则废紫外灯管</w:t>
            </w:r>
            <w:r>
              <w:rPr>
                <w:rStyle w:val="46"/>
                <w:rFonts w:ascii="Times New Roman" w:hAnsi="Times New Roman"/>
                <w:color w:val="auto"/>
                <w:sz w:val="24"/>
                <w:szCs w:val="24"/>
                <w:highlight w:val="none"/>
              </w:rPr>
              <w:t>（HW29 含汞废物，废物代码：900-023-29）</w:t>
            </w:r>
            <w:r>
              <w:rPr>
                <w:rFonts w:ascii="Times New Roman" w:hAnsi="Times New Roman"/>
                <w:bCs/>
                <w:color w:val="auto"/>
                <w:szCs w:val="24"/>
                <w:highlight w:val="none"/>
              </w:rPr>
              <w:t>年产生量为</w:t>
            </w:r>
            <w:r>
              <w:rPr>
                <w:rFonts w:hint="eastAsia" w:ascii="Times New Roman" w:hAnsi="Times New Roman"/>
                <w:bCs/>
                <w:color w:val="auto"/>
                <w:szCs w:val="24"/>
                <w:highlight w:val="none"/>
                <w:lang w:eastAsia="zh-CN"/>
              </w:rPr>
              <w:t>22根</w:t>
            </w:r>
            <w:r>
              <w:rPr>
                <w:rFonts w:hint="eastAsia" w:ascii="Times New Roman" w:hAnsi="Times New Roman"/>
                <w:bCs/>
                <w:color w:val="auto"/>
                <w:szCs w:val="24"/>
                <w:highlight w:val="none"/>
              </w:rPr>
              <w:t>。</w:t>
            </w:r>
          </w:p>
          <w:p>
            <w:pPr>
              <w:pStyle w:val="153"/>
              <w:spacing w:line="360" w:lineRule="auto"/>
              <w:ind w:firstLine="480" w:firstLineChars="200"/>
              <w:rPr>
                <w:rFonts w:ascii="Times New Roman" w:hAnsi="Times New Roman"/>
                <w:color w:val="auto"/>
                <w:highlight w:val="none"/>
              </w:rPr>
            </w:pPr>
            <w:r>
              <w:rPr>
                <w:rFonts w:hint="eastAsia" w:ascii="Times New Roman" w:hAnsi="Times New Roman"/>
                <w:color w:val="auto"/>
                <w:highlight w:val="none"/>
              </w:rPr>
              <w:t>根据工程设计单位提供的资料，本项目活性炭装置中活性炭的有效填充长度为1</w:t>
            </w:r>
            <w:r>
              <w:rPr>
                <w:rFonts w:hint="eastAsia" w:ascii="Times New Roman" w:hAnsi="Times New Roman"/>
                <w:color w:val="auto"/>
                <w:highlight w:val="none"/>
                <w:lang w:val="en-US" w:eastAsia="zh-CN"/>
              </w:rPr>
              <w:t>.5</w:t>
            </w:r>
            <w:r>
              <w:rPr>
                <w:rFonts w:hint="eastAsia" w:ascii="Times New Roman" w:hAnsi="Times New Roman"/>
                <w:color w:val="auto"/>
                <w:highlight w:val="none"/>
              </w:rPr>
              <w:t>m，宽度为</w:t>
            </w:r>
            <w:r>
              <w:rPr>
                <w:rFonts w:hint="eastAsia" w:ascii="Times New Roman" w:hAnsi="Times New Roman"/>
                <w:color w:val="auto"/>
                <w:highlight w:val="none"/>
                <w:lang w:val="en-US" w:eastAsia="zh-CN"/>
              </w:rPr>
              <w:t>1.2</w:t>
            </w:r>
            <w:r>
              <w:rPr>
                <w:rFonts w:hint="eastAsia" w:ascii="Times New Roman" w:hAnsi="Times New Roman"/>
                <w:color w:val="auto"/>
                <w:highlight w:val="none"/>
              </w:rPr>
              <w:t>m，活性炭层厚为</w:t>
            </w:r>
            <w:r>
              <w:rPr>
                <w:rFonts w:hint="eastAsia" w:ascii="Times New Roman" w:hAnsi="Times New Roman"/>
                <w:color w:val="auto"/>
                <w:highlight w:val="none"/>
                <w:lang w:val="en-US" w:eastAsia="zh-CN"/>
              </w:rPr>
              <w:t>0.9</w:t>
            </w:r>
            <w:r>
              <w:rPr>
                <w:rFonts w:hint="eastAsia" w:ascii="Times New Roman" w:hAnsi="Times New Roman"/>
                <w:color w:val="auto"/>
                <w:highlight w:val="none"/>
              </w:rPr>
              <w:t>m，填充密度为550kg/m</w:t>
            </w:r>
            <w:r>
              <w:rPr>
                <w:rFonts w:hint="eastAsia" w:ascii="Times New Roman" w:hAnsi="Times New Roman"/>
                <w:color w:val="auto"/>
                <w:highlight w:val="none"/>
                <w:vertAlign w:val="superscript"/>
              </w:rPr>
              <w:t>3</w:t>
            </w:r>
            <w:r>
              <w:rPr>
                <w:rFonts w:hint="eastAsia" w:ascii="Times New Roman" w:hAnsi="Times New Roman"/>
                <w:color w:val="auto"/>
                <w:highlight w:val="none"/>
              </w:rPr>
              <w:t>，则活性炭的初次装填量为1</w:t>
            </w:r>
            <w:r>
              <w:rPr>
                <w:rFonts w:hint="eastAsia" w:ascii="Times New Roman" w:hAnsi="Times New Roman"/>
                <w:color w:val="auto"/>
                <w:highlight w:val="none"/>
                <w:lang w:val="en-US" w:eastAsia="zh-CN"/>
              </w:rPr>
              <w:t>.5</w:t>
            </w:r>
            <w:r>
              <w:rPr>
                <w:rFonts w:hint="eastAsia" w:ascii="Times New Roman" w:hAnsi="Times New Roman"/>
                <w:color w:val="auto"/>
                <w:highlight w:val="none"/>
              </w:rPr>
              <w:t>m*</w:t>
            </w:r>
            <w:r>
              <w:rPr>
                <w:rFonts w:hint="eastAsia" w:ascii="Times New Roman" w:hAnsi="Times New Roman"/>
                <w:color w:val="auto"/>
                <w:highlight w:val="none"/>
                <w:lang w:val="en-US" w:eastAsia="zh-CN"/>
              </w:rPr>
              <w:t>1.2</w:t>
            </w:r>
            <w:r>
              <w:rPr>
                <w:rFonts w:hint="eastAsia" w:ascii="Times New Roman" w:hAnsi="Times New Roman"/>
                <w:color w:val="auto"/>
                <w:highlight w:val="none"/>
              </w:rPr>
              <w:t>m*0.</w:t>
            </w:r>
            <w:r>
              <w:rPr>
                <w:rFonts w:hint="eastAsia" w:ascii="Times New Roman" w:hAnsi="Times New Roman"/>
                <w:color w:val="auto"/>
                <w:highlight w:val="none"/>
                <w:lang w:val="en-US" w:eastAsia="zh-CN"/>
              </w:rPr>
              <w:t>9</w:t>
            </w:r>
            <w:r>
              <w:rPr>
                <w:rFonts w:hint="eastAsia" w:ascii="Times New Roman" w:hAnsi="Times New Roman"/>
                <w:color w:val="auto"/>
                <w:highlight w:val="none"/>
              </w:rPr>
              <w:t>m*550kg/m</w:t>
            </w:r>
            <w:r>
              <w:rPr>
                <w:rFonts w:hint="eastAsia" w:ascii="Times New Roman" w:hAnsi="Times New Roman"/>
                <w:color w:val="auto"/>
                <w:highlight w:val="none"/>
                <w:vertAlign w:val="superscript"/>
              </w:rPr>
              <w:t>3</w:t>
            </w:r>
            <w:r>
              <w:rPr>
                <w:rFonts w:hint="eastAsia" w:ascii="Times New Roman" w:hAnsi="Times New Roman"/>
                <w:bCs/>
                <w:color w:val="auto"/>
                <w:szCs w:val="24"/>
                <w:highlight w:val="none"/>
              </w:rPr>
              <w:t>=</w:t>
            </w:r>
            <w:r>
              <w:rPr>
                <w:rFonts w:hint="eastAsia" w:ascii="Times New Roman" w:hAnsi="Times New Roman"/>
                <w:bCs/>
                <w:color w:val="auto"/>
                <w:szCs w:val="24"/>
                <w:highlight w:val="none"/>
                <w:lang w:val="en-US" w:eastAsia="zh-CN"/>
              </w:rPr>
              <w:t>0.891</w:t>
            </w:r>
            <w:r>
              <w:rPr>
                <w:rFonts w:hint="eastAsia" w:ascii="Times New Roman" w:hAnsi="Times New Roman"/>
                <w:bCs/>
                <w:color w:val="auto"/>
                <w:szCs w:val="24"/>
                <w:highlight w:val="none"/>
              </w:rPr>
              <w:t>t。</w:t>
            </w:r>
            <w:r>
              <w:rPr>
                <w:rFonts w:ascii="Times New Roman" w:hAnsi="Times New Roman"/>
                <w:color w:val="auto"/>
                <w:highlight w:val="none"/>
              </w:rPr>
              <w:t>活性炭吸附装置中的活性炭，吸附一段时间后饱和，需要更换，</w:t>
            </w:r>
            <w:r>
              <w:rPr>
                <w:rFonts w:hint="eastAsia" w:ascii="Times New Roman" w:hAnsi="Times New Roman"/>
                <w:color w:val="auto"/>
                <w:highlight w:val="none"/>
              </w:rPr>
              <w:t>每半年更换一次，则更换量为</w:t>
            </w:r>
            <w:r>
              <w:rPr>
                <w:rFonts w:hint="eastAsia" w:ascii="Times New Roman" w:hAnsi="Times New Roman"/>
                <w:color w:val="auto"/>
                <w:highlight w:val="none"/>
                <w:lang w:val="en-US" w:eastAsia="zh-CN"/>
              </w:rPr>
              <w:t>1.782</w:t>
            </w:r>
            <w:r>
              <w:rPr>
                <w:rFonts w:ascii="Times New Roman" w:hAnsi="Times New Roman"/>
                <w:color w:val="auto"/>
                <w:highlight w:val="none"/>
              </w:rPr>
              <w:t>t/a</w:t>
            </w:r>
            <w:r>
              <w:rPr>
                <w:rFonts w:hint="eastAsia" w:ascii="Times New Roman" w:hAnsi="Times New Roman"/>
                <w:color w:val="auto"/>
                <w:highlight w:val="none"/>
              </w:rPr>
              <w:t>。因此废活性炭（</w:t>
            </w:r>
            <w:r>
              <w:rPr>
                <w:rFonts w:ascii="Times New Roman" w:hAnsi="Times New Roman"/>
                <w:color w:val="auto"/>
                <w:highlight w:val="none"/>
              </w:rPr>
              <w:t>废物类别：HW49其他废物，废物代码：900-041-49）</w:t>
            </w:r>
            <w:r>
              <w:rPr>
                <w:rFonts w:hint="eastAsia" w:ascii="Times New Roman" w:hAnsi="Times New Roman"/>
                <w:color w:val="auto"/>
                <w:highlight w:val="none"/>
              </w:rPr>
              <w:t>产生量=更换量+吸附的废气量=</w:t>
            </w:r>
            <w:r>
              <w:rPr>
                <w:rFonts w:hint="eastAsia" w:ascii="Times New Roman" w:hAnsi="Times New Roman"/>
                <w:color w:val="auto"/>
                <w:highlight w:val="none"/>
                <w:lang w:val="en-US" w:eastAsia="zh-CN"/>
              </w:rPr>
              <w:t>1.782</w:t>
            </w:r>
            <w:r>
              <w:rPr>
                <w:rFonts w:ascii="Times New Roman" w:hAnsi="Times New Roman"/>
                <w:color w:val="auto"/>
                <w:highlight w:val="none"/>
              </w:rPr>
              <w:t>t/a</w:t>
            </w:r>
            <w:r>
              <w:rPr>
                <w:rFonts w:hint="eastAsia" w:ascii="Times New Roman" w:hAnsi="Times New Roman"/>
                <w:color w:val="auto"/>
                <w:highlight w:val="none"/>
              </w:rPr>
              <w:t>+</w:t>
            </w:r>
            <w:r>
              <w:rPr>
                <w:rFonts w:hint="eastAsia" w:ascii="Times New Roman" w:hAnsi="Times New Roman"/>
                <w:color w:val="auto"/>
                <w:highlight w:val="none"/>
                <w:lang w:val="en-US" w:eastAsia="zh-CN"/>
              </w:rPr>
              <w:t>0.343</w:t>
            </w:r>
            <w:r>
              <w:rPr>
                <w:rFonts w:ascii="Times New Roman" w:hAnsi="Times New Roman"/>
                <w:color w:val="auto"/>
                <w:highlight w:val="none"/>
              </w:rPr>
              <w:t>t/a</w:t>
            </w:r>
            <w:r>
              <w:rPr>
                <w:rFonts w:hint="eastAsia" w:ascii="Times New Roman" w:hAnsi="Times New Roman"/>
                <w:color w:val="auto"/>
                <w:highlight w:val="none"/>
              </w:rPr>
              <w:t>=</w:t>
            </w:r>
            <w:r>
              <w:rPr>
                <w:rFonts w:hint="eastAsia" w:ascii="Times New Roman" w:hAnsi="Times New Roman"/>
                <w:color w:val="auto"/>
                <w:highlight w:val="none"/>
                <w:lang w:val="en-US" w:eastAsia="zh-CN"/>
              </w:rPr>
              <w:t>2.125</w:t>
            </w:r>
            <w:r>
              <w:rPr>
                <w:rFonts w:ascii="Times New Roman" w:hAnsi="Times New Roman"/>
                <w:color w:val="auto"/>
                <w:highlight w:val="none"/>
              </w:rPr>
              <w:t>t/a</w:t>
            </w:r>
            <w:r>
              <w:rPr>
                <w:rFonts w:hint="eastAsia" w:ascii="Times New Roman" w:hAnsi="Times New Roman"/>
                <w:color w:val="auto"/>
                <w:highlight w:val="none"/>
              </w:rPr>
              <w:t>。</w:t>
            </w:r>
          </w:p>
          <w:p>
            <w:pPr>
              <w:pStyle w:val="153"/>
              <w:spacing w:line="360" w:lineRule="auto"/>
              <w:ind w:firstLine="480" w:firstLineChars="200"/>
              <w:rPr>
                <w:rFonts w:ascii="Times New Roman" w:hAnsi="Times New Roman"/>
                <w:color w:val="auto"/>
                <w:highlight w:val="none"/>
              </w:rPr>
            </w:pPr>
            <w:r>
              <w:rPr>
                <w:rFonts w:hint="eastAsia" w:ascii="Times New Roman" w:hAnsi="Times New Roman"/>
                <w:color w:val="auto"/>
                <w:highlight w:val="none"/>
              </w:rPr>
              <w:t>活性炭装置装填量可行性分析：活性炭的吸附值为0.2kgNMHC /kg，即</w:t>
            </w:r>
            <w:r>
              <w:rPr>
                <w:rFonts w:ascii="Times New Roman" w:hAnsi="Times New Roman"/>
                <w:color w:val="auto"/>
                <w:highlight w:val="none"/>
              </w:rPr>
              <w:t>活性炭用量约为废气去除量（吸附量）的</w:t>
            </w:r>
            <w:r>
              <w:rPr>
                <w:rFonts w:hint="eastAsia" w:ascii="Times New Roman" w:hAnsi="Times New Roman"/>
                <w:color w:val="auto"/>
                <w:highlight w:val="none"/>
              </w:rPr>
              <w:t>5</w:t>
            </w:r>
            <w:r>
              <w:rPr>
                <w:rFonts w:ascii="Times New Roman" w:hAnsi="Times New Roman"/>
                <w:color w:val="auto"/>
                <w:highlight w:val="none"/>
              </w:rPr>
              <w:t>倍</w:t>
            </w:r>
            <w:r>
              <w:rPr>
                <w:rFonts w:hint="eastAsia" w:ascii="Times New Roman" w:hAnsi="Times New Roman"/>
                <w:color w:val="auto"/>
                <w:highlight w:val="none"/>
              </w:rPr>
              <w:t>，本项目非甲烷总烃的吸附量为</w:t>
            </w:r>
            <w:r>
              <w:rPr>
                <w:rFonts w:hint="eastAsia" w:ascii="Times New Roman" w:hAnsi="Times New Roman"/>
                <w:color w:val="auto"/>
                <w:highlight w:val="none"/>
                <w:lang w:val="en-US" w:eastAsia="zh-CN"/>
              </w:rPr>
              <w:t>0.343</w:t>
            </w:r>
            <w:r>
              <w:rPr>
                <w:rFonts w:ascii="Times New Roman" w:hAnsi="Times New Roman"/>
                <w:color w:val="auto"/>
                <w:highlight w:val="none"/>
              </w:rPr>
              <w:t>t/a</w:t>
            </w:r>
            <w:r>
              <w:rPr>
                <w:rFonts w:hint="eastAsia" w:ascii="Times New Roman" w:hAnsi="Times New Roman"/>
                <w:color w:val="auto"/>
                <w:highlight w:val="none"/>
              </w:rPr>
              <w:t>，</w:t>
            </w:r>
            <w:r>
              <w:rPr>
                <w:rFonts w:ascii="Times New Roman" w:hAnsi="Times New Roman"/>
                <w:color w:val="auto"/>
                <w:highlight w:val="none"/>
              </w:rPr>
              <w:t>则活性炭用量</w:t>
            </w:r>
            <w:r>
              <w:rPr>
                <w:rFonts w:hint="eastAsia" w:ascii="Times New Roman" w:hAnsi="Times New Roman"/>
                <w:color w:val="auto"/>
                <w:highlight w:val="none"/>
              </w:rPr>
              <w:t>为</w:t>
            </w:r>
            <w:r>
              <w:rPr>
                <w:rFonts w:hint="eastAsia" w:ascii="Times New Roman" w:hAnsi="Times New Roman"/>
                <w:color w:val="auto"/>
                <w:highlight w:val="none"/>
                <w:lang w:val="en-US" w:eastAsia="zh-CN"/>
              </w:rPr>
              <w:t>1.715</w:t>
            </w:r>
            <w:r>
              <w:rPr>
                <w:rFonts w:ascii="Times New Roman" w:hAnsi="Times New Roman"/>
                <w:color w:val="auto"/>
                <w:highlight w:val="none"/>
              </w:rPr>
              <w:t>t/a</w:t>
            </w:r>
            <w:r>
              <w:rPr>
                <w:rFonts w:hint="eastAsia" w:ascii="Times New Roman" w:hAnsi="Times New Roman"/>
                <w:color w:val="auto"/>
                <w:highlight w:val="none"/>
              </w:rPr>
              <w:t>＜</w:t>
            </w:r>
            <w:r>
              <w:rPr>
                <w:rFonts w:hint="eastAsia" w:ascii="Times New Roman" w:hAnsi="Times New Roman"/>
                <w:color w:val="auto"/>
                <w:highlight w:val="none"/>
                <w:lang w:val="en-US" w:eastAsia="zh-CN"/>
              </w:rPr>
              <w:t>1.782</w:t>
            </w:r>
            <w:r>
              <w:rPr>
                <w:rFonts w:ascii="Times New Roman" w:hAnsi="Times New Roman"/>
                <w:color w:val="auto"/>
                <w:highlight w:val="none"/>
              </w:rPr>
              <w:t>t/a</w:t>
            </w:r>
            <w:r>
              <w:rPr>
                <w:rFonts w:hint="eastAsia" w:ascii="Times New Roman" w:hAnsi="Times New Roman"/>
                <w:color w:val="auto"/>
                <w:highlight w:val="none"/>
              </w:rPr>
              <w:t>，因此本项目设计的活性炭装填量可满足废气处理的需要。</w:t>
            </w:r>
          </w:p>
          <w:p>
            <w:pPr>
              <w:pStyle w:val="153"/>
              <w:spacing w:line="360" w:lineRule="auto"/>
              <w:ind w:firstLine="480" w:firstLineChars="200"/>
              <w:rPr>
                <w:rFonts w:ascii="Times New Roman" w:hAnsi="Times New Roman"/>
                <w:color w:val="auto"/>
                <w:szCs w:val="24"/>
                <w:highlight w:val="none"/>
              </w:rPr>
            </w:pPr>
            <w:r>
              <w:rPr>
                <w:rFonts w:ascii="Times New Roman" w:hAnsi="Times New Roman"/>
                <w:color w:val="auto"/>
                <w:szCs w:val="24"/>
                <w:highlight w:val="none"/>
              </w:rPr>
              <w:t>废UV灯管、废活性炭收集后暂存于项目危废暂存区，定期交具有危废处理资质的单位处理。</w:t>
            </w:r>
          </w:p>
          <w:p>
            <w:pPr>
              <w:pStyle w:val="47"/>
              <w:spacing w:line="360" w:lineRule="auto"/>
              <w:ind w:firstLine="480" w:firstLineChars="200"/>
              <w:rPr>
                <w:rFonts w:ascii="Times New Roman"/>
                <w:color w:val="auto"/>
                <w:highlight w:val="none"/>
              </w:rPr>
            </w:pPr>
            <w:r>
              <w:rPr>
                <w:rFonts w:hint="eastAsia" w:ascii="Times New Roman"/>
                <w:color w:val="auto"/>
                <w:highlight w:val="none"/>
              </w:rPr>
              <w:t>按照《建设项目危险废物环境影响评价指南》（环境保护部公告2017年第43号），本项目所涉及的危险废物产排、处置等情况汇总如下表。</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hint="eastAsia" w:eastAsia="宋体" w:cs="Times New Roman"/>
                <w:b/>
                <w:color w:val="auto"/>
                <w:sz w:val="21"/>
                <w:szCs w:val="21"/>
                <w:highlight w:val="none"/>
              </w:rPr>
              <w:t>危险废物汇总表</w:t>
            </w:r>
          </w:p>
          <w:tbl>
            <w:tblPr>
              <w:tblStyle w:val="40"/>
              <w:tblW w:w="93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5"/>
              <w:gridCol w:w="1127"/>
              <w:gridCol w:w="958"/>
              <w:gridCol w:w="780"/>
              <w:gridCol w:w="966"/>
              <w:gridCol w:w="885"/>
              <w:gridCol w:w="409"/>
              <w:gridCol w:w="875"/>
              <w:gridCol w:w="690"/>
              <w:gridCol w:w="730"/>
              <w:gridCol w:w="555"/>
              <w:gridCol w:w="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blHeader/>
                <w:jc w:val="center"/>
              </w:trPr>
              <w:tc>
                <w:tcPr>
                  <w:tcW w:w="415"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序号</w:t>
                  </w:r>
                </w:p>
              </w:tc>
              <w:tc>
                <w:tcPr>
                  <w:tcW w:w="1127"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危险废物名称</w:t>
                  </w:r>
                </w:p>
              </w:tc>
              <w:tc>
                <w:tcPr>
                  <w:tcW w:w="958"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危险废物类别</w:t>
                  </w:r>
                </w:p>
              </w:tc>
              <w:tc>
                <w:tcPr>
                  <w:tcW w:w="780"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危险废物代码</w:t>
                  </w:r>
                </w:p>
              </w:tc>
              <w:tc>
                <w:tcPr>
                  <w:tcW w:w="966"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产生量</w:t>
                  </w:r>
                </w:p>
              </w:tc>
              <w:tc>
                <w:tcPr>
                  <w:tcW w:w="885"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产生工序及装置</w:t>
                  </w:r>
                </w:p>
              </w:tc>
              <w:tc>
                <w:tcPr>
                  <w:tcW w:w="409"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形态</w:t>
                  </w:r>
                </w:p>
              </w:tc>
              <w:tc>
                <w:tcPr>
                  <w:tcW w:w="875"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主要成分</w:t>
                  </w:r>
                </w:p>
              </w:tc>
              <w:tc>
                <w:tcPr>
                  <w:tcW w:w="690"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有害成分</w:t>
                  </w:r>
                </w:p>
              </w:tc>
              <w:tc>
                <w:tcPr>
                  <w:tcW w:w="730"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产废周期</w:t>
                  </w:r>
                </w:p>
              </w:tc>
              <w:tc>
                <w:tcPr>
                  <w:tcW w:w="555"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危险</w:t>
                  </w:r>
                </w:p>
                <w:p>
                  <w:pPr>
                    <w:topLinePunct/>
                    <w:adjustRightInd w:val="0"/>
                    <w:snapToGrid w:val="0"/>
                    <w:jc w:val="center"/>
                    <w:rPr>
                      <w:b/>
                      <w:bCs/>
                      <w:color w:val="auto"/>
                      <w:kern w:val="0"/>
                      <w:szCs w:val="21"/>
                      <w:highlight w:val="none"/>
                    </w:rPr>
                  </w:pPr>
                  <w:r>
                    <w:rPr>
                      <w:b/>
                      <w:bCs/>
                      <w:color w:val="auto"/>
                      <w:kern w:val="0"/>
                      <w:szCs w:val="21"/>
                      <w:highlight w:val="none"/>
                    </w:rPr>
                    <w:t>特性</w:t>
                  </w:r>
                </w:p>
              </w:tc>
              <w:tc>
                <w:tcPr>
                  <w:tcW w:w="919"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415"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1</w:t>
                  </w:r>
                </w:p>
              </w:tc>
              <w:tc>
                <w:tcPr>
                  <w:tcW w:w="1127"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szCs w:val="21"/>
                      <w:highlight w:val="none"/>
                    </w:rPr>
                    <w:t>废液压油油桶、废润滑油油桶</w:t>
                  </w:r>
                </w:p>
              </w:tc>
              <w:tc>
                <w:tcPr>
                  <w:tcW w:w="958" w:type="dxa"/>
                  <w:tcBorders>
                    <w:tl2br w:val="nil"/>
                    <w:tr2bl w:val="nil"/>
                  </w:tcBorders>
                  <w:vAlign w:val="center"/>
                </w:tcPr>
                <w:p>
                  <w:pPr>
                    <w:topLinePunct/>
                    <w:adjustRightInd w:val="0"/>
                    <w:snapToGrid w:val="0"/>
                    <w:jc w:val="center"/>
                    <w:rPr>
                      <w:color w:val="auto"/>
                      <w:kern w:val="0"/>
                      <w:szCs w:val="21"/>
                      <w:highlight w:val="none"/>
                    </w:rPr>
                  </w:pPr>
                  <w:r>
                    <w:rPr>
                      <w:color w:val="auto"/>
                      <w:kern w:val="0"/>
                      <w:szCs w:val="21"/>
                      <w:highlight w:val="none"/>
                    </w:rPr>
                    <w:t>其它废物</w:t>
                  </w:r>
                </w:p>
              </w:tc>
              <w:tc>
                <w:tcPr>
                  <w:tcW w:w="780" w:type="dxa"/>
                  <w:tcBorders>
                    <w:tl2br w:val="nil"/>
                    <w:tr2bl w:val="nil"/>
                  </w:tcBorders>
                  <w:vAlign w:val="center"/>
                </w:tcPr>
                <w:p>
                  <w:pPr>
                    <w:topLinePunct/>
                    <w:adjustRightInd w:val="0"/>
                    <w:snapToGrid w:val="0"/>
                    <w:jc w:val="center"/>
                    <w:rPr>
                      <w:color w:val="auto"/>
                      <w:kern w:val="0"/>
                      <w:szCs w:val="21"/>
                      <w:highlight w:val="none"/>
                    </w:rPr>
                  </w:pPr>
                  <w:r>
                    <w:rPr>
                      <w:color w:val="auto"/>
                      <w:szCs w:val="21"/>
                      <w:highlight w:val="none"/>
                    </w:rPr>
                    <w:t>900-041-49</w:t>
                  </w:r>
                </w:p>
              </w:tc>
              <w:tc>
                <w:tcPr>
                  <w:tcW w:w="966" w:type="dxa"/>
                  <w:tcBorders>
                    <w:tl2br w:val="nil"/>
                    <w:tr2bl w:val="nil"/>
                  </w:tcBorders>
                  <w:vAlign w:val="center"/>
                </w:tcPr>
                <w:p>
                  <w:pPr>
                    <w:topLinePunct/>
                    <w:adjustRightInd w:val="0"/>
                    <w:snapToGrid w:val="0"/>
                    <w:jc w:val="center"/>
                    <w:rPr>
                      <w:color w:val="auto"/>
                      <w:kern w:val="0"/>
                      <w:szCs w:val="21"/>
                      <w:highlight w:val="none"/>
                    </w:rPr>
                  </w:pPr>
                  <w:r>
                    <w:rPr>
                      <w:color w:val="auto"/>
                      <w:kern w:val="0"/>
                      <w:szCs w:val="21"/>
                      <w:highlight w:val="none"/>
                    </w:rPr>
                    <w:t>0.0</w:t>
                  </w:r>
                  <w:r>
                    <w:rPr>
                      <w:rFonts w:hint="eastAsia"/>
                      <w:color w:val="auto"/>
                      <w:kern w:val="0"/>
                      <w:szCs w:val="21"/>
                      <w:highlight w:val="none"/>
                    </w:rPr>
                    <w:t>2t</w:t>
                  </w:r>
                  <w:r>
                    <w:rPr>
                      <w:color w:val="auto"/>
                      <w:kern w:val="0"/>
                      <w:szCs w:val="21"/>
                      <w:highlight w:val="none"/>
                    </w:rPr>
                    <w:t>/</w:t>
                  </w:r>
                  <w:r>
                    <w:rPr>
                      <w:rFonts w:hint="eastAsia"/>
                      <w:color w:val="auto"/>
                      <w:kern w:val="0"/>
                      <w:szCs w:val="21"/>
                      <w:highlight w:val="none"/>
                    </w:rPr>
                    <w:t>a</w:t>
                  </w:r>
                </w:p>
              </w:tc>
              <w:tc>
                <w:tcPr>
                  <w:tcW w:w="885"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设备内部机件润滑</w:t>
                  </w:r>
                </w:p>
              </w:tc>
              <w:tc>
                <w:tcPr>
                  <w:tcW w:w="409" w:type="dxa"/>
                  <w:tcBorders>
                    <w:tl2br w:val="nil"/>
                    <w:tr2bl w:val="nil"/>
                  </w:tcBorders>
                  <w:vAlign w:val="center"/>
                </w:tcPr>
                <w:p>
                  <w:pPr>
                    <w:topLinePunct/>
                    <w:adjustRightInd w:val="0"/>
                    <w:snapToGrid w:val="0"/>
                    <w:jc w:val="center"/>
                    <w:rPr>
                      <w:color w:val="auto"/>
                      <w:kern w:val="0"/>
                      <w:szCs w:val="21"/>
                      <w:highlight w:val="none"/>
                    </w:rPr>
                  </w:pPr>
                  <w:r>
                    <w:rPr>
                      <w:bCs/>
                      <w:color w:val="auto"/>
                      <w:szCs w:val="21"/>
                      <w:highlight w:val="none"/>
                    </w:rPr>
                    <w:t>固态</w:t>
                  </w:r>
                </w:p>
              </w:tc>
              <w:tc>
                <w:tcPr>
                  <w:tcW w:w="875"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szCs w:val="21"/>
                      <w:highlight w:val="none"/>
                    </w:rPr>
                    <w:t>废液压油油桶、废润滑油油桶</w:t>
                  </w:r>
                </w:p>
              </w:tc>
              <w:tc>
                <w:tcPr>
                  <w:tcW w:w="690" w:type="dxa"/>
                  <w:tcBorders>
                    <w:tl2br w:val="nil"/>
                    <w:tr2bl w:val="nil"/>
                  </w:tcBorders>
                  <w:vAlign w:val="center"/>
                </w:tcPr>
                <w:p>
                  <w:pPr>
                    <w:topLinePunct/>
                    <w:adjustRightInd w:val="0"/>
                    <w:snapToGrid w:val="0"/>
                    <w:jc w:val="center"/>
                    <w:rPr>
                      <w:color w:val="auto"/>
                      <w:kern w:val="0"/>
                      <w:szCs w:val="21"/>
                      <w:highlight w:val="none"/>
                    </w:rPr>
                  </w:pPr>
                  <w:r>
                    <w:rPr>
                      <w:rFonts w:hint="eastAsia"/>
                      <w:bCs/>
                      <w:color w:val="auto"/>
                      <w:szCs w:val="21"/>
                      <w:highlight w:val="none"/>
                    </w:rPr>
                    <w:t>石油类</w:t>
                  </w:r>
                </w:p>
              </w:tc>
              <w:tc>
                <w:tcPr>
                  <w:tcW w:w="730" w:type="dxa"/>
                  <w:tcBorders>
                    <w:tl2br w:val="nil"/>
                    <w:tr2bl w:val="nil"/>
                  </w:tcBorders>
                  <w:vAlign w:val="center"/>
                </w:tcPr>
                <w:p>
                  <w:pPr>
                    <w:topLinePunct/>
                    <w:adjustRightInd w:val="0"/>
                    <w:snapToGrid w:val="0"/>
                    <w:jc w:val="center"/>
                    <w:rPr>
                      <w:color w:val="auto"/>
                      <w:kern w:val="0"/>
                      <w:szCs w:val="21"/>
                      <w:highlight w:val="none"/>
                    </w:rPr>
                  </w:pPr>
                  <w:r>
                    <w:rPr>
                      <w:rFonts w:hint="eastAsia"/>
                      <w:bCs/>
                      <w:color w:val="auto"/>
                      <w:szCs w:val="21"/>
                      <w:highlight w:val="none"/>
                    </w:rPr>
                    <w:t>1</w:t>
                  </w:r>
                  <w:r>
                    <w:rPr>
                      <w:bCs/>
                      <w:color w:val="auto"/>
                      <w:szCs w:val="21"/>
                      <w:highlight w:val="none"/>
                    </w:rPr>
                    <w:t>年</w:t>
                  </w:r>
                </w:p>
              </w:tc>
              <w:tc>
                <w:tcPr>
                  <w:tcW w:w="555" w:type="dxa"/>
                  <w:tcBorders>
                    <w:tl2br w:val="nil"/>
                    <w:tr2bl w:val="nil"/>
                  </w:tcBorders>
                  <w:vAlign w:val="center"/>
                </w:tcPr>
                <w:p>
                  <w:pPr>
                    <w:topLinePunct/>
                    <w:adjustRightInd w:val="0"/>
                    <w:snapToGrid w:val="0"/>
                    <w:jc w:val="center"/>
                    <w:rPr>
                      <w:color w:val="auto"/>
                      <w:kern w:val="0"/>
                      <w:szCs w:val="21"/>
                      <w:highlight w:val="none"/>
                    </w:rPr>
                  </w:pPr>
                  <w:r>
                    <w:rPr>
                      <w:color w:val="auto"/>
                      <w:kern w:val="0"/>
                      <w:szCs w:val="21"/>
                      <w:highlight w:val="none"/>
                    </w:rPr>
                    <w:t xml:space="preserve">T/In </w:t>
                  </w:r>
                </w:p>
              </w:tc>
              <w:tc>
                <w:tcPr>
                  <w:tcW w:w="919" w:type="dxa"/>
                  <w:vMerge w:val="restart"/>
                  <w:tcBorders>
                    <w:tl2br w:val="nil"/>
                    <w:tr2bl w:val="nil"/>
                  </w:tcBorders>
                  <w:vAlign w:val="center"/>
                </w:tcPr>
                <w:p>
                  <w:pPr>
                    <w:topLinePunct/>
                    <w:adjustRightInd w:val="0"/>
                    <w:snapToGrid w:val="0"/>
                    <w:jc w:val="center"/>
                    <w:rPr>
                      <w:bCs/>
                      <w:color w:val="auto"/>
                      <w:kern w:val="0"/>
                      <w:szCs w:val="21"/>
                      <w:highlight w:val="none"/>
                    </w:rPr>
                  </w:pPr>
                  <w:r>
                    <w:rPr>
                      <w:bCs/>
                      <w:color w:val="auto"/>
                      <w:kern w:val="0"/>
                      <w:szCs w:val="21"/>
                      <w:highlight w:val="none"/>
                    </w:rPr>
                    <w:t>暂存于项目内危废暂存区，定期交</w:t>
                  </w:r>
                  <w:r>
                    <w:rPr>
                      <w:rFonts w:hint="eastAsia"/>
                      <w:bCs/>
                      <w:color w:val="auto"/>
                      <w:kern w:val="0"/>
                      <w:szCs w:val="21"/>
                      <w:highlight w:val="none"/>
                    </w:rPr>
                    <w:t>给有危险废物处置资质单位处置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415"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2</w:t>
                  </w:r>
                </w:p>
              </w:tc>
              <w:tc>
                <w:tcPr>
                  <w:tcW w:w="1127" w:type="dxa"/>
                  <w:tcBorders>
                    <w:tl2br w:val="nil"/>
                    <w:tr2bl w:val="nil"/>
                  </w:tcBorders>
                  <w:vAlign w:val="center"/>
                </w:tcPr>
                <w:p>
                  <w:pPr>
                    <w:topLinePunct/>
                    <w:adjustRightInd w:val="0"/>
                    <w:snapToGrid w:val="0"/>
                    <w:jc w:val="center"/>
                    <w:rPr>
                      <w:color w:val="auto"/>
                      <w:kern w:val="0"/>
                      <w:szCs w:val="21"/>
                      <w:highlight w:val="none"/>
                    </w:rPr>
                  </w:pPr>
                  <w:r>
                    <w:rPr>
                      <w:bCs/>
                      <w:color w:val="auto"/>
                      <w:szCs w:val="21"/>
                      <w:highlight w:val="none"/>
                    </w:rPr>
                    <w:t>废</w:t>
                  </w:r>
                  <w:r>
                    <w:rPr>
                      <w:rFonts w:hint="eastAsia"/>
                      <w:bCs/>
                      <w:color w:val="auto"/>
                      <w:szCs w:val="21"/>
                      <w:highlight w:val="none"/>
                    </w:rPr>
                    <w:t>液压油、废润滑油</w:t>
                  </w:r>
                </w:p>
              </w:tc>
              <w:tc>
                <w:tcPr>
                  <w:tcW w:w="958" w:type="dxa"/>
                  <w:tcBorders>
                    <w:tl2br w:val="nil"/>
                    <w:tr2bl w:val="nil"/>
                  </w:tcBorders>
                  <w:vAlign w:val="center"/>
                </w:tcPr>
                <w:p>
                  <w:pPr>
                    <w:topLinePunct/>
                    <w:adjustRightInd w:val="0"/>
                    <w:snapToGrid w:val="0"/>
                    <w:jc w:val="center"/>
                    <w:rPr>
                      <w:color w:val="auto"/>
                      <w:kern w:val="0"/>
                      <w:szCs w:val="21"/>
                      <w:highlight w:val="none"/>
                    </w:rPr>
                  </w:pPr>
                  <w:r>
                    <w:rPr>
                      <w:bCs/>
                      <w:color w:val="auto"/>
                      <w:szCs w:val="21"/>
                      <w:highlight w:val="none"/>
                    </w:rPr>
                    <w:t>废矿物油与含矿物油废物</w:t>
                  </w:r>
                </w:p>
              </w:tc>
              <w:tc>
                <w:tcPr>
                  <w:tcW w:w="780" w:type="dxa"/>
                  <w:tcBorders>
                    <w:tl2br w:val="nil"/>
                    <w:tr2bl w:val="nil"/>
                  </w:tcBorders>
                  <w:vAlign w:val="center"/>
                </w:tcPr>
                <w:p>
                  <w:pPr>
                    <w:topLinePunct/>
                    <w:adjustRightInd w:val="0"/>
                    <w:snapToGrid w:val="0"/>
                    <w:jc w:val="center"/>
                    <w:rPr>
                      <w:color w:val="auto"/>
                      <w:kern w:val="0"/>
                      <w:szCs w:val="21"/>
                      <w:highlight w:val="none"/>
                    </w:rPr>
                  </w:pPr>
                  <w:r>
                    <w:rPr>
                      <w:color w:val="auto"/>
                      <w:szCs w:val="21"/>
                      <w:highlight w:val="none"/>
                    </w:rPr>
                    <w:t>900-217-08</w:t>
                  </w:r>
                </w:p>
              </w:tc>
              <w:tc>
                <w:tcPr>
                  <w:tcW w:w="966" w:type="dxa"/>
                  <w:tcBorders>
                    <w:tl2br w:val="nil"/>
                    <w:tr2bl w:val="nil"/>
                  </w:tcBorders>
                  <w:vAlign w:val="center"/>
                </w:tcPr>
                <w:p>
                  <w:pPr>
                    <w:topLinePunct/>
                    <w:adjustRightInd w:val="0"/>
                    <w:snapToGrid w:val="0"/>
                    <w:jc w:val="center"/>
                    <w:rPr>
                      <w:color w:val="auto"/>
                      <w:kern w:val="0"/>
                      <w:szCs w:val="21"/>
                      <w:highlight w:val="none"/>
                    </w:rPr>
                  </w:pPr>
                  <w:r>
                    <w:rPr>
                      <w:rFonts w:hint="eastAsia"/>
                      <w:bCs/>
                      <w:color w:val="auto"/>
                      <w:szCs w:val="21"/>
                      <w:highlight w:val="none"/>
                    </w:rPr>
                    <w:t>0.19</w:t>
                  </w:r>
                  <w:r>
                    <w:rPr>
                      <w:rFonts w:hint="eastAsia"/>
                      <w:color w:val="auto"/>
                      <w:kern w:val="0"/>
                      <w:szCs w:val="21"/>
                      <w:highlight w:val="none"/>
                    </w:rPr>
                    <w:t>t</w:t>
                  </w:r>
                  <w:r>
                    <w:rPr>
                      <w:color w:val="auto"/>
                      <w:kern w:val="0"/>
                      <w:szCs w:val="21"/>
                      <w:highlight w:val="none"/>
                    </w:rPr>
                    <w:t>/</w:t>
                  </w:r>
                  <w:r>
                    <w:rPr>
                      <w:rFonts w:hint="eastAsia"/>
                      <w:color w:val="auto"/>
                      <w:kern w:val="0"/>
                      <w:szCs w:val="21"/>
                      <w:highlight w:val="none"/>
                    </w:rPr>
                    <w:t>a</w:t>
                  </w:r>
                </w:p>
              </w:tc>
              <w:tc>
                <w:tcPr>
                  <w:tcW w:w="885"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设备内部机件润滑</w:t>
                  </w:r>
                </w:p>
              </w:tc>
              <w:tc>
                <w:tcPr>
                  <w:tcW w:w="409" w:type="dxa"/>
                  <w:tcBorders>
                    <w:tl2br w:val="nil"/>
                    <w:tr2bl w:val="nil"/>
                  </w:tcBorders>
                  <w:vAlign w:val="center"/>
                </w:tcPr>
                <w:p>
                  <w:pPr>
                    <w:topLinePunct/>
                    <w:adjustRightInd w:val="0"/>
                    <w:snapToGrid w:val="0"/>
                    <w:jc w:val="center"/>
                    <w:rPr>
                      <w:color w:val="auto"/>
                      <w:kern w:val="0"/>
                      <w:szCs w:val="21"/>
                      <w:highlight w:val="none"/>
                    </w:rPr>
                  </w:pPr>
                  <w:r>
                    <w:rPr>
                      <w:bCs/>
                      <w:color w:val="auto"/>
                      <w:szCs w:val="21"/>
                      <w:highlight w:val="none"/>
                    </w:rPr>
                    <w:t>液态</w:t>
                  </w:r>
                </w:p>
              </w:tc>
              <w:tc>
                <w:tcPr>
                  <w:tcW w:w="875" w:type="dxa"/>
                  <w:tcBorders>
                    <w:tl2br w:val="nil"/>
                    <w:tr2bl w:val="nil"/>
                  </w:tcBorders>
                  <w:vAlign w:val="center"/>
                </w:tcPr>
                <w:p>
                  <w:pPr>
                    <w:topLinePunct/>
                    <w:adjustRightInd w:val="0"/>
                    <w:snapToGrid w:val="0"/>
                    <w:jc w:val="center"/>
                    <w:rPr>
                      <w:color w:val="auto"/>
                      <w:kern w:val="0"/>
                      <w:szCs w:val="21"/>
                      <w:highlight w:val="none"/>
                    </w:rPr>
                  </w:pPr>
                  <w:r>
                    <w:rPr>
                      <w:bCs/>
                      <w:color w:val="auto"/>
                      <w:szCs w:val="21"/>
                      <w:highlight w:val="none"/>
                    </w:rPr>
                    <w:t>废</w:t>
                  </w:r>
                  <w:r>
                    <w:rPr>
                      <w:rFonts w:hint="eastAsia"/>
                      <w:bCs/>
                      <w:color w:val="auto"/>
                      <w:szCs w:val="21"/>
                      <w:highlight w:val="none"/>
                    </w:rPr>
                    <w:t>液压油、废润滑油</w:t>
                  </w:r>
                </w:p>
              </w:tc>
              <w:tc>
                <w:tcPr>
                  <w:tcW w:w="690" w:type="dxa"/>
                  <w:tcBorders>
                    <w:tl2br w:val="nil"/>
                    <w:tr2bl w:val="nil"/>
                  </w:tcBorders>
                  <w:vAlign w:val="center"/>
                </w:tcPr>
                <w:p>
                  <w:pPr>
                    <w:topLinePunct/>
                    <w:adjustRightInd w:val="0"/>
                    <w:snapToGrid w:val="0"/>
                    <w:jc w:val="center"/>
                    <w:rPr>
                      <w:bCs/>
                      <w:color w:val="auto"/>
                      <w:szCs w:val="21"/>
                      <w:highlight w:val="none"/>
                    </w:rPr>
                  </w:pPr>
                  <w:r>
                    <w:rPr>
                      <w:bCs/>
                      <w:color w:val="auto"/>
                      <w:szCs w:val="21"/>
                      <w:highlight w:val="none"/>
                    </w:rPr>
                    <w:t>石油类</w:t>
                  </w:r>
                </w:p>
              </w:tc>
              <w:tc>
                <w:tcPr>
                  <w:tcW w:w="730" w:type="dxa"/>
                  <w:tcBorders>
                    <w:tl2br w:val="nil"/>
                    <w:tr2bl w:val="nil"/>
                  </w:tcBorders>
                  <w:vAlign w:val="center"/>
                </w:tcPr>
                <w:p>
                  <w:pPr>
                    <w:topLinePunct/>
                    <w:adjustRightInd w:val="0"/>
                    <w:snapToGrid w:val="0"/>
                    <w:jc w:val="center"/>
                    <w:rPr>
                      <w:color w:val="auto"/>
                      <w:kern w:val="0"/>
                      <w:szCs w:val="21"/>
                      <w:highlight w:val="none"/>
                    </w:rPr>
                  </w:pPr>
                  <w:r>
                    <w:rPr>
                      <w:rFonts w:hint="eastAsia"/>
                      <w:bCs/>
                      <w:color w:val="auto"/>
                      <w:szCs w:val="21"/>
                      <w:highlight w:val="none"/>
                    </w:rPr>
                    <w:t>1</w:t>
                  </w:r>
                  <w:r>
                    <w:rPr>
                      <w:bCs/>
                      <w:color w:val="auto"/>
                      <w:szCs w:val="21"/>
                      <w:highlight w:val="none"/>
                    </w:rPr>
                    <w:t>年</w:t>
                  </w:r>
                </w:p>
              </w:tc>
              <w:tc>
                <w:tcPr>
                  <w:tcW w:w="555" w:type="dxa"/>
                  <w:tcBorders>
                    <w:tl2br w:val="nil"/>
                    <w:tr2bl w:val="nil"/>
                  </w:tcBorders>
                  <w:vAlign w:val="center"/>
                </w:tcPr>
                <w:p>
                  <w:pPr>
                    <w:topLinePunct/>
                    <w:adjustRightInd w:val="0"/>
                    <w:snapToGrid w:val="0"/>
                    <w:jc w:val="center"/>
                    <w:rPr>
                      <w:color w:val="auto"/>
                      <w:kern w:val="0"/>
                      <w:szCs w:val="21"/>
                      <w:highlight w:val="none"/>
                    </w:rPr>
                  </w:pPr>
                  <w:r>
                    <w:rPr>
                      <w:color w:val="auto"/>
                      <w:kern w:val="0"/>
                      <w:szCs w:val="21"/>
                      <w:highlight w:val="none"/>
                    </w:rPr>
                    <w:t>T、I</w:t>
                  </w:r>
                </w:p>
              </w:tc>
              <w:tc>
                <w:tcPr>
                  <w:tcW w:w="919" w:type="dxa"/>
                  <w:vMerge w:val="continue"/>
                  <w:tcBorders>
                    <w:tl2br w:val="nil"/>
                    <w:tr2bl w:val="nil"/>
                  </w:tcBorders>
                  <w:vAlign w:val="center"/>
                </w:tcPr>
                <w:p>
                  <w:pPr>
                    <w:topLinePunct/>
                    <w:adjustRightInd w:val="0"/>
                    <w:snapToGrid w:val="0"/>
                    <w:jc w:val="center"/>
                    <w:rPr>
                      <w:bCs/>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15"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3</w:t>
                  </w:r>
                </w:p>
              </w:tc>
              <w:tc>
                <w:tcPr>
                  <w:tcW w:w="1127"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废UV灯管</w:t>
                  </w:r>
                </w:p>
              </w:tc>
              <w:tc>
                <w:tcPr>
                  <w:tcW w:w="958"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含汞废物</w:t>
                  </w:r>
                </w:p>
              </w:tc>
              <w:tc>
                <w:tcPr>
                  <w:tcW w:w="780" w:type="dxa"/>
                  <w:tcBorders>
                    <w:tl2br w:val="nil"/>
                    <w:tr2bl w:val="nil"/>
                  </w:tcBorders>
                  <w:vAlign w:val="center"/>
                </w:tcPr>
                <w:p>
                  <w:pPr>
                    <w:topLinePunct/>
                    <w:adjustRightInd w:val="0"/>
                    <w:snapToGrid w:val="0"/>
                    <w:jc w:val="center"/>
                    <w:rPr>
                      <w:color w:val="auto"/>
                      <w:szCs w:val="21"/>
                      <w:highlight w:val="none"/>
                    </w:rPr>
                  </w:pPr>
                  <w:r>
                    <w:rPr>
                      <w:rFonts w:hint="eastAsia"/>
                      <w:color w:val="auto"/>
                      <w:szCs w:val="21"/>
                      <w:highlight w:val="none"/>
                    </w:rPr>
                    <w:t>900-023-29</w:t>
                  </w:r>
                </w:p>
              </w:tc>
              <w:tc>
                <w:tcPr>
                  <w:tcW w:w="966"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lang w:eastAsia="zh-CN"/>
                    </w:rPr>
                    <w:t>22根</w:t>
                  </w:r>
                  <w:r>
                    <w:rPr>
                      <w:color w:val="auto"/>
                      <w:kern w:val="0"/>
                      <w:szCs w:val="21"/>
                      <w:highlight w:val="none"/>
                    </w:rPr>
                    <w:t>/</w:t>
                  </w:r>
                  <w:r>
                    <w:rPr>
                      <w:rFonts w:hint="eastAsia"/>
                      <w:color w:val="auto"/>
                      <w:kern w:val="0"/>
                      <w:szCs w:val="21"/>
                      <w:highlight w:val="none"/>
                    </w:rPr>
                    <w:t>a</w:t>
                  </w:r>
                </w:p>
              </w:tc>
              <w:tc>
                <w:tcPr>
                  <w:tcW w:w="885"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UV光解装置</w:t>
                  </w:r>
                </w:p>
              </w:tc>
              <w:tc>
                <w:tcPr>
                  <w:tcW w:w="409" w:type="dxa"/>
                  <w:tcBorders>
                    <w:tl2br w:val="nil"/>
                    <w:tr2bl w:val="nil"/>
                  </w:tcBorders>
                  <w:vAlign w:val="center"/>
                </w:tcPr>
                <w:p>
                  <w:pPr>
                    <w:topLinePunct/>
                    <w:adjustRightInd w:val="0"/>
                    <w:snapToGrid w:val="0"/>
                    <w:jc w:val="center"/>
                    <w:rPr>
                      <w:color w:val="auto"/>
                      <w:kern w:val="0"/>
                      <w:szCs w:val="21"/>
                      <w:highlight w:val="none"/>
                    </w:rPr>
                  </w:pPr>
                  <w:r>
                    <w:rPr>
                      <w:bCs/>
                      <w:color w:val="auto"/>
                      <w:szCs w:val="21"/>
                      <w:highlight w:val="none"/>
                    </w:rPr>
                    <w:t>固态</w:t>
                  </w:r>
                </w:p>
              </w:tc>
              <w:tc>
                <w:tcPr>
                  <w:tcW w:w="875"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含汞废物</w:t>
                  </w:r>
                </w:p>
              </w:tc>
              <w:tc>
                <w:tcPr>
                  <w:tcW w:w="690"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汞</w:t>
                  </w:r>
                </w:p>
              </w:tc>
              <w:tc>
                <w:tcPr>
                  <w:tcW w:w="730" w:type="dxa"/>
                  <w:tcBorders>
                    <w:tl2br w:val="nil"/>
                    <w:tr2bl w:val="nil"/>
                  </w:tcBorders>
                  <w:vAlign w:val="center"/>
                </w:tcPr>
                <w:p>
                  <w:pPr>
                    <w:topLinePunct/>
                    <w:adjustRightInd w:val="0"/>
                    <w:snapToGrid w:val="0"/>
                    <w:jc w:val="center"/>
                    <w:rPr>
                      <w:color w:val="auto"/>
                      <w:kern w:val="0"/>
                      <w:szCs w:val="21"/>
                      <w:highlight w:val="none"/>
                    </w:rPr>
                  </w:pPr>
                  <w:r>
                    <w:rPr>
                      <w:rFonts w:hint="eastAsia"/>
                      <w:bCs/>
                      <w:color w:val="auto"/>
                      <w:szCs w:val="21"/>
                      <w:highlight w:val="none"/>
                    </w:rPr>
                    <w:t>1</w:t>
                  </w:r>
                  <w:r>
                    <w:rPr>
                      <w:bCs/>
                      <w:color w:val="auto"/>
                      <w:szCs w:val="21"/>
                      <w:highlight w:val="none"/>
                    </w:rPr>
                    <w:t>年</w:t>
                  </w:r>
                </w:p>
              </w:tc>
              <w:tc>
                <w:tcPr>
                  <w:tcW w:w="555" w:type="dxa"/>
                  <w:tcBorders>
                    <w:tl2br w:val="nil"/>
                    <w:tr2bl w:val="nil"/>
                  </w:tcBorders>
                  <w:vAlign w:val="center"/>
                </w:tcPr>
                <w:p>
                  <w:pPr>
                    <w:topLinePunct/>
                    <w:adjustRightInd w:val="0"/>
                    <w:snapToGrid w:val="0"/>
                    <w:jc w:val="center"/>
                    <w:rPr>
                      <w:color w:val="auto"/>
                      <w:kern w:val="0"/>
                      <w:szCs w:val="21"/>
                      <w:highlight w:val="none"/>
                    </w:rPr>
                  </w:pPr>
                  <w:r>
                    <w:rPr>
                      <w:color w:val="auto"/>
                      <w:kern w:val="0"/>
                      <w:szCs w:val="21"/>
                      <w:highlight w:val="none"/>
                    </w:rPr>
                    <w:t>T</w:t>
                  </w:r>
                </w:p>
              </w:tc>
              <w:tc>
                <w:tcPr>
                  <w:tcW w:w="919" w:type="dxa"/>
                  <w:vMerge w:val="continue"/>
                  <w:tcBorders>
                    <w:tl2br w:val="nil"/>
                    <w:tr2bl w:val="nil"/>
                  </w:tcBorders>
                  <w:vAlign w:val="center"/>
                </w:tcPr>
                <w:p>
                  <w:pPr>
                    <w:topLinePunct/>
                    <w:adjustRightInd w:val="0"/>
                    <w:snapToGrid w:val="0"/>
                    <w:jc w:val="center"/>
                    <w:rPr>
                      <w:bCs/>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15"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4</w:t>
                  </w:r>
                </w:p>
              </w:tc>
              <w:tc>
                <w:tcPr>
                  <w:tcW w:w="1127" w:type="dxa"/>
                  <w:tcBorders>
                    <w:tl2br w:val="nil"/>
                    <w:tr2bl w:val="nil"/>
                  </w:tcBorders>
                  <w:vAlign w:val="center"/>
                </w:tcPr>
                <w:p>
                  <w:pPr>
                    <w:topLinePunct/>
                    <w:adjustRightInd w:val="0"/>
                    <w:snapToGrid w:val="0"/>
                    <w:jc w:val="center"/>
                    <w:rPr>
                      <w:color w:val="auto"/>
                      <w:szCs w:val="21"/>
                      <w:highlight w:val="none"/>
                    </w:rPr>
                  </w:pPr>
                  <w:r>
                    <w:rPr>
                      <w:color w:val="auto"/>
                      <w:kern w:val="0"/>
                      <w:szCs w:val="21"/>
                      <w:highlight w:val="none"/>
                    </w:rPr>
                    <w:t>废活性炭</w:t>
                  </w:r>
                </w:p>
              </w:tc>
              <w:tc>
                <w:tcPr>
                  <w:tcW w:w="958" w:type="dxa"/>
                  <w:tcBorders>
                    <w:tl2br w:val="nil"/>
                    <w:tr2bl w:val="nil"/>
                  </w:tcBorders>
                  <w:vAlign w:val="center"/>
                </w:tcPr>
                <w:p>
                  <w:pPr>
                    <w:topLinePunct/>
                    <w:adjustRightInd w:val="0"/>
                    <w:snapToGrid w:val="0"/>
                    <w:jc w:val="center"/>
                    <w:rPr>
                      <w:color w:val="auto"/>
                      <w:kern w:val="0"/>
                      <w:szCs w:val="21"/>
                      <w:highlight w:val="none"/>
                    </w:rPr>
                  </w:pPr>
                  <w:r>
                    <w:rPr>
                      <w:color w:val="auto"/>
                      <w:kern w:val="0"/>
                      <w:szCs w:val="21"/>
                      <w:highlight w:val="none"/>
                    </w:rPr>
                    <w:t>其它废物</w:t>
                  </w:r>
                </w:p>
              </w:tc>
              <w:tc>
                <w:tcPr>
                  <w:tcW w:w="780" w:type="dxa"/>
                  <w:tcBorders>
                    <w:tl2br w:val="nil"/>
                    <w:tr2bl w:val="nil"/>
                  </w:tcBorders>
                  <w:vAlign w:val="center"/>
                </w:tcPr>
                <w:p>
                  <w:pPr>
                    <w:topLinePunct/>
                    <w:adjustRightInd w:val="0"/>
                    <w:snapToGrid w:val="0"/>
                    <w:jc w:val="center"/>
                    <w:rPr>
                      <w:color w:val="auto"/>
                      <w:szCs w:val="21"/>
                      <w:highlight w:val="none"/>
                    </w:rPr>
                  </w:pPr>
                  <w:r>
                    <w:rPr>
                      <w:color w:val="auto"/>
                      <w:szCs w:val="21"/>
                      <w:highlight w:val="none"/>
                    </w:rPr>
                    <w:t>900-041-49</w:t>
                  </w:r>
                </w:p>
              </w:tc>
              <w:tc>
                <w:tcPr>
                  <w:tcW w:w="966" w:type="dxa"/>
                  <w:tcBorders>
                    <w:tl2br w:val="nil"/>
                    <w:tr2bl w:val="nil"/>
                  </w:tcBorders>
                  <w:vAlign w:val="center"/>
                </w:tcPr>
                <w:p>
                  <w:pPr>
                    <w:topLinePunct/>
                    <w:adjustRightInd w:val="0"/>
                    <w:snapToGrid w:val="0"/>
                    <w:jc w:val="center"/>
                    <w:rPr>
                      <w:rFonts w:hint="eastAsia" w:eastAsia="宋体"/>
                      <w:color w:val="auto"/>
                      <w:kern w:val="0"/>
                      <w:szCs w:val="21"/>
                      <w:highlight w:val="none"/>
                      <w:lang w:eastAsia="zh-CN"/>
                    </w:rPr>
                  </w:pPr>
                  <w:r>
                    <w:rPr>
                      <w:rFonts w:hint="eastAsia"/>
                      <w:color w:val="auto"/>
                      <w:kern w:val="0"/>
                      <w:szCs w:val="21"/>
                      <w:highlight w:val="none"/>
                      <w:lang w:eastAsia="zh-CN"/>
                    </w:rPr>
                    <w:t>2.125t/a</w:t>
                  </w:r>
                </w:p>
              </w:tc>
              <w:tc>
                <w:tcPr>
                  <w:tcW w:w="885"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活性炭吸附装置</w:t>
                  </w:r>
                </w:p>
              </w:tc>
              <w:tc>
                <w:tcPr>
                  <w:tcW w:w="409" w:type="dxa"/>
                  <w:tcBorders>
                    <w:tl2br w:val="nil"/>
                    <w:tr2bl w:val="nil"/>
                  </w:tcBorders>
                  <w:vAlign w:val="center"/>
                </w:tcPr>
                <w:p>
                  <w:pPr>
                    <w:topLinePunct/>
                    <w:adjustRightInd w:val="0"/>
                    <w:snapToGrid w:val="0"/>
                    <w:jc w:val="center"/>
                    <w:rPr>
                      <w:bCs/>
                      <w:color w:val="auto"/>
                      <w:szCs w:val="21"/>
                      <w:highlight w:val="none"/>
                    </w:rPr>
                  </w:pPr>
                  <w:r>
                    <w:rPr>
                      <w:color w:val="auto"/>
                      <w:kern w:val="0"/>
                      <w:szCs w:val="21"/>
                      <w:highlight w:val="none"/>
                    </w:rPr>
                    <w:t>固态</w:t>
                  </w:r>
                </w:p>
              </w:tc>
              <w:tc>
                <w:tcPr>
                  <w:tcW w:w="875" w:type="dxa"/>
                  <w:tcBorders>
                    <w:tl2br w:val="nil"/>
                    <w:tr2bl w:val="nil"/>
                  </w:tcBorders>
                  <w:vAlign w:val="center"/>
                </w:tcPr>
                <w:p>
                  <w:pPr>
                    <w:topLinePunct/>
                    <w:adjustRightInd w:val="0"/>
                    <w:snapToGrid w:val="0"/>
                    <w:jc w:val="center"/>
                    <w:rPr>
                      <w:color w:val="auto"/>
                      <w:szCs w:val="21"/>
                      <w:highlight w:val="none"/>
                    </w:rPr>
                  </w:pPr>
                  <w:r>
                    <w:rPr>
                      <w:color w:val="auto"/>
                      <w:kern w:val="0"/>
                      <w:szCs w:val="21"/>
                      <w:highlight w:val="none"/>
                    </w:rPr>
                    <w:t>有机物</w:t>
                  </w:r>
                </w:p>
              </w:tc>
              <w:tc>
                <w:tcPr>
                  <w:tcW w:w="690" w:type="dxa"/>
                  <w:tcBorders>
                    <w:tl2br w:val="nil"/>
                    <w:tr2bl w:val="nil"/>
                  </w:tcBorders>
                  <w:vAlign w:val="center"/>
                </w:tcPr>
                <w:p>
                  <w:pPr>
                    <w:topLinePunct/>
                    <w:adjustRightInd w:val="0"/>
                    <w:snapToGrid w:val="0"/>
                    <w:jc w:val="center"/>
                    <w:rPr>
                      <w:bCs/>
                      <w:color w:val="auto"/>
                      <w:szCs w:val="21"/>
                      <w:highlight w:val="none"/>
                    </w:rPr>
                  </w:pPr>
                  <w:r>
                    <w:rPr>
                      <w:color w:val="auto"/>
                      <w:kern w:val="0"/>
                      <w:szCs w:val="21"/>
                      <w:highlight w:val="none"/>
                    </w:rPr>
                    <w:t>COD</w:t>
                  </w:r>
                </w:p>
              </w:tc>
              <w:tc>
                <w:tcPr>
                  <w:tcW w:w="730" w:type="dxa"/>
                  <w:tcBorders>
                    <w:tl2br w:val="nil"/>
                    <w:tr2bl w:val="nil"/>
                  </w:tcBorders>
                  <w:vAlign w:val="center"/>
                </w:tcPr>
                <w:p>
                  <w:pPr>
                    <w:topLinePunct/>
                    <w:adjustRightInd w:val="0"/>
                    <w:snapToGrid w:val="0"/>
                    <w:jc w:val="center"/>
                    <w:rPr>
                      <w:bCs/>
                      <w:color w:val="auto"/>
                      <w:szCs w:val="21"/>
                      <w:highlight w:val="none"/>
                    </w:rPr>
                  </w:pPr>
                  <w:r>
                    <w:rPr>
                      <w:rFonts w:hint="eastAsia"/>
                      <w:color w:val="auto"/>
                      <w:kern w:val="0"/>
                      <w:szCs w:val="21"/>
                      <w:highlight w:val="none"/>
                    </w:rPr>
                    <w:t>1年</w:t>
                  </w:r>
                </w:p>
              </w:tc>
              <w:tc>
                <w:tcPr>
                  <w:tcW w:w="555" w:type="dxa"/>
                  <w:tcBorders>
                    <w:tl2br w:val="nil"/>
                    <w:tr2bl w:val="nil"/>
                  </w:tcBorders>
                  <w:vAlign w:val="center"/>
                </w:tcPr>
                <w:p>
                  <w:pPr>
                    <w:topLinePunct/>
                    <w:adjustRightInd w:val="0"/>
                    <w:snapToGrid w:val="0"/>
                    <w:jc w:val="center"/>
                    <w:rPr>
                      <w:color w:val="auto"/>
                      <w:kern w:val="0"/>
                      <w:szCs w:val="21"/>
                      <w:highlight w:val="none"/>
                    </w:rPr>
                  </w:pPr>
                  <w:r>
                    <w:rPr>
                      <w:color w:val="auto"/>
                      <w:kern w:val="0"/>
                      <w:szCs w:val="21"/>
                      <w:highlight w:val="none"/>
                    </w:rPr>
                    <w:t xml:space="preserve">T/In </w:t>
                  </w:r>
                </w:p>
              </w:tc>
              <w:tc>
                <w:tcPr>
                  <w:tcW w:w="919" w:type="dxa"/>
                  <w:vMerge w:val="continue"/>
                  <w:tcBorders>
                    <w:tl2br w:val="nil"/>
                    <w:tr2bl w:val="nil"/>
                  </w:tcBorders>
                  <w:vAlign w:val="center"/>
                </w:tcPr>
                <w:p>
                  <w:pPr>
                    <w:topLinePunct/>
                    <w:adjustRightInd w:val="0"/>
                    <w:snapToGrid w:val="0"/>
                    <w:jc w:val="center"/>
                    <w:rPr>
                      <w:bCs/>
                      <w:color w:val="auto"/>
                      <w:kern w:val="0"/>
                      <w:szCs w:val="21"/>
                      <w:highlight w:val="none"/>
                    </w:rPr>
                  </w:pPr>
                </w:p>
              </w:tc>
            </w:tr>
          </w:tbl>
          <w:p>
            <w:pPr>
              <w:adjustRightInd w:val="0"/>
              <w:snapToGrid w:val="0"/>
              <w:spacing w:line="360" w:lineRule="auto"/>
              <w:rPr>
                <w:color w:val="auto"/>
                <w:sz w:val="24"/>
                <w:highlight w:val="none"/>
              </w:rPr>
            </w:pPr>
          </w:p>
        </w:tc>
      </w:tr>
    </w:tbl>
    <w:p>
      <w:pPr>
        <w:spacing w:line="300" w:lineRule="auto"/>
        <w:ind w:firstLine="454"/>
        <w:rPr>
          <w:color w:val="auto"/>
          <w:sz w:val="28"/>
          <w:highlight w:val="none"/>
        </w:rPr>
        <w:sectPr>
          <w:footerReference r:id="rId13" w:type="default"/>
          <w:pgSz w:w="11907" w:h="16840"/>
          <w:pgMar w:top="1531" w:right="1134" w:bottom="1134" w:left="1418" w:header="0" w:footer="898" w:gutter="0"/>
          <w:cols w:space="720" w:num="1"/>
          <w:docGrid w:linePitch="326" w:charSpace="-4916"/>
        </w:sectPr>
      </w:pPr>
    </w:p>
    <w:p>
      <w:pPr>
        <w:pStyle w:val="38"/>
        <w:jc w:val="left"/>
        <w:rPr>
          <w:rFonts w:ascii="Times New Roman" w:hAnsi="Times New Roman"/>
          <w:color w:val="auto"/>
          <w:highlight w:val="none"/>
        </w:rPr>
      </w:pPr>
      <w:r>
        <w:rPr>
          <w:rFonts w:hint="eastAsia" w:ascii="Times New Roman" w:hAnsi="Times New Roman"/>
          <w:color w:val="auto"/>
          <w:highlight w:val="none"/>
        </w:rPr>
        <w:t>项目主要污染物产生及预计排放情况</w:t>
      </w:r>
    </w:p>
    <w:tbl>
      <w:tblPr>
        <w:tblStyle w:val="40"/>
        <w:tblW w:w="9646"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755"/>
        <w:gridCol w:w="1351"/>
        <w:gridCol w:w="1215"/>
        <w:gridCol w:w="1230"/>
        <w:gridCol w:w="1425"/>
        <w:gridCol w:w="1155"/>
        <w:gridCol w:w="1395"/>
        <w:gridCol w:w="112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trPr>
        <w:tc>
          <w:tcPr>
            <w:tcW w:w="755" w:type="dxa"/>
            <w:tcBorders>
              <w:bottom w:val="single" w:color="auto" w:sz="4" w:space="0"/>
              <w:tl2br w:val="single" w:color="000000" w:sz="6" w:space="0"/>
            </w:tcBorders>
          </w:tcPr>
          <w:p>
            <w:pPr>
              <w:pStyle w:val="55"/>
              <w:topLinePunct w:val="0"/>
              <w:autoSpaceDE/>
              <w:autoSpaceDN/>
              <w:adjustRightInd/>
              <w:jc w:val="right"/>
              <w:textAlignment w:val="auto"/>
              <w:rPr>
                <w:rFonts w:ascii="Times New Roman" w:hAnsi="Times New Roman"/>
                <w:color w:val="auto"/>
                <w:kern w:val="2"/>
                <w:position w:val="0"/>
                <w:sz w:val="24"/>
                <w:szCs w:val="24"/>
                <w:highlight w:val="none"/>
              </w:rPr>
            </w:pPr>
            <w:r>
              <w:rPr>
                <w:rFonts w:ascii="Times New Roman" w:hAnsi="Times New Roman"/>
                <w:color w:val="auto"/>
                <w:kern w:val="2"/>
                <w:position w:val="0"/>
                <w:sz w:val="24"/>
                <w:szCs w:val="24"/>
                <w:highlight w:val="none"/>
              </w:rPr>
              <w:t>内容</w:t>
            </w:r>
          </w:p>
          <w:p>
            <w:pPr>
              <w:rPr>
                <w:color w:val="auto"/>
                <w:sz w:val="24"/>
                <w:highlight w:val="none"/>
              </w:rPr>
            </w:pPr>
            <w:r>
              <w:rPr>
                <w:color w:val="auto"/>
                <w:sz w:val="24"/>
                <w:highlight w:val="none"/>
              </w:rPr>
              <w:t>类型</w:t>
            </w:r>
          </w:p>
        </w:tc>
        <w:tc>
          <w:tcPr>
            <w:tcW w:w="1351" w:type="dxa"/>
            <w:vAlign w:val="center"/>
          </w:tcPr>
          <w:p>
            <w:pPr>
              <w:jc w:val="center"/>
              <w:rPr>
                <w:color w:val="auto"/>
                <w:sz w:val="24"/>
                <w:highlight w:val="none"/>
              </w:rPr>
            </w:pPr>
            <w:r>
              <w:rPr>
                <w:color w:val="auto"/>
                <w:sz w:val="24"/>
                <w:highlight w:val="none"/>
              </w:rPr>
              <w:t>排放源</w:t>
            </w:r>
          </w:p>
          <w:p>
            <w:pPr>
              <w:jc w:val="center"/>
              <w:rPr>
                <w:color w:val="auto"/>
                <w:sz w:val="24"/>
                <w:highlight w:val="none"/>
              </w:rPr>
            </w:pPr>
            <w:r>
              <w:rPr>
                <w:color w:val="auto"/>
                <w:sz w:val="24"/>
                <w:highlight w:val="none"/>
              </w:rPr>
              <w:t>(编号)</w:t>
            </w:r>
          </w:p>
        </w:tc>
        <w:tc>
          <w:tcPr>
            <w:tcW w:w="2445" w:type="dxa"/>
            <w:gridSpan w:val="2"/>
            <w:tcBorders>
              <w:right w:val="single" w:color="auto" w:sz="4" w:space="0"/>
            </w:tcBorders>
            <w:vAlign w:val="center"/>
          </w:tcPr>
          <w:p>
            <w:pPr>
              <w:pStyle w:val="55"/>
              <w:rPr>
                <w:rFonts w:ascii="Times New Roman" w:hAnsi="Times New Roman"/>
                <w:color w:val="auto"/>
                <w:position w:val="0"/>
                <w:sz w:val="24"/>
                <w:szCs w:val="24"/>
                <w:highlight w:val="none"/>
              </w:rPr>
            </w:pPr>
            <w:r>
              <w:rPr>
                <w:rFonts w:ascii="Times New Roman" w:hAnsi="Times New Roman"/>
                <w:color w:val="auto"/>
                <w:position w:val="0"/>
                <w:sz w:val="24"/>
                <w:szCs w:val="24"/>
                <w:highlight w:val="none"/>
              </w:rPr>
              <w:t>污染物名称</w:t>
            </w:r>
          </w:p>
        </w:tc>
        <w:tc>
          <w:tcPr>
            <w:tcW w:w="2580" w:type="dxa"/>
            <w:gridSpan w:val="2"/>
            <w:tcBorders>
              <w:left w:val="single" w:color="auto" w:sz="4" w:space="0"/>
            </w:tcBorders>
            <w:vAlign w:val="center"/>
          </w:tcPr>
          <w:p>
            <w:pPr>
              <w:jc w:val="center"/>
              <w:rPr>
                <w:color w:val="auto"/>
                <w:sz w:val="24"/>
                <w:highlight w:val="none"/>
              </w:rPr>
            </w:pPr>
            <w:r>
              <w:rPr>
                <w:color w:val="auto"/>
                <w:sz w:val="24"/>
                <w:highlight w:val="none"/>
              </w:rPr>
              <w:t>处理前产生浓度及</w:t>
            </w:r>
          </w:p>
          <w:p>
            <w:pPr>
              <w:jc w:val="center"/>
              <w:rPr>
                <w:color w:val="auto"/>
                <w:sz w:val="24"/>
                <w:highlight w:val="none"/>
              </w:rPr>
            </w:pPr>
            <w:r>
              <w:rPr>
                <w:color w:val="auto"/>
                <w:sz w:val="24"/>
                <w:highlight w:val="none"/>
              </w:rPr>
              <w:t>产生量(单位)</w:t>
            </w:r>
          </w:p>
        </w:tc>
        <w:tc>
          <w:tcPr>
            <w:tcW w:w="2515" w:type="dxa"/>
            <w:gridSpan w:val="2"/>
            <w:vAlign w:val="center"/>
          </w:tcPr>
          <w:p>
            <w:pPr>
              <w:jc w:val="center"/>
              <w:rPr>
                <w:color w:val="auto"/>
                <w:sz w:val="24"/>
                <w:highlight w:val="none"/>
              </w:rPr>
            </w:pPr>
            <w:r>
              <w:rPr>
                <w:color w:val="auto"/>
                <w:sz w:val="24"/>
                <w:highlight w:val="none"/>
              </w:rPr>
              <w:t>排放浓度及排放量</w:t>
            </w:r>
          </w:p>
          <w:p>
            <w:pPr>
              <w:jc w:val="center"/>
              <w:rPr>
                <w:color w:val="auto"/>
                <w:sz w:val="24"/>
                <w:highlight w:val="none"/>
              </w:rPr>
            </w:pPr>
            <w:r>
              <w:rPr>
                <w:color w:val="auto"/>
                <w:sz w:val="24"/>
                <w:highlight w:val="none"/>
              </w:rPr>
              <w:t>(单位)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34" w:hRule="atLeast"/>
        </w:trPr>
        <w:tc>
          <w:tcPr>
            <w:tcW w:w="755" w:type="dxa"/>
            <w:vMerge w:val="restart"/>
            <w:tcBorders>
              <w:top w:val="single" w:color="auto" w:sz="4" w:space="0"/>
            </w:tcBorders>
            <w:vAlign w:val="center"/>
          </w:tcPr>
          <w:p>
            <w:pPr>
              <w:jc w:val="center"/>
              <w:rPr>
                <w:color w:val="auto"/>
                <w:sz w:val="24"/>
                <w:highlight w:val="none"/>
              </w:rPr>
            </w:pPr>
            <w:r>
              <w:rPr>
                <w:color w:val="auto"/>
                <w:sz w:val="24"/>
                <w:highlight w:val="none"/>
              </w:rPr>
              <w:t>大</w:t>
            </w:r>
          </w:p>
          <w:p>
            <w:pPr>
              <w:jc w:val="center"/>
              <w:rPr>
                <w:color w:val="auto"/>
                <w:sz w:val="24"/>
                <w:highlight w:val="none"/>
              </w:rPr>
            </w:pPr>
            <w:r>
              <w:rPr>
                <w:color w:val="auto"/>
                <w:sz w:val="24"/>
                <w:highlight w:val="none"/>
              </w:rPr>
              <w:t>气</w:t>
            </w:r>
          </w:p>
          <w:p>
            <w:pPr>
              <w:jc w:val="center"/>
              <w:rPr>
                <w:color w:val="auto"/>
                <w:sz w:val="24"/>
                <w:highlight w:val="none"/>
              </w:rPr>
            </w:pPr>
            <w:r>
              <w:rPr>
                <w:color w:val="auto"/>
                <w:sz w:val="24"/>
                <w:highlight w:val="none"/>
              </w:rPr>
              <w:t>污</w:t>
            </w:r>
          </w:p>
          <w:p>
            <w:pPr>
              <w:jc w:val="center"/>
              <w:rPr>
                <w:color w:val="auto"/>
                <w:sz w:val="24"/>
                <w:highlight w:val="none"/>
              </w:rPr>
            </w:pPr>
            <w:r>
              <w:rPr>
                <w:color w:val="auto"/>
                <w:sz w:val="24"/>
                <w:highlight w:val="none"/>
              </w:rPr>
              <w:t>染</w:t>
            </w:r>
          </w:p>
          <w:p>
            <w:pPr>
              <w:jc w:val="center"/>
              <w:rPr>
                <w:color w:val="auto"/>
                <w:sz w:val="24"/>
                <w:highlight w:val="none"/>
              </w:rPr>
            </w:pPr>
            <w:r>
              <w:rPr>
                <w:color w:val="auto"/>
                <w:sz w:val="24"/>
                <w:highlight w:val="none"/>
              </w:rPr>
              <w:t>物</w:t>
            </w:r>
          </w:p>
        </w:tc>
        <w:tc>
          <w:tcPr>
            <w:tcW w:w="1351" w:type="dxa"/>
            <w:vMerge w:val="restart"/>
            <w:tcBorders>
              <w:top w:val="single" w:color="auto" w:sz="4" w:space="0"/>
              <w:right w:val="single" w:color="auto" w:sz="4" w:space="0"/>
            </w:tcBorders>
            <w:shd w:val="clear" w:color="auto" w:fill="auto"/>
            <w:vAlign w:val="center"/>
          </w:tcPr>
          <w:p>
            <w:pPr>
              <w:pStyle w:val="56"/>
              <w:rPr>
                <w:rFonts w:ascii="Times New Roman" w:hAnsi="Times New Roman"/>
                <w:color w:val="auto"/>
                <w:kern w:val="2"/>
                <w:szCs w:val="24"/>
                <w:highlight w:val="none"/>
              </w:rPr>
            </w:pPr>
            <w:r>
              <w:rPr>
                <w:rFonts w:hint="eastAsia" w:ascii="Times New Roman" w:hAnsi="Times New Roman"/>
                <w:color w:val="auto"/>
                <w:kern w:val="2"/>
                <w:szCs w:val="24"/>
                <w:highlight w:val="none"/>
              </w:rPr>
              <w:t>注塑</w:t>
            </w:r>
            <w:r>
              <w:rPr>
                <w:rFonts w:ascii="Times New Roman" w:hAnsi="Times New Roman"/>
                <w:color w:val="auto"/>
                <w:kern w:val="2"/>
                <w:szCs w:val="24"/>
                <w:highlight w:val="none"/>
              </w:rPr>
              <w:t>工序</w:t>
            </w:r>
          </w:p>
          <w:p>
            <w:pPr>
              <w:pStyle w:val="56"/>
              <w:rPr>
                <w:rFonts w:ascii="Times New Roman" w:hAnsi="Times New Roman"/>
                <w:color w:val="auto"/>
                <w:kern w:val="2"/>
                <w:szCs w:val="24"/>
                <w:highlight w:val="none"/>
              </w:rPr>
            </w:pPr>
            <w:r>
              <w:rPr>
                <w:rFonts w:hint="eastAsia" w:ascii="Times New Roman" w:hAnsi="Times New Roman"/>
                <w:color w:val="auto"/>
                <w:kern w:val="2"/>
                <w:szCs w:val="24"/>
                <w:highlight w:val="none"/>
                <w:lang w:val="en-US" w:eastAsia="zh-CN"/>
              </w:rPr>
              <w:t>8181</w:t>
            </w:r>
            <w:r>
              <w:rPr>
                <w:rFonts w:ascii="Times New Roman" w:hAnsi="Times New Roman"/>
                <w:color w:val="auto"/>
                <w:kern w:val="2"/>
                <w:szCs w:val="24"/>
                <w:highlight w:val="none"/>
              </w:rPr>
              <w:t>m</w:t>
            </w:r>
            <w:r>
              <w:rPr>
                <w:rFonts w:ascii="Times New Roman" w:hAnsi="Times New Roman"/>
                <w:color w:val="auto"/>
                <w:kern w:val="2"/>
                <w:szCs w:val="24"/>
                <w:highlight w:val="none"/>
                <w:vertAlign w:val="superscript"/>
              </w:rPr>
              <w:t>3</w:t>
            </w:r>
            <w:r>
              <w:rPr>
                <w:rFonts w:ascii="Times New Roman" w:hAnsi="Times New Roman"/>
                <w:color w:val="auto"/>
                <w:kern w:val="2"/>
                <w:szCs w:val="24"/>
                <w:highlight w:val="none"/>
              </w:rPr>
              <w:t>/h</w:t>
            </w:r>
          </w:p>
        </w:tc>
        <w:tc>
          <w:tcPr>
            <w:tcW w:w="1215" w:type="dxa"/>
            <w:vMerge w:val="restart"/>
            <w:tcBorders>
              <w:top w:val="single" w:color="auto" w:sz="4" w:space="0"/>
              <w:left w:val="single" w:color="auto" w:sz="4" w:space="0"/>
              <w:right w:val="single" w:color="auto" w:sz="4" w:space="0"/>
            </w:tcBorders>
            <w:vAlign w:val="center"/>
          </w:tcPr>
          <w:p>
            <w:pPr>
              <w:adjustRightInd w:val="0"/>
              <w:snapToGrid w:val="0"/>
              <w:jc w:val="center"/>
              <w:rPr>
                <w:color w:val="auto"/>
                <w:sz w:val="24"/>
                <w:highlight w:val="none"/>
              </w:rPr>
            </w:pPr>
            <w:r>
              <w:rPr>
                <w:color w:val="auto"/>
                <w:sz w:val="24"/>
                <w:highlight w:val="none"/>
              </w:rPr>
              <w:t>非甲烷总烃</w:t>
            </w:r>
          </w:p>
        </w:tc>
        <w:tc>
          <w:tcPr>
            <w:tcW w:w="123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auto"/>
                <w:sz w:val="24"/>
                <w:highlight w:val="none"/>
              </w:rPr>
            </w:pPr>
            <w:r>
              <w:rPr>
                <w:rFonts w:hint="eastAsia"/>
                <w:color w:val="auto"/>
                <w:sz w:val="24"/>
                <w:highlight w:val="none"/>
              </w:rPr>
              <w:t>有组织</w:t>
            </w:r>
          </w:p>
        </w:tc>
        <w:tc>
          <w:tcPr>
            <w:tcW w:w="1425" w:type="dxa"/>
            <w:tcBorders>
              <w:top w:val="single" w:color="auto" w:sz="4" w:space="0"/>
              <w:left w:val="single" w:color="auto" w:sz="4" w:space="0"/>
              <w:bottom w:val="single" w:color="auto" w:sz="4" w:space="0"/>
              <w:right w:val="single" w:color="auto" w:sz="4" w:space="0"/>
            </w:tcBorders>
            <w:vAlign w:val="center"/>
          </w:tcPr>
          <w:p>
            <w:pPr>
              <w:pStyle w:val="55"/>
              <w:snapToGrid w:val="0"/>
              <w:rPr>
                <w:rFonts w:ascii="Times New Roman" w:hAnsi="Times New Roman"/>
                <w:color w:val="auto"/>
                <w:sz w:val="24"/>
                <w:szCs w:val="24"/>
                <w:highlight w:val="none"/>
              </w:rPr>
            </w:pPr>
            <w:r>
              <w:rPr>
                <w:rFonts w:hint="eastAsia" w:ascii="Times New Roman" w:hAnsi="Times New Roman"/>
                <w:color w:val="auto"/>
                <w:sz w:val="24"/>
                <w:szCs w:val="24"/>
                <w:highlight w:val="none"/>
                <w:lang w:val="en-US" w:eastAsia="zh-CN"/>
              </w:rPr>
              <w:t>21.65</w:t>
            </w:r>
            <w:r>
              <w:rPr>
                <w:rFonts w:ascii="Times New Roman" w:hAnsi="Times New Roman"/>
                <w:color w:val="auto"/>
                <w:sz w:val="24"/>
                <w:szCs w:val="24"/>
                <w:highlight w:val="none"/>
              </w:rPr>
              <w:t>mg/m</w:t>
            </w:r>
            <w:r>
              <w:rPr>
                <w:rFonts w:ascii="Times New Roman" w:hAnsi="Times New Roman"/>
                <w:color w:val="auto"/>
                <w:sz w:val="24"/>
                <w:szCs w:val="24"/>
                <w:highlight w:val="none"/>
                <w:vertAlign w:val="superscript"/>
              </w:rPr>
              <w:t>3</w:t>
            </w:r>
          </w:p>
        </w:tc>
        <w:tc>
          <w:tcPr>
            <w:tcW w:w="1155" w:type="dxa"/>
            <w:tcBorders>
              <w:top w:val="single" w:color="auto" w:sz="4" w:space="0"/>
              <w:left w:val="single" w:color="auto" w:sz="4" w:space="0"/>
              <w:bottom w:val="single" w:color="auto" w:sz="4" w:space="0"/>
              <w:right w:val="single" w:color="auto" w:sz="4" w:space="0"/>
            </w:tcBorders>
            <w:vAlign w:val="center"/>
          </w:tcPr>
          <w:p>
            <w:pPr>
              <w:pStyle w:val="55"/>
              <w:snapToGrid w:val="0"/>
              <w:rPr>
                <w:rFonts w:ascii="Times New Roman" w:hAnsi="Times New Roman"/>
                <w:color w:val="auto"/>
                <w:sz w:val="24"/>
                <w:szCs w:val="24"/>
                <w:highlight w:val="none"/>
              </w:rPr>
            </w:pPr>
            <w:r>
              <w:rPr>
                <w:rFonts w:hint="eastAsia" w:ascii="Times New Roman" w:hAnsi="Times New Roman"/>
                <w:color w:val="auto"/>
                <w:sz w:val="24"/>
                <w:szCs w:val="24"/>
                <w:highlight w:val="none"/>
                <w:lang w:val="en-US" w:eastAsia="zh-CN"/>
              </w:rPr>
              <w:t>0.430</w:t>
            </w:r>
            <w:r>
              <w:rPr>
                <w:rFonts w:hint="eastAsia" w:ascii="Times New Roman" w:hAnsi="Times New Roman"/>
                <w:color w:val="auto"/>
                <w:sz w:val="24"/>
                <w:szCs w:val="24"/>
                <w:highlight w:val="none"/>
              </w:rPr>
              <w:t>t</w:t>
            </w:r>
            <w:r>
              <w:rPr>
                <w:rFonts w:ascii="Times New Roman" w:hAnsi="Times New Roman"/>
                <w:color w:val="auto"/>
                <w:sz w:val="24"/>
                <w:szCs w:val="24"/>
                <w:highlight w:val="none"/>
              </w:rPr>
              <w:t>/a</w:t>
            </w:r>
          </w:p>
        </w:tc>
        <w:tc>
          <w:tcPr>
            <w:tcW w:w="1395" w:type="dxa"/>
            <w:tcBorders>
              <w:top w:val="single" w:color="auto" w:sz="4" w:space="0"/>
              <w:left w:val="single" w:color="auto" w:sz="4" w:space="0"/>
              <w:bottom w:val="single" w:color="auto" w:sz="4" w:space="0"/>
            </w:tcBorders>
            <w:vAlign w:val="center"/>
          </w:tcPr>
          <w:p>
            <w:pPr>
              <w:pStyle w:val="55"/>
              <w:snapToGrid w:val="0"/>
              <w:rPr>
                <w:rFonts w:ascii="Times New Roman" w:hAnsi="Times New Roman"/>
                <w:color w:val="auto"/>
                <w:sz w:val="24"/>
                <w:szCs w:val="24"/>
                <w:highlight w:val="none"/>
              </w:rPr>
            </w:pPr>
            <w:r>
              <w:rPr>
                <w:rFonts w:hint="eastAsia" w:ascii="Times New Roman" w:hAnsi="Times New Roman"/>
                <w:color w:val="auto"/>
                <w:sz w:val="24"/>
                <w:szCs w:val="24"/>
                <w:highlight w:val="none"/>
                <w:lang w:val="en-US" w:eastAsia="zh-CN"/>
              </w:rPr>
              <w:t>8.33</w:t>
            </w:r>
            <w:r>
              <w:rPr>
                <w:rFonts w:ascii="Times New Roman" w:hAnsi="Times New Roman"/>
                <w:color w:val="auto"/>
                <w:sz w:val="24"/>
                <w:szCs w:val="24"/>
                <w:highlight w:val="none"/>
              </w:rPr>
              <w:t>mg/m</w:t>
            </w:r>
            <w:r>
              <w:rPr>
                <w:rFonts w:ascii="Times New Roman" w:hAnsi="Times New Roman"/>
                <w:color w:val="auto"/>
                <w:sz w:val="24"/>
                <w:szCs w:val="24"/>
                <w:highlight w:val="none"/>
                <w:vertAlign w:val="superscript"/>
              </w:rPr>
              <w:t>3</w:t>
            </w:r>
          </w:p>
        </w:tc>
        <w:tc>
          <w:tcPr>
            <w:tcW w:w="1120" w:type="dxa"/>
            <w:tcBorders>
              <w:top w:val="single" w:color="auto" w:sz="4" w:space="0"/>
              <w:left w:val="single" w:color="auto" w:sz="4" w:space="0"/>
              <w:bottom w:val="single" w:color="auto" w:sz="4" w:space="0"/>
            </w:tcBorders>
            <w:vAlign w:val="center"/>
          </w:tcPr>
          <w:p>
            <w:pPr>
              <w:pStyle w:val="55"/>
              <w:snapToGrid w:val="0"/>
              <w:rPr>
                <w:rFonts w:ascii="Times New Roman" w:hAnsi="Times New Roman"/>
                <w:color w:val="auto"/>
                <w:sz w:val="24"/>
                <w:szCs w:val="24"/>
                <w:highlight w:val="none"/>
              </w:rPr>
            </w:pPr>
            <w:r>
              <w:rPr>
                <w:rFonts w:hint="eastAsia" w:ascii="Times New Roman" w:hAnsi="Times New Roman"/>
                <w:color w:val="auto"/>
                <w:sz w:val="24"/>
                <w:szCs w:val="24"/>
                <w:highlight w:val="none"/>
                <w:lang w:val="en-US" w:eastAsia="zh-CN"/>
              </w:rPr>
              <w:t>0.166</w:t>
            </w:r>
            <w:r>
              <w:rPr>
                <w:rFonts w:hint="eastAsia" w:ascii="Times New Roman" w:hAnsi="Times New Roman"/>
                <w:color w:val="auto"/>
                <w:sz w:val="24"/>
                <w:szCs w:val="24"/>
                <w:highlight w:val="none"/>
              </w:rPr>
              <w:t>t</w:t>
            </w:r>
            <w:r>
              <w:rPr>
                <w:rFonts w:ascii="Times New Roman" w:hAnsi="Times New Roman"/>
                <w:color w:val="auto"/>
                <w:sz w:val="24"/>
                <w:szCs w:val="24"/>
                <w:highlight w:val="none"/>
              </w:rPr>
              <w: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98" w:hRule="atLeast"/>
        </w:trPr>
        <w:tc>
          <w:tcPr>
            <w:tcW w:w="755" w:type="dxa"/>
            <w:vMerge w:val="continue"/>
            <w:vAlign w:val="center"/>
          </w:tcPr>
          <w:p>
            <w:pPr>
              <w:jc w:val="center"/>
              <w:rPr>
                <w:color w:val="auto"/>
                <w:sz w:val="24"/>
                <w:highlight w:val="none"/>
              </w:rPr>
            </w:pPr>
          </w:p>
        </w:tc>
        <w:tc>
          <w:tcPr>
            <w:tcW w:w="1351" w:type="dxa"/>
            <w:vMerge w:val="continue"/>
            <w:tcBorders>
              <w:right w:val="single" w:color="auto" w:sz="4" w:space="0"/>
            </w:tcBorders>
            <w:shd w:val="clear" w:color="auto" w:fill="auto"/>
            <w:vAlign w:val="center"/>
          </w:tcPr>
          <w:p>
            <w:pPr>
              <w:pStyle w:val="56"/>
              <w:rPr>
                <w:rFonts w:ascii="Times New Roman" w:hAnsi="Times New Roman"/>
                <w:color w:val="auto"/>
                <w:kern w:val="2"/>
                <w:szCs w:val="24"/>
                <w:highlight w:val="none"/>
              </w:rPr>
            </w:pPr>
          </w:p>
        </w:tc>
        <w:tc>
          <w:tcPr>
            <w:tcW w:w="1215" w:type="dxa"/>
            <w:vMerge w:val="continue"/>
            <w:tcBorders>
              <w:left w:val="single" w:color="auto" w:sz="4" w:space="0"/>
              <w:bottom w:val="single" w:color="auto" w:sz="4" w:space="0"/>
              <w:right w:val="single" w:color="auto" w:sz="4" w:space="0"/>
            </w:tcBorders>
            <w:vAlign w:val="center"/>
          </w:tcPr>
          <w:p>
            <w:pPr>
              <w:adjustRightInd w:val="0"/>
              <w:snapToGrid w:val="0"/>
              <w:jc w:val="center"/>
              <w:rPr>
                <w:color w:val="auto"/>
                <w:sz w:val="24"/>
                <w:highlight w:val="none"/>
              </w:rPr>
            </w:pPr>
          </w:p>
        </w:tc>
        <w:tc>
          <w:tcPr>
            <w:tcW w:w="123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auto"/>
                <w:sz w:val="24"/>
                <w:highlight w:val="none"/>
              </w:rPr>
            </w:pPr>
            <w:r>
              <w:rPr>
                <w:rFonts w:hint="eastAsia"/>
                <w:color w:val="auto"/>
                <w:sz w:val="24"/>
                <w:highlight w:val="none"/>
              </w:rPr>
              <w:t>无组织</w:t>
            </w:r>
          </w:p>
        </w:tc>
        <w:tc>
          <w:tcPr>
            <w:tcW w:w="1425" w:type="dxa"/>
            <w:tcBorders>
              <w:top w:val="single" w:color="auto" w:sz="4" w:space="0"/>
              <w:left w:val="single" w:color="auto" w:sz="4" w:space="0"/>
              <w:bottom w:val="single" w:color="auto" w:sz="4" w:space="0"/>
              <w:right w:val="single" w:color="auto" w:sz="4" w:space="0"/>
            </w:tcBorders>
            <w:vAlign w:val="center"/>
          </w:tcPr>
          <w:p>
            <w:pPr>
              <w:pStyle w:val="55"/>
              <w:snapToGrid w:val="0"/>
              <w:rPr>
                <w:rFonts w:hint="default" w:ascii="Times New Roman" w:hAnsi="Times New Roman" w:eastAsia="宋体"/>
                <w:color w:val="auto"/>
                <w:sz w:val="24"/>
                <w:szCs w:val="24"/>
                <w:highlight w:val="none"/>
                <w:lang w:val="en-US" w:eastAsia="zh-CN"/>
              </w:rPr>
            </w:pPr>
            <w:r>
              <w:rPr>
                <w:rFonts w:hint="eastAsia" w:ascii="Times New Roman" w:hAnsi="Times New Roman"/>
                <w:color w:val="auto"/>
                <w:sz w:val="24"/>
                <w:szCs w:val="24"/>
                <w:highlight w:val="none"/>
                <w:lang w:val="en-US" w:eastAsia="zh-CN"/>
              </w:rPr>
              <w:t>1.414</w:t>
            </w:r>
            <w:r>
              <w:rPr>
                <w:rFonts w:ascii="Times New Roman" w:hAnsi="Times New Roman"/>
                <w:color w:val="auto"/>
                <w:sz w:val="24"/>
                <w:szCs w:val="24"/>
                <w:highlight w:val="none"/>
              </w:rPr>
              <w:t>mg/m</w:t>
            </w:r>
            <w:r>
              <w:rPr>
                <w:rFonts w:ascii="Times New Roman" w:hAnsi="Times New Roman"/>
                <w:color w:val="auto"/>
                <w:sz w:val="24"/>
                <w:szCs w:val="24"/>
                <w:highlight w:val="none"/>
                <w:vertAlign w:val="superscript"/>
              </w:rPr>
              <w:t>3</w:t>
            </w:r>
          </w:p>
        </w:tc>
        <w:tc>
          <w:tcPr>
            <w:tcW w:w="1155" w:type="dxa"/>
            <w:tcBorders>
              <w:top w:val="single" w:color="auto" w:sz="4" w:space="0"/>
              <w:left w:val="single" w:color="auto" w:sz="4" w:space="0"/>
              <w:bottom w:val="single" w:color="auto" w:sz="4" w:space="0"/>
              <w:right w:val="single" w:color="auto" w:sz="4" w:space="0"/>
            </w:tcBorders>
            <w:vAlign w:val="center"/>
          </w:tcPr>
          <w:p>
            <w:pPr>
              <w:pStyle w:val="55"/>
              <w:snapToGrid w:val="0"/>
              <w:rPr>
                <w:rFonts w:ascii="Times New Roman" w:hAnsi="Times New Roman"/>
                <w:color w:val="auto"/>
                <w:sz w:val="24"/>
                <w:szCs w:val="24"/>
                <w:highlight w:val="none"/>
              </w:rPr>
            </w:pPr>
            <w:r>
              <w:rPr>
                <w:rFonts w:hint="eastAsia" w:ascii="Times New Roman" w:hAnsi="Times New Roman"/>
                <w:color w:val="auto"/>
                <w:sz w:val="24"/>
                <w:szCs w:val="24"/>
                <w:highlight w:val="none"/>
                <w:lang w:val="en-US" w:eastAsia="zh-CN"/>
              </w:rPr>
              <w:t>0.108</w:t>
            </w:r>
            <w:r>
              <w:rPr>
                <w:rFonts w:hint="eastAsia" w:ascii="Times New Roman" w:hAnsi="Times New Roman"/>
                <w:color w:val="auto"/>
                <w:sz w:val="24"/>
                <w:szCs w:val="24"/>
                <w:highlight w:val="none"/>
              </w:rPr>
              <w:t>t</w:t>
            </w:r>
            <w:r>
              <w:rPr>
                <w:rFonts w:ascii="Times New Roman" w:hAnsi="Times New Roman"/>
                <w:color w:val="auto"/>
                <w:sz w:val="24"/>
                <w:szCs w:val="24"/>
                <w:highlight w:val="none"/>
              </w:rPr>
              <w:t>/a</w:t>
            </w:r>
          </w:p>
        </w:tc>
        <w:tc>
          <w:tcPr>
            <w:tcW w:w="1395" w:type="dxa"/>
            <w:tcBorders>
              <w:top w:val="single" w:color="auto" w:sz="4" w:space="0"/>
              <w:left w:val="single" w:color="auto" w:sz="4" w:space="0"/>
              <w:bottom w:val="single" w:color="auto" w:sz="4" w:space="0"/>
            </w:tcBorders>
            <w:vAlign w:val="center"/>
          </w:tcPr>
          <w:p>
            <w:pPr>
              <w:pStyle w:val="55"/>
              <w:snapToGrid w:val="0"/>
              <w:rPr>
                <w:rFonts w:hint="default" w:ascii="Times New Roman" w:hAnsi="Times New Roman" w:eastAsia="宋体"/>
                <w:color w:val="auto"/>
                <w:sz w:val="24"/>
                <w:szCs w:val="24"/>
                <w:highlight w:val="none"/>
                <w:lang w:val="en-US" w:eastAsia="zh-CN"/>
              </w:rPr>
            </w:pPr>
            <w:r>
              <w:rPr>
                <w:rFonts w:hint="eastAsia" w:ascii="Times New Roman" w:hAnsi="Times New Roman"/>
                <w:color w:val="auto"/>
                <w:sz w:val="24"/>
                <w:szCs w:val="24"/>
                <w:highlight w:val="none"/>
                <w:lang w:val="en-US" w:eastAsia="zh-CN"/>
              </w:rPr>
              <w:t>1.414</w:t>
            </w:r>
            <w:r>
              <w:rPr>
                <w:rFonts w:ascii="Times New Roman" w:hAnsi="Times New Roman"/>
                <w:color w:val="auto"/>
                <w:sz w:val="24"/>
                <w:szCs w:val="24"/>
                <w:highlight w:val="none"/>
              </w:rPr>
              <w:t>mg/m</w:t>
            </w:r>
            <w:r>
              <w:rPr>
                <w:rFonts w:ascii="Times New Roman" w:hAnsi="Times New Roman"/>
                <w:color w:val="auto"/>
                <w:sz w:val="24"/>
                <w:szCs w:val="24"/>
                <w:highlight w:val="none"/>
                <w:vertAlign w:val="superscript"/>
              </w:rPr>
              <w:t>3</w:t>
            </w:r>
          </w:p>
        </w:tc>
        <w:tc>
          <w:tcPr>
            <w:tcW w:w="1120" w:type="dxa"/>
            <w:tcBorders>
              <w:top w:val="single" w:color="auto" w:sz="4" w:space="0"/>
              <w:left w:val="single" w:color="auto" w:sz="4" w:space="0"/>
              <w:bottom w:val="single" w:color="auto" w:sz="4" w:space="0"/>
            </w:tcBorders>
            <w:vAlign w:val="center"/>
          </w:tcPr>
          <w:p>
            <w:pPr>
              <w:pStyle w:val="55"/>
              <w:snapToGrid w:val="0"/>
              <w:rPr>
                <w:rFonts w:ascii="Times New Roman" w:hAnsi="Times New Roman"/>
                <w:color w:val="auto"/>
                <w:sz w:val="24"/>
                <w:szCs w:val="24"/>
                <w:highlight w:val="none"/>
              </w:rPr>
            </w:pPr>
            <w:r>
              <w:rPr>
                <w:rFonts w:hint="eastAsia" w:ascii="Times New Roman" w:hAnsi="Times New Roman"/>
                <w:color w:val="auto"/>
                <w:sz w:val="24"/>
                <w:szCs w:val="24"/>
                <w:highlight w:val="none"/>
                <w:lang w:val="en-US" w:eastAsia="zh-CN"/>
              </w:rPr>
              <w:t>0.108</w:t>
            </w:r>
            <w:r>
              <w:rPr>
                <w:rFonts w:hint="eastAsia" w:ascii="Times New Roman" w:hAnsi="Times New Roman"/>
                <w:color w:val="auto"/>
                <w:sz w:val="24"/>
                <w:szCs w:val="24"/>
                <w:highlight w:val="none"/>
              </w:rPr>
              <w:t>t</w:t>
            </w:r>
            <w:r>
              <w:rPr>
                <w:rFonts w:ascii="Times New Roman" w:hAnsi="Times New Roman"/>
                <w:color w:val="auto"/>
                <w:sz w:val="24"/>
                <w:szCs w:val="24"/>
                <w:highlight w:val="none"/>
              </w:rPr>
              <w: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98" w:hRule="atLeast"/>
        </w:trPr>
        <w:tc>
          <w:tcPr>
            <w:tcW w:w="755" w:type="dxa"/>
            <w:vMerge w:val="continue"/>
            <w:vAlign w:val="center"/>
          </w:tcPr>
          <w:p>
            <w:pPr>
              <w:jc w:val="center"/>
              <w:rPr>
                <w:color w:val="auto"/>
                <w:sz w:val="24"/>
                <w:highlight w:val="none"/>
              </w:rPr>
            </w:pPr>
          </w:p>
        </w:tc>
        <w:tc>
          <w:tcPr>
            <w:tcW w:w="1351" w:type="dxa"/>
            <w:vMerge w:val="continue"/>
            <w:tcBorders>
              <w:right w:val="single" w:color="auto" w:sz="4" w:space="0"/>
            </w:tcBorders>
            <w:shd w:val="clear" w:color="auto" w:fill="auto"/>
            <w:vAlign w:val="center"/>
          </w:tcPr>
          <w:p>
            <w:pPr>
              <w:pStyle w:val="56"/>
              <w:rPr>
                <w:rFonts w:ascii="Times New Roman" w:hAnsi="Times New Roman"/>
                <w:color w:val="auto"/>
                <w:kern w:val="2"/>
                <w:szCs w:val="24"/>
                <w:highlight w:val="none"/>
              </w:rPr>
            </w:pPr>
          </w:p>
        </w:tc>
        <w:tc>
          <w:tcPr>
            <w:tcW w:w="1215" w:type="dxa"/>
            <w:tcBorders>
              <w:left w:val="single" w:color="auto" w:sz="4" w:space="0"/>
              <w:bottom w:val="single" w:color="auto" w:sz="4" w:space="0"/>
              <w:right w:val="single" w:color="auto" w:sz="4" w:space="0"/>
            </w:tcBorders>
            <w:vAlign w:val="center"/>
          </w:tcPr>
          <w:p>
            <w:pPr>
              <w:pStyle w:val="55"/>
              <w:snapToGrid w:val="0"/>
              <w:rPr>
                <w:rFonts w:hint="eastAsia"/>
                <w:color w:val="auto"/>
                <w:sz w:val="24"/>
                <w:highlight w:val="none"/>
              </w:rPr>
            </w:pPr>
            <w:r>
              <w:rPr>
                <w:rFonts w:hint="eastAsia" w:ascii="Times New Roman" w:hAnsi="Times New Roman"/>
                <w:color w:val="auto"/>
                <w:sz w:val="24"/>
                <w:szCs w:val="24"/>
                <w:highlight w:val="none"/>
                <w:lang w:val="en-US" w:eastAsia="zh-CN"/>
              </w:rPr>
              <w:t>臭气浓度</w:t>
            </w:r>
          </w:p>
        </w:tc>
        <w:tc>
          <w:tcPr>
            <w:tcW w:w="1230" w:type="dxa"/>
            <w:tcBorders>
              <w:left w:val="single" w:color="auto" w:sz="4" w:space="0"/>
              <w:bottom w:val="single" w:color="auto" w:sz="4" w:space="0"/>
              <w:right w:val="single" w:color="auto" w:sz="4" w:space="0"/>
            </w:tcBorders>
            <w:vAlign w:val="center"/>
          </w:tcPr>
          <w:p>
            <w:pPr>
              <w:pStyle w:val="55"/>
              <w:snapToGrid w:val="0"/>
              <w:rPr>
                <w:rFonts w:hint="eastAsia" w:ascii="Times New Roman" w:hAnsi="Times New Roman"/>
                <w:color w:val="auto"/>
                <w:sz w:val="24"/>
                <w:szCs w:val="24"/>
                <w:highlight w:val="none"/>
                <w:lang w:val="en-US" w:eastAsia="zh-CN"/>
              </w:rPr>
            </w:pPr>
            <w:r>
              <w:rPr>
                <w:rFonts w:ascii="Times New Roman" w:hAnsi="Times New Roman"/>
                <w:color w:val="auto"/>
                <w:sz w:val="24"/>
                <w:szCs w:val="24"/>
                <w:highlight w:val="none"/>
              </w:rPr>
              <w:t>无组织</w:t>
            </w:r>
          </w:p>
        </w:tc>
        <w:tc>
          <w:tcPr>
            <w:tcW w:w="2580" w:type="dxa"/>
            <w:gridSpan w:val="2"/>
            <w:tcBorders>
              <w:top w:val="single" w:color="auto" w:sz="4" w:space="0"/>
              <w:left w:val="single" w:color="auto" w:sz="4" w:space="0"/>
              <w:bottom w:val="single" w:color="auto" w:sz="4" w:space="0"/>
              <w:right w:val="single" w:color="auto" w:sz="4" w:space="0"/>
            </w:tcBorders>
            <w:vAlign w:val="center"/>
          </w:tcPr>
          <w:p>
            <w:pPr>
              <w:pStyle w:val="55"/>
              <w:snapToGrid w:val="0"/>
              <w:rPr>
                <w:rFonts w:hint="eastAsia" w:ascii="Times New Roman" w:hAnsi="Times New Roman"/>
                <w:color w:val="auto"/>
                <w:sz w:val="24"/>
                <w:szCs w:val="24"/>
                <w:highlight w:val="none"/>
                <w:lang w:val="en-US" w:eastAsia="zh-CN"/>
              </w:rPr>
            </w:pPr>
            <w:r>
              <w:rPr>
                <w:rFonts w:hint="eastAsia" w:ascii="Times New Roman" w:hAnsi="Times New Roman"/>
                <w:color w:val="auto"/>
                <w:sz w:val="24"/>
                <w:szCs w:val="24"/>
                <w:highlight w:val="none"/>
                <w:lang w:val="en-US" w:eastAsia="zh-CN"/>
              </w:rPr>
              <w:t>&lt;20</w:t>
            </w:r>
            <w:r>
              <w:rPr>
                <w:rFonts w:hint="eastAsia" w:ascii="Times New Roman" w:hAnsi="Times New Roman"/>
                <w:color w:val="auto"/>
                <w:sz w:val="24"/>
                <w:szCs w:val="24"/>
                <w:highlight w:val="none"/>
                <w:lang w:eastAsia="zh-CN"/>
              </w:rPr>
              <w:t>（</w:t>
            </w:r>
            <w:r>
              <w:rPr>
                <w:rFonts w:hint="eastAsia" w:ascii="Times New Roman" w:hAnsi="Times New Roman"/>
                <w:color w:val="auto"/>
                <w:sz w:val="24"/>
                <w:szCs w:val="24"/>
                <w:highlight w:val="none"/>
                <w:lang w:val="en-US" w:eastAsia="zh-CN"/>
              </w:rPr>
              <w:t>无纲量</w:t>
            </w:r>
            <w:r>
              <w:rPr>
                <w:rFonts w:hint="eastAsia" w:ascii="Times New Roman" w:hAnsi="Times New Roman"/>
                <w:color w:val="auto"/>
                <w:sz w:val="24"/>
                <w:szCs w:val="24"/>
                <w:highlight w:val="none"/>
                <w:lang w:eastAsia="zh-CN"/>
              </w:rPr>
              <w:t>）</w:t>
            </w:r>
          </w:p>
        </w:tc>
        <w:tc>
          <w:tcPr>
            <w:tcW w:w="2515" w:type="dxa"/>
            <w:gridSpan w:val="2"/>
            <w:tcBorders>
              <w:top w:val="single" w:color="auto" w:sz="4" w:space="0"/>
              <w:left w:val="single" w:color="auto" w:sz="4" w:space="0"/>
              <w:bottom w:val="single" w:color="auto" w:sz="4" w:space="0"/>
            </w:tcBorders>
            <w:vAlign w:val="center"/>
          </w:tcPr>
          <w:p>
            <w:pPr>
              <w:pStyle w:val="55"/>
              <w:snapToGrid w:val="0"/>
              <w:rPr>
                <w:rFonts w:hint="eastAsia" w:ascii="Times New Roman" w:hAnsi="Times New Roman"/>
                <w:color w:val="auto"/>
                <w:sz w:val="24"/>
                <w:szCs w:val="24"/>
                <w:highlight w:val="none"/>
                <w:lang w:val="en-US" w:eastAsia="zh-CN"/>
              </w:rPr>
            </w:pPr>
            <w:r>
              <w:rPr>
                <w:rFonts w:hint="eastAsia" w:ascii="Times New Roman" w:hAnsi="Times New Roman"/>
                <w:color w:val="auto"/>
                <w:sz w:val="24"/>
                <w:szCs w:val="24"/>
                <w:highlight w:val="none"/>
                <w:lang w:val="en-US" w:eastAsia="zh-CN"/>
              </w:rPr>
              <w:t>&lt;20</w:t>
            </w:r>
            <w:r>
              <w:rPr>
                <w:rFonts w:hint="eastAsia" w:ascii="Times New Roman" w:hAnsi="Times New Roman"/>
                <w:color w:val="auto"/>
                <w:sz w:val="24"/>
                <w:szCs w:val="24"/>
                <w:highlight w:val="none"/>
                <w:lang w:eastAsia="zh-CN"/>
              </w:rPr>
              <w:t>（</w:t>
            </w:r>
            <w:r>
              <w:rPr>
                <w:rFonts w:hint="eastAsia" w:ascii="Times New Roman" w:hAnsi="Times New Roman"/>
                <w:color w:val="auto"/>
                <w:sz w:val="24"/>
                <w:szCs w:val="24"/>
                <w:highlight w:val="none"/>
                <w:lang w:val="en-US" w:eastAsia="zh-CN"/>
              </w:rPr>
              <w:t>无纲量</w:t>
            </w:r>
            <w:r>
              <w:rPr>
                <w:rFonts w:hint="eastAsia" w:ascii="Times New Roman" w:hAnsi="Times New Roman"/>
                <w:color w:val="auto"/>
                <w:sz w:val="24"/>
                <w:szCs w:val="24"/>
                <w:highlight w:val="none"/>
                <w:lang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98" w:hRule="atLeast"/>
        </w:trPr>
        <w:tc>
          <w:tcPr>
            <w:tcW w:w="755" w:type="dxa"/>
            <w:vMerge w:val="continue"/>
            <w:vAlign w:val="center"/>
          </w:tcPr>
          <w:p>
            <w:pPr>
              <w:jc w:val="center"/>
              <w:rPr>
                <w:color w:val="auto"/>
                <w:sz w:val="24"/>
                <w:highlight w:val="none"/>
              </w:rPr>
            </w:pPr>
          </w:p>
        </w:tc>
        <w:tc>
          <w:tcPr>
            <w:tcW w:w="1351" w:type="dxa"/>
            <w:vMerge w:val="continue"/>
            <w:tcBorders>
              <w:right w:val="single" w:color="auto" w:sz="4" w:space="0"/>
            </w:tcBorders>
            <w:shd w:val="clear" w:color="auto" w:fill="auto"/>
            <w:vAlign w:val="center"/>
          </w:tcPr>
          <w:p>
            <w:pPr>
              <w:pStyle w:val="56"/>
              <w:rPr>
                <w:rFonts w:ascii="Times New Roman" w:hAnsi="Times New Roman"/>
                <w:color w:val="auto"/>
                <w:kern w:val="2"/>
                <w:szCs w:val="24"/>
                <w:highlight w:val="none"/>
              </w:rPr>
            </w:pPr>
          </w:p>
        </w:tc>
        <w:tc>
          <w:tcPr>
            <w:tcW w:w="1215" w:type="dxa"/>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eastAsia"/>
                <w:color w:val="auto"/>
                <w:sz w:val="24"/>
                <w:szCs w:val="24"/>
                <w:highlight w:val="none"/>
              </w:rPr>
            </w:pPr>
            <w:r>
              <w:rPr>
                <w:rFonts w:hint="default" w:ascii="Times New Roman" w:hAnsi="Times New Roman" w:cs="Times New Roman"/>
                <w:color w:val="auto"/>
                <w:sz w:val="24"/>
                <w:szCs w:val="24"/>
                <w:highlight w:val="none"/>
                <w:u w:val="none"/>
                <w:lang w:val="en-US" w:eastAsia="zh-CN"/>
              </w:rPr>
              <w:t>苯乙烯</w:t>
            </w:r>
          </w:p>
        </w:tc>
        <w:tc>
          <w:tcPr>
            <w:tcW w:w="1230" w:type="dxa"/>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default" w:ascii="Times New Roman" w:hAnsi="Times New Roman" w:cs="Times New Roman"/>
                <w:color w:val="auto"/>
                <w:sz w:val="24"/>
                <w:szCs w:val="24"/>
                <w:highlight w:val="none"/>
                <w:u w:val="none"/>
                <w:lang w:val="en-US" w:eastAsia="zh-CN"/>
              </w:rPr>
            </w:pPr>
            <w:r>
              <w:rPr>
                <w:rFonts w:ascii="Times New Roman" w:hAnsi="Times New Roman"/>
                <w:color w:val="auto"/>
                <w:sz w:val="24"/>
                <w:szCs w:val="24"/>
                <w:highlight w:val="none"/>
              </w:rPr>
              <w:t>无组织</w:t>
            </w:r>
          </w:p>
        </w:tc>
        <w:tc>
          <w:tcPr>
            <w:tcW w:w="2580"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eastAsia" w:ascii="Times New Roman" w:hAnsi="Times New Roman"/>
                <w:color w:val="auto"/>
                <w:sz w:val="24"/>
                <w:szCs w:val="24"/>
                <w:highlight w:val="none"/>
                <w:lang w:val="en-US" w:eastAsia="zh-CN"/>
              </w:rPr>
            </w:pPr>
            <w:r>
              <w:rPr>
                <w:rFonts w:hint="default" w:ascii="Times New Roman" w:hAnsi="Times New Roman" w:eastAsia="宋体" w:cs="Times New Roman"/>
                <w:bCs/>
                <w:color w:val="auto"/>
                <w:sz w:val="24"/>
                <w:szCs w:val="24"/>
                <w:highlight w:val="none"/>
                <w:u w:val="none"/>
                <w:lang w:val="en-US" w:eastAsia="zh-CN"/>
              </w:rPr>
              <w:t>少量</w:t>
            </w:r>
          </w:p>
        </w:tc>
        <w:tc>
          <w:tcPr>
            <w:tcW w:w="2515" w:type="dxa"/>
            <w:gridSpan w:val="2"/>
            <w:tcBorders>
              <w:top w:val="single" w:color="auto" w:sz="4" w:space="0"/>
              <w:left w:val="single" w:color="auto" w:sz="4" w:space="0"/>
              <w:bottom w:val="single" w:color="auto" w:sz="4" w:space="0"/>
            </w:tcBorders>
            <w:vAlign w:val="center"/>
          </w:tcPr>
          <w:p>
            <w:pPr>
              <w:keepNext w:val="0"/>
              <w:keepLines w:val="0"/>
              <w:pageBreakBefore w:val="0"/>
              <w:widowControl w:val="0"/>
              <w:kinsoku/>
              <w:wordWrap/>
              <w:overflowPunct/>
              <w:topLinePunct w:val="0"/>
              <w:bidi w:val="0"/>
              <w:spacing w:line="240" w:lineRule="auto"/>
              <w:ind w:left="0" w:leftChars="0" w:right="0" w:rightChars="0"/>
              <w:jc w:val="center"/>
              <w:outlineLvl w:val="9"/>
              <w:rPr>
                <w:rFonts w:hint="eastAsia" w:ascii="Times New Roman" w:hAnsi="Times New Roman"/>
                <w:color w:val="auto"/>
                <w:sz w:val="24"/>
                <w:szCs w:val="24"/>
                <w:highlight w:val="none"/>
                <w:lang w:val="en-US" w:eastAsia="zh-CN"/>
              </w:rPr>
            </w:pPr>
            <w:r>
              <w:rPr>
                <w:rFonts w:hint="default" w:ascii="Times New Roman" w:hAnsi="Times New Roman" w:eastAsia="宋体" w:cs="Times New Roman"/>
                <w:bCs/>
                <w:color w:val="auto"/>
                <w:sz w:val="24"/>
                <w:szCs w:val="24"/>
                <w:highlight w:val="none"/>
                <w:u w:val="none"/>
                <w:lang w:val="en-US" w:eastAsia="zh-CN"/>
              </w:rPr>
              <w:t>少量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98" w:hRule="atLeast"/>
        </w:trPr>
        <w:tc>
          <w:tcPr>
            <w:tcW w:w="755" w:type="dxa"/>
            <w:vMerge w:val="continue"/>
            <w:vAlign w:val="center"/>
          </w:tcPr>
          <w:p>
            <w:pPr>
              <w:jc w:val="center"/>
              <w:rPr>
                <w:color w:val="auto"/>
                <w:sz w:val="24"/>
                <w:highlight w:val="none"/>
              </w:rPr>
            </w:pPr>
          </w:p>
        </w:tc>
        <w:tc>
          <w:tcPr>
            <w:tcW w:w="1351" w:type="dxa"/>
            <w:vMerge w:val="continue"/>
            <w:tcBorders>
              <w:right w:val="single" w:color="auto" w:sz="4" w:space="0"/>
            </w:tcBorders>
            <w:shd w:val="clear" w:color="auto" w:fill="auto"/>
            <w:vAlign w:val="center"/>
          </w:tcPr>
          <w:p>
            <w:pPr>
              <w:pStyle w:val="56"/>
              <w:rPr>
                <w:rFonts w:ascii="Times New Roman" w:hAnsi="Times New Roman"/>
                <w:color w:val="auto"/>
                <w:kern w:val="2"/>
                <w:szCs w:val="24"/>
                <w:highlight w:val="none"/>
              </w:rPr>
            </w:pPr>
          </w:p>
        </w:tc>
        <w:tc>
          <w:tcPr>
            <w:tcW w:w="1215" w:type="dxa"/>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eastAsia"/>
                <w:color w:val="auto"/>
                <w:sz w:val="24"/>
                <w:szCs w:val="24"/>
                <w:highlight w:val="none"/>
              </w:rPr>
            </w:pPr>
            <w:r>
              <w:rPr>
                <w:rFonts w:hint="default" w:ascii="Times New Roman" w:hAnsi="Times New Roman" w:cs="Times New Roman"/>
                <w:color w:val="auto"/>
                <w:sz w:val="24"/>
                <w:szCs w:val="24"/>
                <w:highlight w:val="none"/>
                <w:u w:val="none"/>
                <w:lang w:val="en-US" w:eastAsia="zh-CN"/>
              </w:rPr>
              <w:t>丙烯腈</w:t>
            </w:r>
          </w:p>
        </w:tc>
        <w:tc>
          <w:tcPr>
            <w:tcW w:w="1230" w:type="dxa"/>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default" w:ascii="Times New Roman" w:hAnsi="Times New Roman" w:cs="Times New Roman"/>
                <w:color w:val="auto"/>
                <w:sz w:val="24"/>
                <w:szCs w:val="24"/>
                <w:highlight w:val="none"/>
                <w:u w:val="none"/>
                <w:lang w:val="en-US" w:eastAsia="zh-CN"/>
              </w:rPr>
            </w:pPr>
            <w:r>
              <w:rPr>
                <w:rFonts w:ascii="Times New Roman" w:hAnsi="Times New Roman"/>
                <w:color w:val="auto"/>
                <w:sz w:val="24"/>
                <w:szCs w:val="24"/>
                <w:highlight w:val="none"/>
              </w:rPr>
              <w:t>无组织</w:t>
            </w:r>
          </w:p>
        </w:tc>
        <w:tc>
          <w:tcPr>
            <w:tcW w:w="2580"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eastAsia" w:ascii="Times New Roman" w:hAnsi="Times New Roman"/>
                <w:color w:val="auto"/>
                <w:sz w:val="24"/>
                <w:szCs w:val="24"/>
                <w:highlight w:val="none"/>
                <w:lang w:val="en-US" w:eastAsia="zh-CN"/>
              </w:rPr>
            </w:pPr>
            <w:r>
              <w:rPr>
                <w:rFonts w:hint="default" w:ascii="Times New Roman" w:hAnsi="Times New Roman" w:eastAsia="宋体" w:cs="Times New Roman"/>
                <w:bCs/>
                <w:color w:val="auto"/>
                <w:sz w:val="24"/>
                <w:szCs w:val="24"/>
                <w:highlight w:val="none"/>
                <w:u w:val="none"/>
                <w:lang w:val="en-US" w:eastAsia="zh-CN"/>
              </w:rPr>
              <w:t>少量</w:t>
            </w:r>
          </w:p>
        </w:tc>
        <w:tc>
          <w:tcPr>
            <w:tcW w:w="2515" w:type="dxa"/>
            <w:gridSpan w:val="2"/>
            <w:tcBorders>
              <w:top w:val="single" w:color="auto" w:sz="4" w:space="0"/>
              <w:left w:val="single" w:color="auto" w:sz="4" w:space="0"/>
              <w:bottom w:val="single" w:color="auto" w:sz="4" w:space="0"/>
            </w:tcBorders>
            <w:vAlign w:val="center"/>
          </w:tcPr>
          <w:p>
            <w:pPr>
              <w:keepNext w:val="0"/>
              <w:keepLines w:val="0"/>
              <w:pageBreakBefore w:val="0"/>
              <w:widowControl w:val="0"/>
              <w:kinsoku/>
              <w:wordWrap/>
              <w:overflowPunct/>
              <w:topLinePunct w:val="0"/>
              <w:bidi w:val="0"/>
              <w:spacing w:line="240" w:lineRule="auto"/>
              <w:ind w:left="0" w:leftChars="0" w:right="0" w:rightChars="0"/>
              <w:jc w:val="center"/>
              <w:outlineLvl w:val="9"/>
              <w:rPr>
                <w:rFonts w:hint="eastAsia" w:ascii="Times New Roman" w:hAnsi="Times New Roman"/>
                <w:color w:val="auto"/>
                <w:sz w:val="24"/>
                <w:szCs w:val="24"/>
                <w:highlight w:val="none"/>
                <w:lang w:val="en-US" w:eastAsia="zh-CN"/>
              </w:rPr>
            </w:pPr>
            <w:r>
              <w:rPr>
                <w:rFonts w:hint="default" w:ascii="Times New Roman" w:hAnsi="Times New Roman" w:eastAsia="宋体" w:cs="Times New Roman"/>
                <w:bCs/>
                <w:color w:val="auto"/>
                <w:sz w:val="24"/>
                <w:szCs w:val="24"/>
                <w:highlight w:val="none"/>
                <w:u w:val="none"/>
                <w:lang w:val="en-US" w:eastAsia="zh-CN"/>
              </w:rPr>
              <w:t>少量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98" w:hRule="atLeast"/>
        </w:trPr>
        <w:tc>
          <w:tcPr>
            <w:tcW w:w="755" w:type="dxa"/>
            <w:vMerge w:val="continue"/>
            <w:vAlign w:val="center"/>
          </w:tcPr>
          <w:p>
            <w:pPr>
              <w:jc w:val="center"/>
              <w:rPr>
                <w:color w:val="auto"/>
                <w:sz w:val="24"/>
                <w:highlight w:val="none"/>
              </w:rPr>
            </w:pPr>
          </w:p>
        </w:tc>
        <w:tc>
          <w:tcPr>
            <w:tcW w:w="1351" w:type="dxa"/>
            <w:vMerge w:val="continue"/>
            <w:tcBorders>
              <w:right w:val="single" w:color="auto" w:sz="4" w:space="0"/>
            </w:tcBorders>
            <w:shd w:val="clear" w:color="auto" w:fill="auto"/>
            <w:vAlign w:val="center"/>
          </w:tcPr>
          <w:p>
            <w:pPr>
              <w:pStyle w:val="56"/>
              <w:rPr>
                <w:rFonts w:ascii="Times New Roman" w:hAnsi="Times New Roman"/>
                <w:color w:val="auto"/>
                <w:kern w:val="2"/>
                <w:szCs w:val="24"/>
                <w:highlight w:val="none"/>
              </w:rPr>
            </w:pPr>
          </w:p>
        </w:tc>
        <w:tc>
          <w:tcPr>
            <w:tcW w:w="1215" w:type="dxa"/>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eastAsia"/>
                <w:color w:val="auto"/>
                <w:sz w:val="24"/>
                <w:szCs w:val="24"/>
                <w:highlight w:val="none"/>
              </w:rPr>
            </w:pPr>
            <w:r>
              <w:rPr>
                <w:rFonts w:hint="default" w:ascii="Times New Roman" w:hAnsi="Times New Roman" w:cs="Times New Roman"/>
                <w:color w:val="auto"/>
                <w:sz w:val="24"/>
                <w:szCs w:val="24"/>
                <w:highlight w:val="none"/>
                <w:u w:val="none"/>
                <w:lang w:val="en-US" w:eastAsia="zh-CN"/>
              </w:rPr>
              <w:t>1,3-丁二烯</w:t>
            </w:r>
          </w:p>
        </w:tc>
        <w:tc>
          <w:tcPr>
            <w:tcW w:w="1230" w:type="dxa"/>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default" w:ascii="Times New Roman" w:hAnsi="Times New Roman" w:cs="Times New Roman"/>
                <w:color w:val="auto"/>
                <w:sz w:val="24"/>
                <w:szCs w:val="24"/>
                <w:highlight w:val="none"/>
                <w:u w:val="none"/>
                <w:lang w:val="en-US" w:eastAsia="zh-CN"/>
              </w:rPr>
            </w:pPr>
            <w:r>
              <w:rPr>
                <w:rFonts w:ascii="Times New Roman" w:hAnsi="Times New Roman"/>
                <w:color w:val="auto"/>
                <w:sz w:val="24"/>
                <w:szCs w:val="24"/>
                <w:highlight w:val="none"/>
              </w:rPr>
              <w:t>无组织</w:t>
            </w:r>
          </w:p>
        </w:tc>
        <w:tc>
          <w:tcPr>
            <w:tcW w:w="2580"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eastAsia" w:ascii="Times New Roman" w:hAnsi="Times New Roman"/>
                <w:color w:val="auto"/>
                <w:sz w:val="24"/>
                <w:szCs w:val="24"/>
                <w:highlight w:val="none"/>
                <w:lang w:val="en-US" w:eastAsia="zh-CN"/>
              </w:rPr>
            </w:pPr>
            <w:r>
              <w:rPr>
                <w:rFonts w:hint="default" w:ascii="Times New Roman" w:hAnsi="Times New Roman" w:eastAsia="宋体" w:cs="Times New Roman"/>
                <w:bCs/>
                <w:color w:val="auto"/>
                <w:sz w:val="24"/>
                <w:szCs w:val="24"/>
                <w:highlight w:val="none"/>
                <w:u w:val="none"/>
                <w:lang w:val="en-US" w:eastAsia="zh-CN"/>
              </w:rPr>
              <w:t>少量</w:t>
            </w:r>
          </w:p>
        </w:tc>
        <w:tc>
          <w:tcPr>
            <w:tcW w:w="2515" w:type="dxa"/>
            <w:gridSpan w:val="2"/>
            <w:tcBorders>
              <w:top w:val="single" w:color="auto" w:sz="4" w:space="0"/>
              <w:left w:val="single" w:color="auto" w:sz="4" w:space="0"/>
              <w:bottom w:val="single" w:color="auto" w:sz="4" w:space="0"/>
            </w:tcBorders>
            <w:vAlign w:val="center"/>
          </w:tcPr>
          <w:p>
            <w:pPr>
              <w:keepNext w:val="0"/>
              <w:keepLines w:val="0"/>
              <w:pageBreakBefore w:val="0"/>
              <w:widowControl w:val="0"/>
              <w:kinsoku/>
              <w:wordWrap/>
              <w:overflowPunct/>
              <w:topLinePunct w:val="0"/>
              <w:bidi w:val="0"/>
              <w:spacing w:line="240" w:lineRule="auto"/>
              <w:ind w:left="0" w:leftChars="0" w:right="0" w:rightChars="0"/>
              <w:jc w:val="center"/>
              <w:outlineLvl w:val="9"/>
              <w:rPr>
                <w:rFonts w:hint="eastAsia" w:ascii="Times New Roman" w:hAnsi="Times New Roman"/>
                <w:color w:val="auto"/>
                <w:sz w:val="24"/>
                <w:szCs w:val="24"/>
                <w:highlight w:val="none"/>
                <w:lang w:val="en-US" w:eastAsia="zh-CN"/>
              </w:rPr>
            </w:pPr>
            <w:r>
              <w:rPr>
                <w:rFonts w:hint="default" w:ascii="Times New Roman" w:hAnsi="Times New Roman" w:eastAsia="宋体" w:cs="Times New Roman"/>
                <w:bCs/>
                <w:color w:val="auto"/>
                <w:sz w:val="24"/>
                <w:szCs w:val="24"/>
                <w:highlight w:val="none"/>
                <w:u w:val="none"/>
                <w:lang w:val="en-US" w:eastAsia="zh-CN"/>
              </w:rPr>
              <w:t>少量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98" w:hRule="atLeast"/>
        </w:trPr>
        <w:tc>
          <w:tcPr>
            <w:tcW w:w="755" w:type="dxa"/>
            <w:vMerge w:val="continue"/>
            <w:vAlign w:val="center"/>
          </w:tcPr>
          <w:p>
            <w:pPr>
              <w:jc w:val="center"/>
              <w:rPr>
                <w:color w:val="auto"/>
                <w:sz w:val="24"/>
                <w:highlight w:val="none"/>
              </w:rPr>
            </w:pPr>
          </w:p>
        </w:tc>
        <w:tc>
          <w:tcPr>
            <w:tcW w:w="1351" w:type="dxa"/>
            <w:vMerge w:val="continue"/>
            <w:tcBorders>
              <w:right w:val="single" w:color="auto" w:sz="4" w:space="0"/>
            </w:tcBorders>
            <w:shd w:val="clear" w:color="auto" w:fill="auto"/>
            <w:vAlign w:val="center"/>
          </w:tcPr>
          <w:p>
            <w:pPr>
              <w:pStyle w:val="56"/>
              <w:rPr>
                <w:rFonts w:ascii="Times New Roman" w:hAnsi="Times New Roman"/>
                <w:color w:val="auto"/>
                <w:kern w:val="2"/>
                <w:szCs w:val="24"/>
                <w:highlight w:val="none"/>
              </w:rPr>
            </w:pPr>
          </w:p>
        </w:tc>
        <w:tc>
          <w:tcPr>
            <w:tcW w:w="1215" w:type="dxa"/>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eastAsia"/>
                <w:color w:val="auto"/>
                <w:sz w:val="24"/>
                <w:szCs w:val="24"/>
                <w:highlight w:val="none"/>
              </w:rPr>
            </w:pPr>
            <w:r>
              <w:rPr>
                <w:rFonts w:hint="default" w:ascii="Times New Roman" w:hAnsi="Times New Roman" w:cs="Times New Roman"/>
                <w:color w:val="auto"/>
                <w:sz w:val="24"/>
                <w:szCs w:val="24"/>
                <w:highlight w:val="none"/>
                <w:u w:val="none"/>
                <w:lang w:val="en-US" w:eastAsia="zh-CN"/>
              </w:rPr>
              <w:t>甲苯</w:t>
            </w:r>
          </w:p>
        </w:tc>
        <w:tc>
          <w:tcPr>
            <w:tcW w:w="1230" w:type="dxa"/>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default" w:ascii="Times New Roman" w:hAnsi="Times New Roman" w:cs="Times New Roman"/>
                <w:color w:val="auto"/>
                <w:sz w:val="24"/>
                <w:szCs w:val="24"/>
                <w:highlight w:val="none"/>
                <w:u w:val="none"/>
                <w:lang w:val="en-US" w:eastAsia="zh-CN"/>
              </w:rPr>
            </w:pPr>
            <w:r>
              <w:rPr>
                <w:rFonts w:ascii="Times New Roman" w:hAnsi="Times New Roman"/>
                <w:color w:val="auto"/>
                <w:sz w:val="24"/>
                <w:szCs w:val="24"/>
                <w:highlight w:val="none"/>
              </w:rPr>
              <w:t>无组织</w:t>
            </w:r>
          </w:p>
        </w:tc>
        <w:tc>
          <w:tcPr>
            <w:tcW w:w="2580"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eastAsia" w:ascii="Times New Roman" w:hAnsi="Times New Roman"/>
                <w:color w:val="auto"/>
                <w:sz w:val="24"/>
                <w:szCs w:val="24"/>
                <w:highlight w:val="none"/>
                <w:lang w:val="en-US" w:eastAsia="zh-CN"/>
              </w:rPr>
            </w:pPr>
            <w:r>
              <w:rPr>
                <w:rFonts w:hint="default" w:ascii="Times New Roman" w:hAnsi="Times New Roman" w:eastAsia="宋体" w:cs="Times New Roman"/>
                <w:bCs/>
                <w:color w:val="auto"/>
                <w:sz w:val="24"/>
                <w:szCs w:val="24"/>
                <w:highlight w:val="none"/>
                <w:u w:val="none"/>
                <w:lang w:val="en-US" w:eastAsia="zh-CN"/>
              </w:rPr>
              <w:t>少量</w:t>
            </w:r>
          </w:p>
        </w:tc>
        <w:tc>
          <w:tcPr>
            <w:tcW w:w="2515" w:type="dxa"/>
            <w:gridSpan w:val="2"/>
            <w:tcBorders>
              <w:top w:val="single" w:color="auto" w:sz="4" w:space="0"/>
              <w:left w:val="single" w:color="auto" w:sz="4" w:space="0"/>
              <w:bottom w:val="single" w:color="auto" w:sz="4" w:space="0"/>
            </w:tcBorders>
            <w:vAlign w:val="center"/>
          </w:tcPr>
          <w:p>
            <w:pPr>
              <w:keepNext w:val="0"/>
              <w:keepLines w:val="0"/>
              <w:pageBreakBefore w:val="0"/>
              <w:widowControl w:val="0"/>
              <w:kinsoku/>
              <w:wordWrap/>
              <w:overflowPunct/>
              <w:topLinePunct w:val="0"/>
              <w:bidi w:val="0"/>
              <w:spacing w:line="240" w:lineRule="auto"/>
              <w:ind w:left="0" w:leftChars="0" w:right="0" w:rightChars="0"/>
              <w:jc w:val="center"/>
              <w:outlineLvl w:val="9"/>
              <w:rPr>
                <w:rFonts w:hint="eastAsia" w:ascii="Times New Roman" w:hAnsi="Times New Roman"/>
                <w:color w:val="auto"/>
                <w:sz w:val="24"/>
                <w:szCs w:val="24"/>
                <w:highlight w:val="none"/>
                <w:lang w:val="en-US" w:eastAsia="zh-CN"/>
              </w:rPr>
            </w:pPr>
            <w:r>
              <w:rPr>
                <w:rFonts w:hint="default" w:ascii="Times New Roman" w:hAnsi="Times New Roman" w:eastAsia="宋体" w:cs="Times New Roman"/>
                <w:bCs/>
                <w:color w:val="auto"/>
                <w:sz w:val="24"/>
                <w:szCs w:val="24"/>
                <w:highlight w:val="none"/>
                <w:u w:val="none"/>
                <w:lang w:val="en-US" w:eastAsia="zh-CN"/>
              </w:rPr>
              <w:t>少量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98" w:hRule="atLeast"/>
        </w:trPr>
        <w:tc>
          <w:tcPr>
            <w:tcW w:w="755" w:type="dxa"/>
            <w:vMerge w:val="continue"/>
            <w:vAlign w:val="center"/>
          </w:tcPr>
          <w:p>
            <w:pPr>
              <w:jc w:val="center"/>
              <w:rPr>
                <w:color w:val="auto"/>
                <w:sz w:val="24"/>
                <w:highlight w:val="none"/>
              </w:rPr>
            </w:pPr>
          </w:p>
        </w:tc>
        <w:tc>
          <w:tcPr>
            <w:tcW w:w="1351" w:type="dxa"/>
            <w:vMerge w:val="continue"/>
            <w:tcBorders>
              <w:bottom w:val="single" w:color="auto" w:sz="4" w:space="0"/>
              <w:right w:val="single" w:color="auto" w:sz="4" w:space="0"/>
            </w:tcBorders>
            <w:shd w:val="clear" w:color="auto" w:fill="auto"/>
            <w:vAlign w:val="center"/>
          </w:tcPr>
          <w:p>
            <w:pPr>
              <w:pStyle w:val="56"/>
              <w:rPr>
                <w:rFonts w:ascii="Times New Roman" w:hAnsi="Times New Roman"/>
                <w:color w:val="auto"/>
                <w:kern w:val="2"/>
                <w:szCs w:val="24"/>
                <w:highlight w:val="none"/>
              </w:rPr>
            </w:pPr>
          </w:p>
        </w:tc>
        <w:tc>
          <w:tcPr>
            <w:tcW w:w="1215" w:type="dxa"/>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eastAsia"/>
                <w:color w:val="auto"/>
                <w:sz w:val="24"/>
                <w:szCs w:val="24"/>
                <w:highlight w:val="none"/>
              </w:rPr>
            </w:pPr>
            <w:r>
              <w:rPr>
                <w:rFonts w:hint="default" w:ascii="Times New Roman" w:hAnsi="Times New Roman" w:cs="Times New Roman"/>
                <w:color w:val="auto"/>
                <w:sz w:val="24"/>
                <w:szCs w:val="24"/>
                <w:highlight w:val="none"/>
                <w:u w:val="none"/>
                <w:lang w:val="en-US" w:eastAsia="zh-CN"/>
              </w:rPr>
              <w:t>乙苯</w:t>
            </w:r>
          </w:p>
        </w:tc>
        <w:tc>
          <w:tcPr>
            <w:tcW w:w="1230" w:type="dxa"/>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default" w:ascii="Times New Roman" w:hAnsi="Times New Roman" w:cs="Times New Roman"/>
                <w:color w:val="auto"/>
                <w:sz w:val="24"/>
                <w:szCs w:val="24"/>
                <w:highlight w:val="none"/>
                <w:u w:val="none"/>
                <w:lang w:val="en-US" w:eastAsia="zh-CN"/>
              </w:rPr>
            </w:pPr>
            <w:r>
              <w:rPr>
                <w:rFonts w:ascii="Times New Roman" w:hAnsi="Times New Roman"/>
                <w:color w:val="auto"/>
                <w:sz w:val="24"/>
                <w:szCs w:val="24"/>
                <w:highlight w:val="none"/>
              </w:rPr>
              <w:t>无组织</w:t>
            </w:r>
          </w:p>
        </w:tc>
        <w:tc>
          <w:tcPr>
            <w:tcW w:w="2580"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eastAsia" w:ascii="Times New Roman" w:hAnsi="Times New Roman"/>
                <w:color w:val="auto"/>
                <w:sz w:val="24"/>
                <w:szCs w:val="24"/>
                <w:highlight w:val="none"/>
                <w:lang w:val="en-US" w:eastAsia="zh-CN"/>
              </w:rPr>
            </w:pPr>
            <w:r>
              <w:rPr>
                <w:rFonts w:hint="default" w:ascii="Times New Roman" w:hAnsi="Times New Roman" w:eastAsia="宋体" w:cs="Times New Roman"/>
                <w:bCs/>
                <w:color w:val="auto"/>
                <w:sz w:val="24"/>
                <w:szCs w:val="24"/>
                <w:highlight w:val="none"/>
                <w:u w:val="none"/>
                <w:lang w:val="en-US" w:eastAsia="zh-CN"/>
              </w:rPr>
              <w:t>少量</w:t>
            </w:r>
          </w:p>
        </w:tc>
        <w:tc>
          <w:tcPr>
            <w:tcW w:w="2515" w:type="dxa"/>
            <w:gridSpan w:val="2"/>
            <w:tcBorders>
              <w:top w:val="single" w:color="auto" w:sz="4" w:space="0"/>
              <w:left w:val="single" w:color="auto" w:sz="4" w:space="0"/>
              <w:bottom w:val="single" w:color="auto" w:sz="4" w:space="0"/>
            </w:tcBorders>
            <w:vAlign w:val="center"/>
          </w:tcPr>
          <w:p>
            <w:pPr>
              <w:keepNext w:val="0"/>
              <w:keepLines w:val="0"/>
              <w:pageBreakBefore w:val="0"/>
              <w:widowControl w:val="0"/>
              <w:kinsoku/>
              <w:wordWrap/>
              <w:overflowPunct/>
              <w:topLinePunct w:val="0"/>
              <w:bidi w:val="0"/>
              <w:spacing w:line="240" w:lineRule="auto"/>
              <w:ind w:left="0" w:leftChars="0" w:right="0" w:rightChars="0"/>
              <w:jc w:val="center"/>
              <w:outlineLvl w:val="9"/>
              <w:rPr>
                <w:rFonts w:hint="eastAsia" w:ascii="Times New Roman" w:hAnsi="Times New Roman"/>
                <w:color w:val="auto"/>
                <w:sz w:val="24"/>
                <w:szCs w:val="24"/>
                <w:highlight w:val="none"/>
                <w:lang w:val="en-US" w:eastAsia="zh-CN"/>
              </w:rPr>
            </w:pPr>
            <w:r>
              <w:rPr>
                <w:rFonts w:hint="default" w:ascii="Times New Roman" w:hAnsi="Times New Roman" w:eastAsia="宋体" w:cs="Times New Roman"/>
                <w:bCs/>
                <w:color w:val="auto"/>
                <w:sz w:val="24"/>
                <w:szCs w:val="24"/>
                <w:highlight w:val="none"/>
                <w:u w:val="none"/>
                <w:lang w:val="en-US" w:eastAsia="zh-CN"/>
              </w:rPr>
              <w:t>少量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9" w:hRule="atLeast"/>
        </w:trPr>
        <w:tc>
          <w:tcPr>
            <w:tcW w:w="755" w:type="dxa"/>
            <w:vMerge w:val="continue"/>
            <w:vAlign w:val="center"/>
          </w:tcPr>
          <w:p>
            <w:pPr>
              <w:jc w:val="center"/>
              <w:rPr>
                <w:color w:val="auto"/>
                <w:sz w:val="24"/>
                <w:highlight w:val="none"/>
              </w:rPr>
            </w:pPr>
          </w:p>
        </w:tc>
        <w:tc>
          <w:tcPr>
            <w:tcW w:w="1351" w:type="dxa"/>
            <w:tcBorders>
              <w:top w:val="single" w:color="auto" w:sz="4" w:space="0"/>
              <w:right w:val="single" w:color="auto" w:sz="4" w:space="0"/>
            </w:tcBorders>
            <w:shd w:val="clear" w:color="auto" w:fill="auto"/>
            <w:vAlign w:val="center"/>
          </w:tcPr>
          <w:p>
            <w:pPr>
              <w:pStyle w:val="56"/>
              <w:rPr>
                <w:rFonts w:ascii="Times New Roman" w:hAnsi="Times New Roman"/>
                <w:color w:val="auto"/>
                <w:kern w:val="2"/>
                <w:szCs w:val="24"/>
                <w:highlight w:val="none"/>
              </w:rPr>
            </w:pPr>
            <w:r>
              <w:rPr>
                <w:rFonts w:hint="eastAsia" w:ascii="Times New Roman" w:hAnsi="Times New Roman"/>
                <w:color w:val="auto"/>
                <w:kern w:val="2"/>
                <w:szCs w:val="24"/>
                <w:highlight w:val="none"/>
              </w:rPr>
              <w:t>破碎工序</w:t>
            </w:r>
          </w:p>
        </w:tc>
        <w:tc>
          <w:tcPr>
            <w:tcW w:w="1215" w:type="dxa"/>
            <w:tcBorders>
              <w:top w:val="single" w:color="auto" w:sz="4" w:space="0"/>
              <w:left w:val="single" w:color="auto" w:sz="4" w:space="0"/>
              <w:bottom w:val="single" w:color="auto" w:sz="4" w:space="0"/>
              <w:right w:val="single" w:color="auto" w:sz="4" w:space="0"/>
            </w:tcBorders>
            <w:vAlign w:val="center"/>
          </w:tcPr>
          <w:p>
            <w:pPr>
              <w:pStyle w:val="55"/>
              <w:snapToGrid w:val="0"/>
              <w:rPr>
                <w:color w:val="auto"/>
                <w:sz w:val="24"/>
                <w:szCs w:val="24"/>
                <w:highlight w:val="none"/>
              </w:rPr>
            </w:pPr>
            <w:r>
              <w:rPr>
                <w:rFonts w:hint="eastAsia"/>
                <w:color w:val="auto"/>
                <w:sz w:val="24"/>
                <w:szCs w:val="24"/>
                <w:highlight w:val="none"/>
              </w:rPr>
              <w:t>粉尘</w:t>
            </w:r>
          </w:p>
        </w:tc>
        <w:tc>
          <w:tcPr>
            <w:tcW w:w="1230" w:type="dxa"/>
            <w:tcBorders>
              <w:top w:val="single" w:color="auto" w:sz="4" w:space="0"/>
              <w:left w:val="single" w:color="auto" w:sz="4" w:space="0"/>
              <w:bottom w:val="single" w:color="auto" w:sz="4" w:space="0"/>
              <w:right w:val="single" w:color="auto" w:sz="4" w:space="0"/>
            </w:tcBorders>
            <w:vAlign w:val="center"/>
          </w:tcPr>
          <w:p>
            <w:pPr>
              <w:pStyle w:val="55"/>
              <w:snapToGrid w:val="0"/>
              <w:rPr>
                <w:rFonts w:hint="eastAsia"/>
                <w:color w:val="auto"/>
                <w:sz w:val="24"/>
                <w:szCs w:val="24"/>
                <w:highlight w:val="none"/>
              </w:rPr>
            </w:pPr>
            <w:r>
              <w:rPr>
                <w:rFonts w:ascii="Times New Roman" w:hAnsi="Times New Roman"/>
                <w:color w:val="auto"/>
                <w:sz w:val="24"/>
                <w:szCs w:val="24"/>
                <w:highlight w:val="none"/>
              </w:rPr>
              <w:t>无组织</w:t>
            </w:r>
          </w:p>
        </w:tc>
        <w:tc>
          <w:tcPr>
            <w:tcW w:w="2580" w:type="dxa"/>
            <w:gridSpan w:val="2"/>
            <w:tcBorders>
              <w:top w:val="single" w:color="auto" w:sz="4" w:space="0"/>
              <w:left w:val="single" w:color="auto" w:sz="4" w:space="0"/>
              <w:bottom w:val="single" w:color="auto" w:sz="4" w:space="0"/>
              <w:right w:val="single" w:color="auto" w:sz="4" w:space="0"/>
            </w:tcBorders>
            <w:vAlign w:val="center"/>
          </w:tcPr>
          <w:p>
            <w:pPr>
              <w:pStyle w:val="56"/>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lang w:val="en-US" w:eastAsia="zh-CN"/>
              </w:rPr>
              <w:t>0.41</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0.00</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t/a</w:t>
            </w:r>
          </w:p>
        </w:tc>
        <w:tc>
          <w:tcPr>
            <w:tcW w:w="2515" w:type="dxa"/>
            <w:gridSpan w:val="2"/>
            <w:tcBorders>
              <w:top w:val="single" w:color="auto" w:sz="4" w:space="0"/>
              <w:left w:val="single" w:color="auto" w:sz="4" w:space="0"/>
              <w:bottom w:val="single" w:color="auto" w:sz="4" w:space="0"/>
            </w:tcBorders>
            <w:vAlign w:val="center"/>
          </w:tcPr>
          <w:p>
            <w:pPr>
              <w:pStyle w:val="55"/>
              <w:snapToGrid w:val="0"/>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lang w:val="en-US" w:eastAsia="zh-CN"/>
              </w:rPr>
              <w:t>0.41</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0.00</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763" w:hRule="atLeast"/>
        </w:trPr>
        <w:tc>
          <w:tcPr>
            <w:tcW w:w="755" w:type="dxa"/>
            <w:vMerge w:val="restart"/>
            <w:vAlign w:val="center"/>
          </w:tcPr>
          <w:p>
            <w:pPr>
              <w:jc w:val="center"/>
              <w:rPr>
                <w:color w:val="auto"/>
                <w:sz w:val="24"/>
                <w:highlight w:val="none"/>
              </w:rPr>
            </w:pPr>
            <w:r>
              <w:rPr>
                <w:color w:val="auto"/>
                <w:sz w:val="24"/>
                <w:highlight w:val="none"/>
              </w:rPr>
              <w:t>水</w:t>
            </w:r>
          </w:p>
          <w:p>
            <w:pPr>
              <w:jc w:val="center"/>
              <w:rPr>
                <w:color w:val="auto"/>
                <w:sz w:val="24"/>
                <w:highlight w:val="none"/>
              </w:rPr>
            </w:pPr>
            <w:r>
              <w:rPr>
                <w:color w:val="auto"/>
                <w:sz w:val="24"/>
                <w:highlight w:val="none"/>
              </w:rPr>
              <w:t>污</w:t>
            </w:r>
          </w:p>
          <w:p>
            <w:pPr>
              <w:jc w:val="center"/>
              <w:rPr>
                <w:color w:val="auto"/>
                <w:sz w:val="24"/>
                <w:highlight w:val="none"/>
              </w:rPr>
            </w:pPr>
            <w:r>
              <w:rPr>
                <w:color w:val="auto"/>
                <w:sz w:val="24"/>
                <w:highlight w:val="none"/>
              </w:rPr>
              <w:t>染</w:t>
            </w:r>
          </w:p>
          <w:p>
            <w:pPr>
              <w:jc w:val="center"/>
              <w:rPr>
                <w:color w:val="auto"/>
                <w:sz w:val="24"/>
                <w:highlight w:val="none"/>
              </w:rPr>
            </w:pPr>
            <w:r>
              <w:rPr>
                <w:color w:val="auto"/>
                <w:sz w:val="24"/>
                <w:highlight w:val="none"/>
              </w:rPr>
              <w:t>物</w:t>
            </w:r>
          </w:p>
        </w:tc>
        <w:tc>
          <w:tcPr>
            <w:tcW w:w="1351" w:type="dxa"/>
            <w:tcBorders>
              <w:top w:val="single" w:color="auto" w:sz="4" w:space="0"/>
              <w:right w:val="single" w:color="auto" w:sz="4" w:space="0"/>
            </w:tcBorders>
            <w:shd w:val="clear" w:color="auto" w:fill="auto"/>
            <w:vAlign w:val="center"/>
          </w:tcPr>
          <w:p>
            <w:pPr>
              <w:jc w:val="center"/>
              <w:rPr>
                <w:rFonts w:hAnsi="宋体"/>
                <w:color w:val="auto"/>
                <w:sz w:val="24"/>
                <w:highlight w:val="none"/>
              </w:rPr>
            </w:pPr>
            <w:r>
              <w:rPr>
                <w:rFonts w:hint="eastAsia" w:hAnsi="宋体"/>
                <w:color w:val="auto"/>
                <w:sz w:val="24"/>
                <w:highlight w:val="none"/>
              </w:rPr>
              <w:t>注塑冷却用水</w:t>
            </w:r>
          </w:p>
        </w:tc>
        <w:tc>
          <w:tcPr>
            <w:tcW w:w="7540" w:type="dxa"/>
            <w:gridSpan w:val="6"/>
            <w:tcBorders>
              <w:left w:val="single" w:color="auto" w:sz="4" w:space="0"/>
              <w:bottom w:val="single" w:color="auto" w:sz="4" w:space="0"/>
            </w:tcBorders>
            <w:vAlign w:val="center"/>
          </w:tcPr>
          <w:p>
            <w:pPr>
              <w:adjustRightInd w:val="0"/>
              <w:rPr>
                <w:color w:val="auto"/>
                <w:sz w:val="24"/>
                <w:highlight w:val="none"/>
              </w:rPr>
            </w:pPr>
            <w:r>
              <w:rPr>
                <w:rFonts w:hAnsi="宋体"/>
                <w:color w:val="auto"/>
                <w:sz w:val="24"/>
                <w:highlight w:val="none"/>
              </w:rPr>
              <w:t>冷却水循环使用，不外排，</w:t>
            </w:r>
            <w:r>
              <w:rPr>
                <w:rFonts w:hint="eastAsia" w:hAnsi="宋体"/>
                <w:color w:val="auto"/>
                <w:sz w:val="24"/>
                <w:highlight w:val="none"/>
              </w:rPr>
              <w:t>循环水量为</w:t>
            </w:r>
            <w:r>
              <w:rPr>
                <w:rFonts w:hint="eastAsia" w:hAnsi="宋体"/>
                <w:color w:val="auto"/>
                <w:sz w:val="24"/>
                <w:highlight w:val="none"/>
                <w:lang w:val="en-US" w:eastAsia="zh-CN"/>
              </w:rPr>
              <w:t>2</w:t>
            </w:r>
            <w:r>
              <w:rPr>
                <w:rFonts w:hint="eastAsia" w:hAnsi="宋体"/>
                <w:color w:val="auto"/>
                <w:sz w:val="24"/>
                <w:highlight w:val="none"/>
              </w:rPr>
              <w:t>t</w:t>
            </w:r>
            <w:r>
              <w:rPr>
                <w:rFonts w:hint="eastAsia" w:hAnsi="宋体"/>
                <w:color w:val="auto"/>
                <w:sz w:val="24"/>
                <w:highlight w:val="none"/>
                <w:lang w:val="en-US" w:eastAsia="zh-CN"/>
              </w:rPr>
              <w:t>/h</w:t>
            </w:r>
            <w:r>
              <w:rPr>
                <w:rFonts w:hint="eastAsia" w:hAnsi="宋体"/>
                <w:color w:val="auto"/>
                <w:sz w:val="24"/>
                <w:highlight w:val="none"/>
              </w:rPr>
              <w:t>，</w:t>
            </w:r>
            <w:r>
              <w:rPr>
                <w:rFonts w:hAnsi="宋体"/>
                <w:color w:val="auto"/>
                <w:sz w:val="24"/>
                <w:highlight w:val="none"/>
              </w:rPr>
              <w:t>因受热等因素损失，</w:t>
            </w:r>
            <w:r>
              <w:rPr>
                <w:rFonts w:hint="eastAsia" w:hAnsi="宋体"/>
                <w:color w:val="auto"/>
                <w:sz w:val="24"/>
                <w:highlight w:val="none"/>
              </w:rPr>
              <w:t>需定期补充新鲜水，损耗补充用水约占循环水量的2%，即补充用水量为</w:t>
            </w:r>
            <w:r>
              <w:rPr>
                <w:rFonts w:hint="eastAsia"/>
                <w:color w:val="auto"/>
                <w:sz w:val="24"/>
                <w:highlight w:val="none"/>
                <w:lang w:val="en-US" w:eastAsia="zh-CN"/>
              </w:rPr>
              <w:t>0.04t</w:t>
            </w:r>
            <w:r>
              <w:rPr>
                <w:rFonts w:hint="eastAsia"/>
                <w:color w:val="auto"/>
                <w:sz w:val="24"/>
                <w:highlight w:val="none"/>
              </w:rPr>
              <w:t>/</w:t>
            </w:r>
            <w:r>
              <w:rPr>
                <w:rFonts w:hint="eastAsia"/>
                <w:color w:val="auto"/>
                <w:sz w:val="24"/>
                <w:highlight w:val="none"/>
                <w:lang w:val="en-US" w:eastAsia="zh-CN"/>
              </w:rPr>
              <w:t>h</w:t>
            </w:r>
            <w:r>
              <w:rPr>
                <w:rFonts w:hint="eastAsia"/>
                <w:color w:val="auto"/>
                <w:sz w:val="24"/>
                <w:highlight w:val="none"/>
              </w:rPr>
              <w:t>（</w:t>
            </w:r>
            <w:r>
              <w:rPr>
                <w:rFonts w:hint="eastAsia"/>
                <w:color w:val="auto"/>
                <w:sz w:val="24"/>
                <w:highlight w:val="none"/>
                <w:lang w:val="en-US" w:eastAsia="zh-CN"/>
              </w:rPr>
              <w:t>96t</w:t>
            </w:r>
            <w:r>
              <w:rPr>
                <w:rFonts w:hint="eastAsia"/>
                <w:color w:val="auto"/>
                <w:sz w:val="24"/>
                <w:highlight w:val="none"/>
              </w:rPr>
              <w: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trPr>
        <w:tc>
          <w:tcPr>
            <w:tcW w:w="755" w:type="dxa"/>
            <w:vMerge w:val="continue"/>
            <w:vAlign w:val="center"/>
          </w:tcPr>
          <w:p>
            <w:pPr>
              <w:jc w:val="center"/>
              <w:rPr>
                <w:color w:val="auto"/>
                <w:sz w:val="24"/>
                <w:highlight w:val="none"/>
              </w:rPr>
            </w:pPr>
          </w:p>
        </w:tc>
        <w:tc>
          <w:tcPr>
            <w:tcW w:w="1351" w:type="dxa"/>
            <w:vMerge w:val="restart"/>
            <w:tcBorders>
              <w:top w:val="single" w:color="auto" w:sz="4" w:space="0"/>
              <w:right w:val="single" w:color="auto" w:sz="4" w:space="0"/>
            </w:tcBorders>
            <w:vAlign w:val="center"/>
          </w:tcPr>
          <w:p>
            <w:pPr>
              <w:pStyle w:val="55"/>
              <w:rPr>
                <w:rFonts w:ascii="Times New Roman" w:hAnsi="Times New Roman"/>
                <w:color w:val="auto"/>
                <w:position w:val="0"/>
                <w:sz w:val="24"/>
                <w:szCs w:val="24"/>
                <w:highlight w:val="none"/>
              </w:rPr>
            </w:pPr>
            <w:r>
              <w:rPr>
                <w:rFonts w:ascii="Times New Roman" w:hAnsi="Times New Roman"/>
                <w:color w:val="auto"/>
                <w:position w:val="0"/>
                <w:sz w:val="24"/>
                <w:szCs w:val="24"/>
                <w:highlight w:val="none"/>
              </w:rPr>
              <w:t>生活污水</w:t>
            </w:r>
          </w:p>
          <w:p>
            <w:pPr>
              <w:pStyle w:val="55"/>
              <w:rPr>
                <w:rFonts w:ascii="Times New Roman" w:hAnsi="Times New Roman"/>
                <w:color w:val="auto"/>
                <w:position w:val="0"/>
                <w:sz w:val="24"/>
                <w:szCs w:val="24"/>
                <w:highlight w:val="none"/>
              </w:rPr>
            </w:pPr>
            <w:r>
              <w:rPr>
                <w:rFonts w:ascii="Times New Roman" w:hAnsi="Times New Roman"/>
                <w:color w:val="auto"/>
                <w:position w:val="0"/>
                <w:sz w:val="24"/>
                <w:szCs w:val="24"/>
                <w:highlight w:val="none"/>
              </w:rPr>
              <w:t>（</w:t>
            </w:r>
            <w:r>
              <w:rPr>
                <w:rFonts w:hint="eastAsia" w:ascii="Times New Roman" w:hAnsi="Times New Roman"/>
                <w:color w:val="auto"/>
                <w:position w:val="0"/>
                <w:sz w:val="24"/>
                <w:szCs w:val="24"/>
                <w:highlight w:val="none"/>
              </w:rPr>
              <w:t>108</w:t>
            </w:r>
            <w:r>
              <w:rPr>
                <w:rFonts w:ascii="Times New Roman" w:hAnsi="Times New Roman"/>
                <w:color w:val="auto"/>
                <w:position w:val="0"/>
                <w:sz w:val="24"/>
                <w:szCs w:val="24"/>
                <w:highlight w:val="none"/>
              </w:rPr>
              <w:t>t/a）</w:t>
            </w:r>
          </w:p>
        </w:tc>
        <w:tc>
          <w:tcPr>
            <w:tcW w:w="2445" w:type="dxa"/>
            <w:gridSpan w:val="2"/>
            <w:tcBorders>
              <w:top w:val="single" w:color="auto" w:sz="4" w:space="0"/>
              <w:left w:val="single" w:color="auto" w:sz="4" w:space="0"/>
              <w:bottom w:val="single" w:color="auto" w:sz="4" w:space="0"/>
              <w:right w:val="single" w:color="auto" w:sz="4" w:space="0"/>
            </w:tcBorders>
            <w:vAlign w:val="center"/>
          </w:tcPr>
          <w:p>
            <w:pPr>
              <w:pStyle w:val="55"/>
              <w:rPr>
                <w:rFonts w:ascii="Times New Roman" w:hAnsi="Times New Roman"/>
                <w:color w:val="auto"/>
                <w:position w:val="0"/>
                <w:sz w:val="24"/>
                <w:szCs w:val="24"/>
                <w:highlight w:val="none"/>
              </w:rPr>
            </w:pPr>
            <w:r>
              <w:rPr>
                <w:rFonts w:ascii="Times New Roman" w:hAnsi="Times New Roman"/>
                <w:color w:val="auto"/>
                <w:position w:val="0"/>
                <w:sz w:val="24"/>
                <w:szCs w:val="24"/>
                <w:highlight w:val="none"/>
              </w:rPr>
              <w:t>CODcr</w:t>
            </w:r>
          </w:p>
        </w:tc>
        <w:tc>
          <w:tcPr>
            <w:tcW w:w="1425" w:type="dxa"/>
            <w:tcBorders>
              <w:top w:val="single" w:color="auto" w:sz="4" w:space="0"/>
              <w:left w:val="single" w:color="auto" w:sz="4" w:space="0"/>
              <w:bottom w:val="single" w:color="auto" w:sz="4" w:space="0"/>
              <w:right w:val="single" w:color="auto" w:sz="4" w:space="0"/>
            </w:tcBorders>
            <w:vAlign w:val="center"/>
          </w:tcPr>
          <w:p>
            <w:pPr>
              <w:jc w:val="center"/>
              <w:rPr>
                <w:color w:val="auto"/>
                <w:sz w:val="24"/>
                <w:highlight w:val="none"/>
              </w:rPr>
            </w:pPr>
            <w:r>
              <w:rPr>
                <w:color w:val="auto"/>
                <w:sz w:val="24"/>
                <w:highlight w:val="none"/>
              </w:rPr>
              <w:t>250</w:t>
            </w:r>
            <w:r>
              <w:rPr>
                <w:bCs/>
                <w:color w:val="auto"/>
                <w:kern w:val="0"/>
                <w:sz w:val="24"/>
                <w:highlight w:val="none"/>
              </w:rPr>
              <w:t>mg/L</w:t>
            </w:r>
          </w:p>
        </w:tc>
        <w:tc>
          <w:tcPr>
            <w:tcW w:w="115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 w:val="24"/>
                <w:highlight w:val="none"/>
              </w:rPr>
            </w:pPr>
            <w:r>
              <w:rPr>
                <w:color w:val="auto"/>
                <w:kern w:val="0"/>
                <w:sz w:val="24"/>
                <w:highlight w:val="none"/>
                <w:lang w:bidi="ar"/>
              </w:rPr>
              <w:t>0.027</w:t>
            </w:r>
            <w:r>
              <w:rPr>
                <w:rFonts w:hint="eastAsia"/>
                <w:color w:val="auto"/>
                <w:sz w:val="24"/>
                <w:highlight w:val="none"/>
              </w:rPr>
              <w:t>t</w:t>
            </w:r>
            <w:r>
              <w:rPr>
                <w:color w:val="auto"/>
                <w:sz w:val="24"/>
                <w:highlight w:val="none"/>
              </w:rPr>
              <w:t>/a</w:t>
            </w:r>
            <w:r>
              <w:rPr>
                <w:color w:val="auto"/>
                <w:kern w:val="0"/>
                <w:sz w:val="24"/>
                <w:highlight w:val="none"/>
                <w:lang w:bidi="ar"/>
              </w:rPr>
              <w:t xml:space="preserve"> </w:t>
            </w:r>
          </w:p>
        </w:tc>
        <w:tc>
          <w:tcPr>
            <w:tcW w:w="1395" w:type="dxa"/>
            <w:tcBorders>
              <w:top w:val="single" w:color="auto" w:sz="4" w:space="0"/>
              <w:left w:val="single" w:color="auto" w:sz="4" w:space="0"/>
              <w:bottom w:val="single" w:color="auto" w:sz="4" w:space="0"/>
              <w:right w:val="single" w:color="auto" w:sz="4" w:space="0"/>
            </w:tcBorders>
            <w:vAlign w:val="center"/>
          </w:tcPr>
          <w:p>
            <w:pPr>
              <w:widowControl/>
              <w:jc w:val="center"/>
              <w:rPr>
                <w:color w:val="auto"/>
                <w:sz w:val="24"/>
                <w:highlight w:val="none"/>
              </w:rPr>
            </w:pPr>
            <w:r>
              <w:rPr>
                <w:color w:val="auto"/>
                <w:kern w:val="0"/>
                <w:sz w:val="24"/>
                <w:highlight w:val="none"/>
              </w:rPr>
              <w:t>200mg/L</w:t>
            </w:r>
          </w:p>
        </w:tc>
        <w:tc>
          <w:tcPr>
            <w:tcW w:w="1120" w:type="dxa"/>
            <w:tcBorders>
              <w:top w:val="single" w:color="auto" w:sz="4" w:space="0"/>
              <w:left w:val="single" w:color="auto" w:sz="4" w:space="0"/>
              <w:bottom w:val="single" w:color="auto" w:sz="4" w:space="0"/>
            </w:tcBorders>
            <w:vAlign w:val="center"/>
          </w:tcPr>
          <w:p>
            <w:pPr>
              <w:widowControl/>
              <w:jc w:val="center"/>
              <w:textAlignment w:val="center"/>
              <w:rPr>
                <w:color w:val="auto"/>
                <w:sz w:val="24"/>
                <w:highlight w:val="none"/>
              </w:rPr>
            </w:pPr>
            <w:r>
              <w:rPr>
                <w:color w:val="auto"/>
                <w:kern w:val="0"/>
                <w:sz w:val="24"/>
                <w:highlight w:val="none"/>
                <w:lang w:bidi="ar"/>
              </w:rPr>
              <w:t>0.022</w:t>
            </w:r>
            <w:r>
              <w:rPr>
                <w:rFonts w:hint="eastAsia"/>
                <w:color w:val="auto"/>
                <w:sz w:val="24"/>
                <w:highlight w:val="none"/>
              </w:rPr>
              <w:t>t</w:t>
            </w:r>
            <w:r>
              <w:rPr>
                <w:color w:val="auto"/>
                <w:sz w:val="24"/>
                <w:highlight w:val="none"/>
              </w:rPr>
              <w:t>/a</w:t>
            </w:r>
            <w:r>
              <w:rPr>
                <w:color w:val="auto"/>
                <w:kern w:val="0"/>
                <w:sz w:val="24"/>
                <w:highlight w:val="none"/>
                <w:lang w:bidi="ar"/>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trPr>
        <w:tc>
          <w:tcPr>
            <w:tcW w:w="755" w:type="dxa"/>
            <w:vMerge w:val="continue"/>
            <w:vAlign w:val="center"/>
          </w:tcPr>
          <w:p>
            <w:pPr>
              <w:jc w:val="center"/>
              <w:rPr>
                <w:color w:val="auto"/>
                <w:sz w:val="24"/>
                <w:highlight w:val="none"/>
              </w:rPr>
            </w:pPr>
          </w:p>
        </w:tc>
        <w:tc>
          <w:tcPr>
            <w:tcW w:w="1351" w:type="dxa"/>
            <w:vMerge w:val="continue"/>
            <w:tcBorders>
              <w:right w:val="single" w:color="auto" w:sz="4" w:space="0"/>
            </w:tcBorders>
            <w:vAlign w:val="center"/>
          </w:tcPr>
          <w:p>
            <w:pPr>
              <w:pStyle w:val="55"/>
              <w:rPr>
                <w:rFonts w:ascii="Times New Roman" w:hAnsi="Times New Roman"/>
                <w:color w:val="auto"/>
                <w:position w:val="0"/>
                <w:sz w:val="24"/>
                <w:szCs w:val="24"/>
                <w:highlight w:val="none"/>
              </w:rPr>
            </w:pPr>
          </w:p>
        </w:tc>
        <w:tc>
          <w:tcPr>
            <w:tcW w:w="2445" w:type="dxa"/>
            <w:gridSpan w:val="2"/>
            <w:tcBorders>
              <w:top w:val="single" w:color="auto" w:sz="4" w:space="0"/>
              <w:left w:val="single" w:color="auto" w:sz="4" w:space="0"/>
              <w:bottom w:val="single" w:color="auto" w:sz="4" w:space="0"/>
              <w:right w:val="single" w:color="auto" w:sz="4" w:space="0"/>
            </w:tcBorders>
            <w:vAlign w:val="center"/>
          </w:tcPr>
          <w:p>
            <w:pPr>
              <w:pStyle w:val="55"/>
              <w:rPr>
                <w:rFonts w:ascii="Times New Roman" w:hAnsi="Times New Roman"/>
                <w:color w:val="auto"/>
                <w:position w:val="0"/>
                <w:sz w:val="24"/>
                <w:szCs w:val="24"/>
                <w:highlight w:val="none"/>
              </w:rPr>
            </w:pPr>
            <w:r>
              <w:rPr>
                <w:rFonts w:ascii="Times New Roman" w:hAnsi="Times New Roman"/>
                <w:color w:val="auto"/>
                <w:position w:val="0"/>
                <w:sz w:val="24"/>
                <w:szCs w:val="24"/>
                <w:highlight w:val="none"/>
              </w:rPr>
              <w:t>BOD</w:t>
            </w:r>
            <w:r>
              <w:rPr>
                <w:rFonts w:ascii="Times New Roman" w:hAnsi="Times New Roman"/>
                <w:color w:val="auto"/>
                <w:position w:val="0"/>
                <w:sz w:val="24"/>
                <w:szCs w:val="24"/>
                <w:highlight w:val="none"/>
                <w:vertAlign w:val="subscript"/>
              </w:rPr>
              <w:t>5</w:t>
            </w:r>
          </w:p>
        </w:tc>
        <w:tc>
          <w:tcPr>
            <w:tcW w:w="1425" w:type="dxa"/>
            <w:tcBorders>
              <w:top w:val="single" w:color="auto" w:sz="4" w:space="0"/>
              <w:left w:val="single" w:color="auto" w:sz="4" w:space="0"/>
              <w:bottom w:val="single" w:color="auto" w:sz="4" w:space="0"/>
              <w:right w:val="single" w:color="auto" w:sz="4" w:space="0"/>
            </w:tcBorders>
            <w:vAlign w:val="center"/>
          </w:tcPr>
          <w:p>
            <w:pPr>
              <w:jc w:val="center"/>
              <w:rPr>
                <w:color w:val="auto"/>
                <w:sz w:val="24"/>
                <w:highlight w:val="none"/>
              </w:rPr>
            </w:pPr>
            <w:r>
              <w:rPr>
                <w:color w:val="auto"/>
                <w:sz w:val="24"/>
                <w:highlight w:val="none"/>
              </w:rPr>
              <w:t>150</w:t>
            </w:r>
            <w:r>
              <w:rPr>
                <w:bCs/>
                <w:color w:val="auto"/>
                <w:kern w:val="0"/>
                <w:sz w:val="24"/>
                <w:highlight w:val="none"/>
              </w:rPr>
              <w:t>mg/L</w:t>
            </w:r>
          </w:p>
        </w:tc>
        <w:tc>
          <w:tcPr>
            <w:tcW w:w="115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 w:val="24"/>
                <w:highlight w:val="none"/>
              </w:rPr>
            </w:pPr>
            <w:r>
              <w:rPr>
                <w:color w:val="auto"/>
                <w:kern w:val="0"/>
                <w:sz w:val="24"/>
                <w:highlight w:val="none"/>
                <w:lang w:bidi="ar"/>
              </w:rPr>
              <w:t>0.016</w:t>
            </w:r>
            <w:r>
              <w:rPr>
                <w:rFonts w:hint="eastAsia"/>
                <w:color w:val="auto"/>
                <w:sz w:val="24"/>
                <w:highlight w:val="none"/>
              </w:rPr>
              <w:t>t</w:t>
            </w:r>
            <w:r>
              <w:rPr>
                <w:color w:val="auto"/>
                <w:sz w:val="24"/>
                <w:highlight w:val="none"/>
              </w:rPr>
              <w:t>/a</w:t>
            </w:r>
            <w:r>
              <w:rPr>
                <w:color w:val="auto"/>
                <w:kern w:val="0"/>
                <w:sz w:val="24"/>
                <w:highlight w:val="none"/>
                <w:lang w:bidi="ar"/>
              </w:rPr>
              <w:t xml:space="preserve"> </w:t>
            </w:r>
          </w:p>
        </w:tc>
        <w:tc>
          <w:tcPr>
            <w:tcW w:w="1395" w:type="dxa"/>
            <w:tcBorders>
              <w:top w:val="single" w:color="auto" w:sz="4" w:space="0"/>
              <w:left w:val="single" w:color="auto" w:sz="4" w:space="0"/>
              <w:bottom w:val="single" w:color="auto" w:sz="4" w:space="0"/>
              <w:right w:val="single" w:color="auto" w:sz="4" w:space="0"/>
            </w:tcBorders>
            <w:vAlign w:val="center"/>
          </w:tcPr>
          <w:p>
            <w:pPr>
              <w:widowControl/>
              <w:jc w:val="center"/>
              <w:rPr>
                <w:color w:val="auto"/>
                <w:sz w:val="24"/>
                <w:highlight w:val="none"/>
              </w:rPr>
            </w:pPr>
            <w:r>
              <w:rPr>
                <w:color w:val="auto"/>
                <w:kern w:val="0"/>
                <w:sz w:val="24"/>
                <w:highlight w:val="none"/>
              </w:rPr>
              <w:t>120mg/L</w:t>
            </w:r>
          </w:p>
        </w:tc>
        <w:tc>
          <w:tcPr>
            <w:tcW w:w="1120" w:type="dxa"/>
            <w:tcBorders>
              <w:top w:val="single" w:color="auto" w:sz="4" w:space="0"/>
              <w:left w:val="single" w:color="auto" w:sz="4" w:space="0"/>
              <w:bottom w:val="single" w:color="auto" w:sz="4" w:space="0"/>
            </w:tcBorders>
            <w:vAlign w:val="center"/>
          </w:tcPr>
          <w:p>
            <w:pPr>
              <w:widowControl/>
              <w:jc w:val="center"/>
              <w:textAlignment w:val="center"/>
              <w:rPr>
                <w:color w:val="auto"/>
                <w:sz w:val="24"/>
                <w:highlight w:val="none"/>
              </w:rPr>
            </w:pPr>
            <w:r>
              <w:rPr>
                <w:color w:val="auto"/>
                <w:kern w:val="0"/>
                <w:sz w:val="24"/>
                <w:highlight w:val="none"/>
                <w:lang w:bidi="ar"/>
              </w:rPr>
              <w:t>0.013</w:t>
            </w:r>
            <w:r>
              <w:rPr>
                <w:rFonts w:hint="eastAsia"/>
                <w:color w:val="auto"/>
                <w:sz w:val="24"/>
                <w:highlight w:val="none"/>
              </w:rPr>
              <w:t>t</w:t>
            </w:r>
            <w:r>
              <w:rPr>
                <w:color w:val="auto"/>
                <w:sz w:val="24"/>
                <w:highlight w:val="none"/>
              </w:rPr>
              <w:t>/a</w:t>
            </w:r>
            <w:r>
              <w:rPr>
                <w:color w:val="auto"/>
                <w:kern w:val="0"/>
                <w:sz w:val="24"/>
                <w:highlight w:val="none"/>
                <w:lang w:bidi="ar"/>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trPr>
        <w:tc>
          <w:tcPr>
            <w:tcW w:w="755" w:type="dxa"/>
            <w:vMerge w:val="continue"/>
            <w:vAlign w:val="center"/>
          </w:tcPr>
          <w:p>
            <w:pPr>
              <w:jc w:val="center"/>
              <w:rPr>
                <w:color w:val="auto"/>
                <w:sz w:val="24"/>
                <w:highlight w:val="none"/>
              </w:rPr>
            </w:pPr>
          </w:p>
        </w:tc>
        <w:tc>
          <w:tcPr>
            <w:tcW w:w="1351" w:type="dxa"/>
            <w:vMerge w:val="continue"/>
            <w:tcBorders>
              <w:right w:val="single" w:color="auto" w:sz="4" w:space="0"/>
            </w:tcBorders>
            <w:vAlign w:val="center"/>
          </w:tcPr>
          <w:p>
            <w:pPr>
              <w:pStyle w:val="55"/>
              <w:rPr>
                <w:rFonts w:ascii="Times New Roman" w:hAnsi="Times New Roman"/>
                <w:color w:val="auto"/>
                <w:position w:val="0"/>
                <w:sz w:val="24"/>
                <w:szCs w:val="24"/>
                <w:highlight w:val="none"/>
              </w:rPr>
            </w:pPr>
          </w:p>
        </w:tc>
        <w:tc>
          <w:tcPr>
            <w:tcW w:w="2445" w:type="dxa"/>
            <w:gridSpan w:val="2"/>
            <w:tcBorders>
              <w:top w:val="single" w:color="auto" w:sz="4" w:space="0"/>
              <w:left w:val="single" w:color="auto" w:sz="4" w:space="0"/>
              <w:bottom w:val="single" w:color="auto" w:sz="4" w:space="0"/>
              <w:right w:val="single" w:color="auto" w:sz="4" w:space="0"/>
            </w:tcBorders>
            <w:vAlign w:val="center"/>
          </w:tcPr>
          <w:p>
            <w:pPr>
              <w:pStyle w:val="55"/>
              <w:rPr>
                <w:rFonts w:ascii="Times New Roman" w:hAnsi="Times New Roman"/>
                <w:color w:val="auto"/>
                <w:position w:val="0"/>
                <w:sz w:val="24"/>
                <w:szCs w:val="24"/>
                <w:highlight w:val="none"/>
              </w:rPr>
            </w:pPr>
            <w:r>
              <w:rPr>
                <w:rFonts w:ascii="Times New Roman" w:hAnsi="Times New Roman"/>
                <w:color w:val="auto"/>
                <w:position w:val="0"/>
                <w:sz w:val="24"/>
                <w:szCs w:val="24"/>
                <w:highlight w:val="none"/>
              </w:rPr>
              <w:t>SS</w:t>
            </w:r>
          </w:p>
        </w:tc>
        <w:tc>
          <w:tcPr>
            <w:tcW w:w="1425" w:type="dxa"/>
            <w:tcBorders>
              <w:top w:val="single" w:color="auto" w:sz="4" w:space="0"/>
              <w:left w:val="single" w:color="auto" w:sz="4" w:space="0"/>
              <w:bottom w:val="single" w:color="auto" w:sz="4" w:space="0"/>
              <w:right w:val="single" w:color="auto" w:sz="4" w:space="0"/>
            </w:tcBorders>
            <w:vAlign w:val="center"/>
          </w:tcPr>
          <w:p>
            <w:pPr>
              <w:jc w:val="center"/>
              <w:rPr>
                <w:color w:val="auto"/>
                <w:sz w:val="24"/>
                <w:highlight w:val="none"/>
              </w:rPr>
            </w:pPr>
            <w:r>
              <w:rPr>
                <w:color w:val="auto"/>
                <w:sz w:val="24"/>
                <w:highlight w:val="none"/>
              </w:rPr>
              <w:t>150</w:t>
            </w:r>
            <w:r>
              <w:rPr>
                <w:bCs/>
                <w:color w:val="auto"/>
                <w:kern w:val="0"/>
                <w:sz w:val="24"/>
                <w:highlight w:val="none"/>
              </w:rPr>
              <w:t>mg/L</w:t>
            </w:r>
          </w:p>
        </w:tc>
        <w:tc>
          <w:tcPr>
            <w:tcW w:w="115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 w:val="24"/>
                <w:highlight w:val="none"/>
              </w:rPr>
            </w:pPr>
            <w:r>
              <w:rPr>
                <w:color w:val="auto"/>
                <w:kern w:val="0"/>
                <w:sz w:val="24"/>
                <w:highlight w:val="none"/>
                <w:lang w:bidi="ar"/>
              </w:rPr>
              <w:t>0.016</w:t>
            </w:r>
            <w:r>
              <w:rPr>
                <w:rFonts w:hint="eastAsia"/>
                <w:color w:val="auto"/>
                <w:sz w:val="24"/>
                <w:highlight w:val="none"/>
              </w:rPr>
              <w:t>t</w:t>
            </w:r>
            <w:r>
              <w:rPr>
                <w:color w:val="auto"/>
                <w:sz w:val="24"/>
                <w:highlight w:val="none"/>
              </w:rPr>
              <w:t>/a</w:t>
            </w:r>
            <w:r>
              <w:rPr>
                <w:color w:val="auto"/>
                <w:kern w:val="0"/>
                <w:sz w:val="24"/>
                <w:highlight w:val="none"/>
                <w:lang w:bidi="ar"/>
              </w:rPr>
              <w:t xml:space="preserve"> </w:t>
            </w:r>
          </w:p>
        </w:tc>
        <w:tc>
          <w:tcPr>
            <w:tcW w:w="1395" w:type="dxa"/>
            <w:tcBorders>
              <w:top w:val="single" w:color="auto" w:sz="4" w:space="0"/>
              <w:left w:val="single" w:color="auto" w:sz="4" w:space="0"/>
              <w:bottom w:val="single" w:color="auto" w:sz="4" w:space="0"/>
              <w:right w:val="single" w:color="auto" w:sz="4" w:space="0"/>
            </w:tcBorders>
            <w:vAlign w:val="center"/>
          </w:tcPr>
          <w:p>
            <w:pPr>
              <w:widowControl/>
              <w:jc w:val="center"/>
              <w:rPr>
                <w:color w:val="auto"/>
                <w:sz w:val="24"/>
                <w:highlight w:val="none"/>
              </w:rPr>
            </w:pPr>
            <w:r>
              <w:rPr>
                <w:color w:val="auto"/>
                <w:kern w:val="0"/>
                <w:sz w:val="24"/>
                <w:highlight w:val="none"/>
              </w:rPr>
              <w:t>120mg/L</w:t>
            </w:r>
          </w:p>
        </w:tc>
        <w:tc>
          <w:tcPr>
            <w:tcW w:w="1120" w:type="dxa"/>
            <w:tcBorders>
              <w:top w:val="single" w:color="auto" w:sz="4" w:space="0"/>
              <w:left w:val="single" w:color="auto" w:sz="4" w:space="0"/>
              <w:bottom w:val="single" w:color="auto" w:sz="4" w:space="0"/>
            </w:tcBorders>
            <w:vAlign w:val="center"/>
          </w:tcPr>
          <w:p>
            <w:pPr>
              <w:widowControl/>
              <w:jc w:val="center"/>
              <w:textAlignment w:val="center"/>
              <w:rPr>
                <w:color w:val="auto"/>
                <w:sz w:val="24"/>
                <w:highlight w:val="none"/>
              </w:rPr>
            </w:pPr>
            <w:r>
              <w:rPr>
                <w:color w:val="auto"/>
                <w:kern w:val="0"/>
                <w:sz w:val="24"/>
                <w:highlight w:val="none"/>
                <w:lang w:bidi="ar"/>
              </w:rPr>
              <w:t>0.013</w:t>
            </w:r>
            <w:r>
              <w:rPr>
                <w:rFonts w:hint="eastAsia"/>
                <w:color w:val="auto"/>
                <w:sz w:val="24"/>
                <w:highlight w:val="none"/>
              </w:rPr>
              <w:t>t</w:t>
            </w:r>
            <w:r>
              <w:rPr>
                <w:color w:val="auto"/>
                <w:sz w:val="24"/>
                <w:highlight w:val="none"/>
              </w:rPr>
              <w:t>/a</w:t>
            </w:r>
            <w:r>
              <w:rPr>
                <w:color w:val="auto"/>
                <w:kern w:val="0"/>
                <w:sz w:val="24"/>
                <w:highlight w:val="none"/>
                <w:lang w:bidi="ar"/>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trPr>
        <w:tc>
          <w:tcPr>
            <w:tcW w:w="755" w:type="dxa"/>
            <w:vMerge w:val="continue"/>
            <w:vAlign w:val="center"/>
          </w:tcPr>
          <w:p>
            <w:pPr>
              <w:jc w:val="center"/>
              <w:rPr>
                <w:color w:val="auto"/>
                <w:sz w:val="24"/>
                <w:highlight w:val="none"/>
              </w:rPr>
            </w:pPr>
          </w:p>
        </w:tc>
        <w:tc>
          <w:tcPr>
            <w:tcW w:w="1351" w:type="dxa"/>
            <w:vMerge w:val="continue"/>
            <w:tcBorders>
              <w:right w:val="single" w:color="auto" w:sz="4" w:space="0"/>
            </w:tcBorders>
            <w:vAlign w:val="center"/>
          </w:tcPr>
          <w:p>
            <w:pPr>
              <w:pStyle w:val="55"/>
              <w:rPr>
                <w:rFonts w:ascii="Times New Roman" w:hAnsi="Times New Roman"/>
                <w:color w:val="auto"/>
                <w:position w:val="0"/>
                <w:sz w:val="24"/>
                <w:szCs w:val="24"/>
                <w:highlight w:val="none"/>
              </w:rPr>
            </w:pPr>
          </w:p>
        </w:tc>
        <w:tc>
          <w:tcPr>
            <w:tcW w:w="2445" w:type="dxa"/>
            <w:gridSpan w:val="2"/>
            <w:tcBorders>
              <w:top w:val="single" w:color="auto" w:sz="4" w:space="0"/>
              <w:left w:val="single" w:color="auto" w:sz="4" w:space="0"/>
              <w:bottom w:val="single" w:color="auto" w:sz="4" w:space="0"/>
              <w:right w:val="single" w:color="auto" w:sz="4" w:space="0"/>
            </w:tcBorders>
            <w:vAlign w:val="center"/>
          </w:tcPr>
          <w:p>
            <w:pPr>
              <w:pStyle w:val="55"/>
              <w:rPr>
                <w:rFonts w:ascii="Times New Roman" w:hAnsi="Times New Roman"/>
                <w:color w:val="auto"/>
                <w:position w:val="0"/>
                <w:sz w:val="24"/>
                <w:szCs w:val="24"/>
                <w:highlight w:val="none"/>
              </w:rPr>
            </w:pPr>
            <w:r>
              <w:rPr>
                <w:rFonts w:ascii="Times New Roman" w:hAnsi="Times New Roman"/>
                <w:color w:val="auto"/>
                <w:position w:val="0"/>
                <w:sz w:val="24"/>
                <w:szCs w:val="24"/>
                <w:highlight w:val="none"/>
              </w:rPr>
              <w:t>NH</w:t>
            </w:r>
            <w:r>
              <w:rPr>
                <w:rFonts w:ascii="Times New Roman" w:hAnsi="Times New Roman"/>
                <w:color w:val="auto"/>
                <w:position w:val="0"/>
                <w:sz w:val="24"/>
                <w:szCs w:val="24"/>
                <w:highlight w:val="none"/>
                <w:vertAlign w:val="subscript"/>
              </w:rPr>
              <w:t>3</w:t>
            </w:r>
            <w:r>
              <w:rPr>
                <w:rFonts w:ascii="Times New Roman" w:hAnsi="Times New Roman"/>
                <w:color w:val="auto"/>
                <w:position w:val="0"/>
                <w:sz w:val="24"/>
                <w:szCs w:val="24"/>
                <w:highlight w:val="none"/>
              </w:rPr>
              <w:t>-N</w:t>
            </w:r>
          </w:p>
        </w:tc>
        <w:tc>
          <w:tcPr>
            <w:tcW w:w="1425" w:type="dxa"/>
            <w:tcBorders>
              <w:top w:val="single" w:color="auto" w:sz="4" w:space="0"/>
              <w:left w:val="single" w:color="auto" w:sz="4" w:space="0"/>
              <w:bottom w:val="single" w:color="auto" w:sz="4" w:space="0"/>
              <w:right w:val="single" w:color="auto" w:sz="4" w:space="0"/>
            </w:tcBorders>
            <w:vAlign w:val="center"/>
          </w:tcPr>
          <w:p>
            <w:pPr>
              <w:jc w:val="center"/>
              <w:rPr>
                <w:color w:val="auto"/>
                <w:sz w:val="24"/>
                <w:highlight w:val="none"/>
              </w:rPr>
            </w:pPr>
            <w:r>
              <w:rPr>
                <w:color w:val="auto"/>
                <w:sz w:val="24"/>
                <w:highlight w:val="none"/>
              </w:rPr>
              <w:t>25</w:t>
            </w:r>
            <w:r>
              <w:rPr>
                <w:bCs/>
                <w:color w:val="auto"/>
                <w:kern w:val="0"/>
                <w:sz w:val="24"/>
                <w:highlight w:val="none"/>
              </w:rPr>
              <w:t>mg/L</w:t>
            </w:r>
          </w:p>
        </w:tc>
        <w:tc>
          <w:tcPr>
            <w:tcW w:w="115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auto"/>
                <w:sz w:val="24"/>
                <w:highlight w:val="none"/>
              </w:rPr>
            </w:pPr>
            <w:r>
              <w:rPr>
                <w:color w:val="auto"/>
                <w:kern w:val="0"/>
                <w:sz w:val="24"/>
                <w:highlight w:val="none"/>
                <w:lang w:bidi="ar"/>
              </w:rPr>
              <w:t>0.003</w:t>
            </w:r>
            <w:r>
              <w:rPr>
                <w:rFonts w:hint="eastAsia"/>
                <w:color w:val="auto"/>
                <w:sz w:val="24"/>
                <w:highlight w:val="none"/>
              </w:rPr>
              <w:t>t</w:t>
            </w:r>
            <w:r>
              <w:rPr>
                <w:color w:val="auto"/>
                <w:sz w:val="24"/>
                <w:highlight w:val="none"/>
              </w:rPr>
              <w:t>/a</w:t>
            </w:r>
            <w:r>
              <w:rPr>
                <w:color w:val="auto"/>
                <w:kern w:val="0"/>
                <w:sz w:val="24"/>
                <w:highlight w:val="none"/>
                <w:lang w:bidi="ar"/>
              </w:rPr>
              <w:t xml:space="preserve"> </w:t>
            </w:r>
          </w:p>
        </w:tc>
        <w:tc>
          <w:tcPr>
            <w:tcW w:w="1395" w:type="dxa"/>
            <w:tcBorders>
              <w:top w:val="single" w:color="auto" w:sz="4" w:space="0"/>
              <w:left w:val="single" w:color="auto" w:sz="4" w:space="0"/>
              <w:bottom w:val="single" w:color="auto" w:sz="4" w:space="0"/>
              <w:right w:val="single" w:color="auto" w:sz="4" w:space="0"/>
            </w:tcBorders>
            <w:vAlign w:val="center"/>
          </w:tcPr>
          <w:p>
            <w:pPr>
              <w:widowControl/>
              <w:jc w:val="center"/>
              <w:rPr>
                <w:color w:val="auto"/>
                <w:sz w:val="24"/>
                <w:highlight w:val="none"/>
              </w:rPr>
            </w:pPr>
            <w:r>
              <w:rPr>
                <w:color w:val="auto"/>
                <w:kern w:val="0"/>
                <w:sz w:val="24"/>
                <w:highlight w:val="none"/>
              </w:rPr>
              <w:t>20mg/L</w:t>
            </w:r>
          </w:p>
        </w:tc>
        <w:tc>
          <w:tcPr>
            <w:tcW w:w="1120" w:type="dxa"/>
            <w:tcBorders>
              <w:top w:val="single" w:color="auto" w:sz="4" w:space="0"/>
              <w:left w:val="single" w:color="auto" w:sz="4" w:space="0"/>
              <w:bottom w:val="single" w:color="auto" w:sz="4" w:space="0"/>
            </w:tcBorders>
            <w:vAlign w:val="center"/>
          </w:tcPr>
          <w:p>
            <w:pPr>
              <w:widowControl/>
              <w:jc w:val="center"/>
              <w:textAlignment w:val="center"/>
              <w:rPr>
                <w:color w:val="auto"/>
                <w:sz w:val="24"/>
                <w:highlight w:val="none"/>
              </w:rPr>
            </w:pPr>
            <w:r>
              <w:rPr>
                <w:color w:val="auto"/>
                <w:kern w:val="0"/>
                <w:sz w:val="24"/>
                <w:highlight w:val="none"/>
                <w:lang w:bidi="ar"/>
              </w:rPr>
              <w:t>0.002</w:t>
            </w:r>
            <w:r>
              <w:rPr>
                <w:rFonts w:hint="eastAsia"/>
                <w:color w:val="auto"/>
                <w:sz w:val="24"/>
                <w:highlight w:val="none"/>
              </w:rPr>
              <w:t>t</w:t>
            </w:r>
            <w:r>
              <w:rPr>
                <w:color w:val="auto"/>
                <w:sz w:val="24"/>
                <w:highlight w:val="none"/>
              </w:rPr>
              <w:t>/a</w:t>
            </w:r>
            <w:r>
              <w:rPr>
                <w:color w:val="auto"/>
                <w:kern w:val="0"/>
                <w:sz w:val="24"/>
                <w:highlight w:val="none"/>
                <w:lang w:bidi="ar"/>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92" w:hRule="atLeast"/>
        </w:trPr>
        <w:tc>
          <w:tcPr>
            <w:tcW w:w="755" w:type="dxa"/>
            <w:vMerge w:val="restart"/>
            <w:tcBorders>
              <w:top w:val="single" w:color="auto" w:sz="4" w:space="0"/>
            </w:tcBorders>
            <w:vAlign w:val="center"/>
          </w:tcPr>
          <w:p>
            <w:pPr>
              <w:jc w:val="center"/>
              <w:rPr>
                <w:color w:val="auto"/>
                <w:sz w:val="24"/>
                <w:highlight w:val="none"/>
              </w:rPr>
            </w:pPr>
            <w:r>
              <w:rPr>
                <w:color w:val="auto"/>
                <w:sz w:val="24"/>
                <w:highlight w:val="none"/>
              </w:rPr>
              <w:t>固</w:t>
            </w:r>
          </w:p>
          <w:p>
            <w:pPr>
              <w:jc w:val="center"/>
              <w:rPr>
                <w:color w:val="auto"/>
                <w:sz w:val="24"/>
                <w:highlight w:val="none"/>
              </w:rPr>
            </w:pPr>
            <w:r>
              <w:rPr>
                <w:color w:val="auto"/>
                <w:sz w:val="24"/>
                <w:highlight w:val="none"/>
              </w:rPr>
              <w:t>体</w:t>
            </w:r>
          </w:p>
          <w:p>
            <w:pPr>
              <w:jc w:val="center"/>
              <w:rPr>
                <w:color w:val="auto"/>
                <w:sz w:val="24"/>
                <w:highlight w:val="none"/>
              </w:rPr>
            </w:pPr>
            <w:r>
              <w:rPr>
                <w:color w:val="auto"/>
                <w:sz w:val="24"/>
                <w:highlight w:val="none"/>
              </w:rPr>
              <w:t>废</w:t>
            </w:r>
          </w:p>
          <w:p>
            <w:pPr>
              <w:jc w:val="center"/>
              <w:rPr>
                <w:color w:val="auto"/>
                <w:sz w:val="24"/>
                <w:highlight w:val="none"/>
              </w:rPr>
            </w:pPr>
            <w:r>
              <w:rPr>
                <w:color w:val="auto"/>
                <w:sz w:val="24"/>
                <w:highlight w:val="none"/>
              </w:rPr>
              <w:t>物</w:t>
            </w:r>
          </w:p>
        </w:tc>
        <w:tc>
          <w:tcPr>
            <w:tcW w:w="1351" w:type="dxa"/>
            <w:tcBorders>
              <w:top w:val="single" w:color="auto" w:sz="8" w:space="0"/>
            </w:tcBorders>
            <w:vAlign w:val="center"/>
          </w:tcPr>
          <w:p>
            <w:pPr>
              <w:jc w:val="center"/>
              <w:rPr>
                <w:color w:val="auto"/>
                <w:sz w:val="24"/>
                <w:highlight w:val="none"/>
              </w:rPr>
            </w:pPr>
            <w:r>
              <w:rPr>
                <w:color w:val="auto"/>
                <w:sz w:val="24"/>
                <w:highlight w:val="none"/>
              </w:rPr>
              <w:t>生活垃圾</w:t>
            </w:r>
          </w:p>
        </w:tc>
        <w:tc>
          <w:tcPr>
            <w:tcW w:w="2445" w:type="dxa"/>
            <w:gridSpan w:val="2"/>
            <w:tcBorders>
              <w:top w:val="single" w:color="auto" w:sz="8" w:space="0"/>
              <w:bottom w:val="single" w:color="auto" w:sz="4" w:space="0"/>
            </w:tcBorders>
            <w:vAlign w:val="center"/>
          </w:tcPr>
          <w:p>
            <w:pPr>
              <w:jc w:val="center"/>
              <w:rPr>
                <w:color w:val="auto"/>
                <w:sz w:val="24"/>
                <w:highlight w:val="none"/>
              </w:rPr>
            </w:pPr>
            <w:r>
              <w:rPr>
                <w:color w:val="auto"/>
                <w:sz w:val="24"/>
                <w:highlight w:val="none"/>
              </w:rPr>
              <w:t>生活垃圾</w:t>
            </w:r>
          </w:p>
        </w:tc>
        <w:tc>
          <w:tcPr>
            <w:tcW w:w="2580" w:type="dxa"/>
            <w:gridSpan w:val="2"/>
            <w:tcBorders>
              <w:top w:val="single" w:color="auto" w:sz="8" w:space="0"/>
              <w:bottom w:val="single" w:color="auto" w:sz="4" w:space="0"/>
            </w:tcBorders>
            <w:vAlign w:val="center"/>
          </w:tcPr>
          <w:p>
            <w:pPr>
              <w:pStyle w:val="55"/>
              <w:rPr>
                <w:rFonts w:ascii="Times New Roman" w:hAnsi="Times New Roman"/>
                <w:color w:val="auto"/>
                <w:position w:val="0"/>
                <w:sz w:val="24"/>
                <w:szCs w:val="24"/>
                <w:highlight w:val="none"/>
              </w:rPr>
            </w:pPr>
            <w:r>
              <w:rPr>
                <w:rFonts w:hint="eastAsia" w:ascii="Times New Roman" w:hAnsi="Times New Roman"/>
                <w:color w:val="auto"/>
                <w:position w:val="0"/>
                <w:sz w:val="24"/>
                <w:szCs w:val="24"/>
                <w:highlight w:val="none"/>
              </w:rPr>
              <w:t>1.5</w:t>
            </w:r>
            <w:r>
              <w:rPr>
                <w:rFonts w:ascii="Times New Roman" w:hAnsi="Times New Roman"/>
                <w:color w:val="auto"/>
                <w:position w:val="0"/>
                <w:sz w:val="24"/>
                <w:szCs w:val="24"/>
                <w:highlight w:val="none"/>
              </w:rPr>
              <w:t>t/a</w:t>
            </w:r>
          </w:p>
        </w:tc>
        <w:tc>
          <w:tcPr>
            <w:tcW w:w="2515" w:type="dxa"/>
            <w:gridSpan w:val="2"/>
            <w:tcBorders>
              <w:top w:val="single" w:color="auto" w:sz="8" w:space="0"/>
              <w:bottom w:val="single" w:color="auto" w:sz="4" w:space="0"/>
            </w:tcBorders>
            <w:vAlign w:val="center"/>
          </w:tcPr>
          <w:p>
            <w:pPr>
              <w:jc w:val="center"/>
              <w:rPr>
                <w:color w:val="auto"/>
                <w:sz w:val="24"/>
                <w:highlight w:val="none"/>
              </w:rPr>
            </w:pPr>
            <w:r>
              <w:rPr>
                <w:color w:val="auto"/>
                <w:sz w:val="24"/>
                <w:highlight w:val="none"/>
              </w:rPr>
              <w:t>交予环卫部门处理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27" w:hRule="atLeast"/>
        </w:trPr>
        <w:tc>
          <w:tcPr>
            <w:tcW w:w="755" w:type="dxa"/>
            <w:vMerge w:val="continue"/>
            <w:vAlign w:val="center"/>
          </w:tcPr>
          <w:p>
            <w:pPr>
              <w:jc w:val="center"/>
              <w:rPr>
                <w:color w:val="auto"/>
                <w:sz w:val="24"/>
                <w:highlight w:val="none"/>
              </w:rPr>
            </w:pPr>
          </w:p>
        </w:tc>
        <w:tc>
          <w:tcPr>
            <w:tcW w:w="1351" w:type="dxa"/>
            <w:vMerge w:val="restart"/>
            <w:tcBorders>
              <w:top w:val="single" w:color="auto" w:sz="8" w:space="0"/>
            </w:tcBorders>
            <w:vAlign w:val="center"/>
          </w:tcPr>
          <w:p>
            <w:pPr>
              <w:jc w:val="center"/>
              <w:rPr>
                <w:color w:val="auto"/>
                <w:sz w:val="24"/>
                <w:highlight w:val="none"/>
              </w:rPr>
            </w:pPr>
            <w:r>
              <w:rPr>
                <w:color w:val="auto"/>
                <w:sz w:val="24"/>
                <w:highlight w:val="none"/>
              </w:rPr>
              <w:t>一般</w:t>
            </w:r>
            <w:r>
              <w:rPr>
                <w:rFonts w:hint="eastAsia"/>
                <w:color w:val="auto"/>
                <w:sz w:val="24"/>
                <w:highlight w:val="none"/>
              </w:rPr>
              <w:t>工业固废</w:t>
            </w:r>
          </w:p>
        </w:tc>
        <w:tc>
          <w:tcPr>
            <w:tcW w:w="2445" w:type="dxa"/>
            <w:gridSpan w:val="2"/>
            <w:tcBorders>
              <w:top w:val="single" w:color="auto" w:sz="8" w:space="0"/>
              <w:bottom w:val="single" w:color="auto" w:sz="4" w:space="0"/>
            </w:tcBorders>
            <w:vAlign w:val="center"/>
          </w:tcPr>
          <w:p>
            <w:pPr>
              <w:pStyle w:val="132"/>
              <w:rPr>
                <w:color w:val="auto"/>
                <w:sz w:val="24"/>
                <w:highlight w:val="none"/>
              </w:rPr>
            </w:pPr>
            <w:r>
              <w:rPr>
                <w:rFonts w:hint="eastAsia"/>
                <w:color w:val="auto"/>
                <w:spacing w:val="-2"/>
                <w:sz w:val="24"/>
                <w:highlight w:val="none"/>
              </w:rPr>
              <w:t>金属碎屑</w:t>
            </w:r>
          </w:p>
        </w:tc>
        <w:tc>
          <w:tcPr>
            <w:tcW w:w="2580" w:type="dxa"/>
            <w:gridSpan w:val="2"/>
            <w:tcBorders>
              <w:top w:val="single" w:color="auto" w:sz="8" w:space="0"/>
              <w:bottom w:val="single" w:color="auto" w:sz="4" w:space="0"/>
            </w:tcBorders>
            <w:vAlign w:val="center"/>
          </w:tcPr>
          <w:p>
            <w:pPr>
              <w:pStyle w:val="55"/>
              <w:rPr>
                <w:rFonts w:ascii="Times New Roman" w:hAnsi="Times New Roman"/>
                <w:color w:val="auto"/>
                <w:position w:val="0"/>
                <w:sz w:val="24"/>
                <w:szCs w:val="24"/>
                <w:highlight w:val="none"/>
              </w:rPr>
            </w:pPr>
            <w:r>
              <w:rPr>
                <w:rFonts w:hint="eastAsia" w:ascii="Times New Roman" w:hAnsi="Times New Roman"/>
                <w:color w:val="auto"/>
                <w:position w:val="0"/>
                <w:sz w:val="24"/>
                <w:szCs w:val="24"/>
                <w:highlight w:val="none"/>
                <w:lang w:val="en-US" w:eastAsia="zh-CN"/>
              </w:rPr>
              <w:t>0.3</w:t>
            </w:r>
            <w:r>
              <w:rPr>
                <w:rFonts w:ascii="Times New Roman" w:hAnsi="Times New Roman"/>
                <w:color w:val="auto"/>
                <w:position w:val="0"/>
                <w:sz w:val="24"/>
                <w:szCs w:val="24"/>
                <w:highlight w:val="none"/>
              </w:rPr>
              <w:t>t/a</w:t>
            </w:r>
          </w:p>
        </w:tc>
        <w:tc>
          <w:tcPr>
            <w:tcW w:w="2515" w:type="dxa"/>
            <w:gridSpan w:val="2"/>
            <w:vMerge w:val="restart"/>
            <w:tcBorders>
              <w:top w:val="single" w:color="auto" w:sz="8" w:space="0"/>
            </w:tcBorders>
            <w:vAlign w:val="center"/>
          </w:tcPr>
          <w:p>
            <w:pPr>
              <w:jc w:val="center"/>
              <w:rPr>
                <w:color w:val="auto"/>
                <w:sz w:val="24"/>
                <w:highlight w:val="none"/>
              </w:rPr>
            </w:pPr>
            <w:r>
              <w:rPr>
                <w:color w:val="auto"/>
                <w:sz w:val="24"/>
                <w:highlight w:val="none"/>
              </w:rPr>
              <w:t>交专业公司回收处理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27" w:hRule="atLeast"/>
        </w:trPr>
        <w:tc>
          <w:tcPr>
            <w:tcW w:w="755" w:type="dxa"/>
            <w:vMerge w:val="continue"/>
            <w:vAlign w:val="center"/>
          </w:tcPr>
          <w:p>
            <w:pPr>
              <w:jc w:val="center"/>
              <w:rPr>
                <w:color w:val="auto"/>
                <w:sz w:val="24"/>
                <w:highlight w:val="none"/>
              </w:rPr>
            </w:pPr>
          </w:p>
        </w:tc>
        <w:tc>
          <w:tcPr>
            <w:tcW w:w="1351" w:type="dxa"/>
            <w:vMerge w:val="continue"/>
            <w:vAlign w:val="center"/>
          </w:tcPr>
          <w:p>
            <w:pPr>
              <w:jc w:val="center"/>
              <w:rPr>
                <w:color w:val="auto"/>
                <w:sz w:val="24"/>
                <w:highlight w:val="none"/>
              </w:rPr>
            </w:pPr>
          </w:p>
        </w:tc>
        <w:tc>
          <w:tcPr>
            <w:tcW w:w="2445" w:type="dxa"/>
            <w:gridSpan w:val="2"/>
            <w:tcBorders>
              <w:top w:val="single" w:color="auto" w:sz="8" w:space="0"/>
              <w:bottom w:val="single" w:color="auto" w:sz="4" w:space="0"/>
            </w:tcBorders>
            <w:vAlign w:val="center"/>
          </w:tcPr>
          <w:p>
            <w:pPr>
              <w:pStyle w:val="132"/>
              <w:rPr>
                <w:rFonts w:hint="eastAsia"/>
                <w:color w:val="auto"/>
                <w:spacing w:val="-2"/>
                <w:sz w:val="24"/>
                <w:highlight w:val="none"/>
              </w:rPr>
            </w:pPr>
            <w:r>
              <w:rPr>
                <w:rFonts w:hint="eastAsia"/>
                <w:color w:val="auto"/>
                <w:spacing w:val="-2"/>
                <w:sz w:val="24"/>
                <w:highlight w:val="none"/>
              </w:rPr>
              <w:t>金属边角料</w:t>
            </w:r>
          </w:p>
        </w:tc>
        <w:tc>
          <w:tcPr>
            <w:tcW w:w="2580" w:type="dxa"/>
            <w:gridSpan w:val="2"/>
            <w:tcBorders>
              <w:top w:val="single" w:color="auto" w:sz="8" w:space="0"/>
              <w:bottom w:val="single" w:color="auto" w:sz="4" w:space="0"/>
            </w:tcBorders>
            <w:vAlign w:val="center"/>
          </w:tcPr>
          <w:p>
            <w:pPr>
              <w:pStyle w:val="55"/>
              <w:rPr>
                <w:rFonts w:hint="default" w:ascii="Times New Roman" w:hAnsi="Times New Roman"/>
                <w:color w:val="auto"/>
                <w:position w:val="0"/>
                <w:sz w:val="24"/>
                <w:szCs w:val="24"/>
                <w:highlight w:val="none"/>
                <w:lang w:val="en-US" w:eastAsia="zh-CN"/>
              </w:rPr>
            </w:pPr>
            <w:r>
              <w:rPr>
                <w:rFonts w:hint="eastAsia" w:ascii="Times New Roman" w:hAnsi="Times New Roman"/>
                <w:color w:val="auto"/>
                <w:position w:val="0"/>
                <w:sz w:val="24"/>
                <w:szCs w:val="24"/>
                <w:highlight w:val="none"/>
                <w:lang w:val="en-US" w:eastAsia="zh-CN"/>
              </w:rPr>
              <w:t>0.7</w:t>
            </w:r>
            <w:r>
              <w:rPr>
                <w:rFonts w:ascii="Times New Roman" w:hAnsi="Times New Roman"/>
                <w:color w:val="auto"/>
                <w:position w:val="0"/>
                <w:sz w:val="24"/>
                <w:szCs w:val="24"/>
                <w:highlight w:val="none"/>
              </w:rPr>
              <w:t>t/a</w:t>
            </w:r>
          </w:p>
        </w:tc>
        <w:tc>
          <w:tcPr>
            <w:tcW w:w="2515" w:type="dxa"/>
            <w:gridSpan w:val="2"/>
            <w:vMerge w:val="continue"/>
            <w:vAlign w:val="center"/>
          </w:tcPr>
          <w:p>
            <w:pPr>
              <w:jc w:val="center"/>
              <w:rPr>
                <w:color w:val="auto"/>
                <w:sz w:val="24"/>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47" w:hRule="atLeast"/>
        </w:trPr>
        <w:tc>
          <w:tcPr>
            <w:tcW w:w="755" w:type="dxa"/>
            <w:vMerge w:val="continue"/>
            <w:vAlign w:val="center"/>
          </w:tcPr>
          <w:p>
            <w:pPr>
              <w:jc w:val="center"/>
              <w:rPr>
                <w:color w:val="auto"/>
                <w:sz w:val="24"/>
                <w:highlight w:val="none"/>
              </w:rPr>
            </w:pPr>
          </w:p>
        </w:tc>
        <w:tc>
          <w:tcPr>
            <w:tcW w:w="1351" w:type="dxa"/>
            <w:vMerge w:val="continue"/>
            <w:vAlign w:val="center"/>
          </w:tcPr>
          <w:p>
            <w:pPr>
              <w:jc w:val="center"/>
              <w:rPr>
                <w:color w:val="auto"/>
                <w:sz w:val="24"/>
                <w:highlight w:val="none"/>
              </w:rPr>
            </w:pPr>
          </w:p>
        </w:tc>
        <w:tc>
          <w:tcPr>
            <w:tcW w:w="2445" w:type="dxa"/>
            <w:gridSpan w:val="2"/>
            <w:tcBorders>
              <w:top w:val="single" w:color="auto" w:sz="4" w:space="0"/>
              <w:bottom w:val="single" w:color="auto" w:sz="4" w:space="0"/>
            </w:tcBorders>
            <w:vAlign w:val="center"/>
          </w:tcPr>
          <w:p>
            <w:pPr>
              <w:pStyle w:val="132"/>
              <w:rPr>
                <w:rFonts w:hint="eastAsia"/>
                <w:color w:val="auto"/>
                <w:spacing w:val="-2"/>
                <w:sz w:val="24"/>
                <w:highlight w:val="none"/>
              </w:rPr>
            </w:pPr>
            <w:r>
              <w:rPr>
                <w:rFonts w:hint="eastAsia"/>
                <w:color w:val="auto"/>
                <w:spacing w:val="-2"/>
                <w:sz w:val="24"/>
                <w:highlight w:val="none"/>
              </w:rPr>
              <w:t>不合格品</w:t>
            </w:r>
          </w:p>
        </w:tc>
        <w:tc>
          <w:tcPr>
            <w:tcW w:w="2580" w:type="dxa"/>
            <w:gridSpan w:val="2"/>
            <w:tcBorders>
              <w:top w:val="single" w:color="auto" w:sz="4" w:space="0"/>
              <w:bottom w:val="single" w:color="auto" w:sz="4" w:space="0"/>
            </w:tcBorders>
            <w:vAlign w:val="center"/>
          </w:tcPr>
          <w:p>
            <w:pPr>
              <w:pStyle w:val="55"/>
              <w:rPr>
                <w:rFonts w:hint="eastAsia" w:ascii="Times New Roman" w:hAnsi="Times New Roman" w:eastAsia="宋体"/>
                <w:color w:val="auto"/>
                <w:position w:val="0"/>
                <w:sz w:val="24"/>
                <w:szCs w:val="24"/>
                <w:highlight w:val="none"/>
                <w:lang w:val="en-US" w:eastAsia="zh-CN"/>
              </w:rPr>
            </w:pPr>
            <w:r>
              <w:rPr>
                <w:rFonts w:hint="eastAsia" w:ascii="Times New Roman" w:hAnsi="Times New Roman"/>
                <w:color w:val="auto"/>
                <w:position w:val="0"/>
                <w:sz w:val="24"/>
                <w:szCs w:val="24"/>
                <w:highlight w:val="none"/>
                <w:lang w:val="en-US" w:eastAsia="zh-CN"/>
              </w:rPr>
              <w:t>1</w:t>
            </w:r>
            <w:r>
              <w:rPr>
                <w:rFonts w:ascii="Times New Roman" w:hAnsi="Times New Roman"/>
                <w:color w:val="auto"/>
                <w:position w:val="0"/>
                <w:sz w:val="24"/>
                <w:szCs w:val="24"/>
                <w:highlight w:val="none"/>
              </w:rPr>
              <w:t>t/a</w:t>
            </w:r>
          </w:p>
        </w:tc>
        <w:tc>
          <w:tcPr>
            <w:tcW w:w="2515" w:type="dxa"/>
            <w:gridSpan w:val="2"/>
            <w:vMerge w:val="continue"/>
            <w:tcBorders>
              <w:bottom w:val="single" w:color="auto" w:sz="4" w:space="0"/>
            </w:tcBorders>
            <w:vAlign w:val="center"/>
          </w:tcPr>
          <w:p>
            <w:pPr>
              <w:jc w:val="center"/>
              <w:rPr>
                <w:color w:val="auto"/>
                <w:sz w:val="24"/>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180" w:hRule="atLeast"/>
        </w:trPr>
        <w:tc>
          <w:tcPr>
            <w:tcW w:w="755" w:type="dxa"/>
            <w:vMerge w:val="continue"/>
            <w:vAlign w:val="center"/>
          </w:tcPr>
          <w:p>
            <w:pPr>
              <w:jc w:val="center"/>
              <w:rPr>
                <w:color w:val="auto"/>
                <w:sz w:val="24"/>
                <w:highlight w:val="none"/>
              </w:rPr>
            </w:pPr>
          </w:p>
        </w:tc>
        <w:tc>
          <w:tcPr>
            <w:tcW w:w="1351" w:type="dxa"/>
            <w:vMerge w:val="continue"/>
            <w:vAlign w:val="center"/>
          </w:tcPr>
          <w:p>
            <w:pPr>
              <w:jc w:val="center"/>
              <w:rPr>
                <w:color w:val="auto"/>
                <w:sz w:val="24"/>
                <w:highlight w:val="none"/>
              </w:rPr>
            </w:pPr>
          </w:p>
        </w:tc>
        <w:tc>
          <w:tcPr>
            <w:tcW w:w="2445" w:type="dxa"/>
            <w:gridSpan w:val="2"/>
            <w:tcBorders>
              <w:top w:val="single" w:color="auto" w:sz="4" w:space="0"/>
              <w:bottom w:val="single" w:color="auto" w:sz="4" w:space="0"/>
            </w:tcBorders>
            <w:vAlign w:val="center"/>
          </w:tcPr>
          <w:p>
            <w:pPr>
              <w:pStyle w:val="132"/>
              <w:rPr>
                <w:rFonts w:hint="eastAsia"/>
                <w:color w:val="auto"/>
                <w:spacing w:val="-2"/>
                <w:sz w:val="24"/>
                <w:highlight w:val="none"/>
              </w:rPr>
            </w:pPr>
            <w:r>
              <w:rPr>
                <w:rFonts w:hint="eastAsia"/>
                <w:color w:val="auto"/>
                <w:spacing w:val="-2"/>
                <w:sz w:val="24"/>
                <w:highlight w:val="none"/>
              </w:rPr>
              <w:t>废包装材料</w:t>
            </w:r>
          </w:p>
        </w:tc>
        <w:tc>
          <w:tcPr>
            <w:tcW w:w="2580" w:type="dxa"/>
            <w:gridSpan w:val="2"/>
            <w:tcBorders>
              <w:top w:val="single" w:color="auto" w:sz="4" w:space="0"/>
              <w:bottom w:val="single" w:color="auto" w:sz="4" w:space="0"/>
            </w:tcBorders>
            <w:vAlign w:val="center"/>
          </w:tcPr>
          <w:p>
            <w:pPr>
              <w:pStyle w:val="55"/>
              <w:rPr>
                <w:rFonts w:hint="default" w:ascii="Times New Roman" w:hAnsi="Times New Roman" w:eastAsia="宋体"/>
                <w:color w:val="auto"/>
                <w:position w:val="0"/>
                <w:sz w:val="24"/>
                <w:szCs w:val="24"/>
                <w:highlight w:val="none"/>
                <w:lang w:val="en-US" w:eastAsia="zh-CN"/>
              </w:rPr>
            </w:pPr>
            <w:r>
              <w:rPr>
                <w:rFonts w:hint="eastAsia" w:ascii="Times New Roman" w:hAnsi="Times New Roman"/>
                <w:color w:val="auto"/>
                <w:position w:val="0"/>
                <w:sz w:val="24"/>
                <w:szCs w:val="24"/>
                <w:highlight w:val="none"/>
                <w:lang w:val="en-US" w:eastAsia="zh-CN"/>
              </w:rPr>
              <w:t>0.1</w:t>
            </w:r>
            <w:r>
              <w:rPr>
                <w:rFonts w:ascii="Times New Roman" w:hAnsi="Times New Roman"/>
                <w:color w:val="auto"/>
                <w:position w:val="0"/>
                <w:sz w:val="24"/>
                <w:szCs w:val="24"/>
                <w:highlight w:val="none"/>
              </w:rPr>
              <w:t>t/a</w:t>
            </w:r>
          </w:p>
        </w:tc>
        <w:tc>
          <w:tcPr>
            <w:tcW w:w="2515" w:type="dxa"/>
            <w:gridSpan w:val="2"/>
            <w:vMerge w:val="continue"/>
            <w:tcBorders>
              <w:bottom w:val="single" w:color="auto" w:sz="4" w:space="0"/>
            </w:tcBorders>
            <w:vAlign w:val="center"/>
          </w:tcPr>
          <w:p>
            <w:pPr>
              <w:jc w:val="center"/>
              <w:rPr>
                <w:color w:val="auto"/>
                <w:sz w:val="24"/>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73" w:hRule="atLeast"/>
        </w:trPr>
        <w:tc>
          <w:tcPr>
            <w:tcW w:w="755" w:type="dxa"/>
            <w:vMerge w:val="continue"/>
            <w:vAlign w:val="center"/>
          </w:tcPr>
          <w:p>
            <w:pPr>
              <w:jc w:val="center"/>
              <w:rPr>
                <w:color w:val="auto"/>
                <w:sz w:val="24"/>
                <w:highlight w:val="none"/>
              </w:rPr>
            </w:pPr>
          </w:p>
        </w:tc>
        <w:tc>
          <w:tcPr>
            <w:tcW w:w="1351" w:type="dxa"/>
            <w:vMerge w:val="restart"/>
            <w:tcBorders>
              <w:top w:val="single" w:color="auto" w:sz="8" w:space="0"/>
            </w:tcBorders>
            <w:vAlign w:val="center"/>
          </w:tcPr>
          <w:p>
            <w:pPr>
              <w:jc w:val="center"/>
              <w:rPr>
                <w:color w:val="auto"/>
                <w:sz w:val="24"/>
                <w:highlight w:val="none"/>
              </w:rPr>
            </w:pPr>
            <w:r>
              <w:rPr>
                <w:rFonts w:hint="eastAsia"/>
                <w:color w:val="auto"/>
                <w:sz w:val="24"/>
                <w:highlight w:val="none"/>
              </w:rPr>
              <w:t>危险废物</w:t>
            </w:r>
          </w:p>
        </w:tc>
        <w:tc>
          <w:tcPr>
            <w:tcW w:w="2445" w:type="dxa"/>
            <w:gridSpan w:val="2"/>
            <w:tcBorders>
              <w:top w:val="single" w:color="auto" w:sz="8" w:space="0"/>
              <w:bottom w:val="single" w:color="auto" w:sz="4" w:space="0"/>
            </w:tcBorders>
            <w:vAlign w:val="center"/>
          </w:tcPr>
          <w:p>
            <w:pPr>
              <w:topLinePunct/>
              <w:adjustRightInd w:val="0"/>
              <w:snapToGrid w:val="0"/>
              <w:jc w:val="center"/>
              <w:rPr>
                <w:rFonts w:hAnsi="宋体"/>
                <w:color w:val="auto"/>
                <w:sz w:val="24"/>
                <w:highlight w:val="none"/>
              </w:rPr>
            </w:pPr>
            <w:r>
              <w:rPr>
                <w:rFonts w:hint="eastAsia"/>
                <w:color w:val="auto"/>
                <w:sz w:val="24"/>
                <w:highlight w:val="none"/>
              </w:rPr>
              <w:t>废液压油油桶</w:t>
            </w:r>
          </w:p>
        </w:tc>
        <w:tc>
          <w:tcPr>
            <w:tcW w:w="2580" w:type="dxa"/>
            <w:gridSpan w:val="2"/>
            <w:tcBorders>
              <w:top w:val="single" w:color="auto" w:sz="8" w:space="0"/>
              <w:bottom w:val="single" w:color="auto" w:sz="4" w:space="0"/>
            </w:tcBorders>
            <w:vAlign w:val="center"/>
          </w:tcPr>
          <w:p>
            <w:pPr>
              <w:topLinePunct/>
              <w:adjustRightInd w:val="0"/>
              <w:snapToGrid w:val="0"/>
              <w:jc w:val="center"/>
              <w:rPr>
                <w:rFonts w:hAnsi="宋体"/>
                <w:color w:val="auto"/>
                <w:sz w:val="24"/>
                <w:highlight w:val="none"/>
              </w:rPr>
            </w:pPr>
            <w:r>
              <w:rPr>
                <w:color w:val="auto"/>
                <w:kern w:val="0"/>
                <w:sz w:val="24"/>
                <w:highlight w:val="none"/>
              </w:rPr>
              <w:t>0.0</w:t>
            </w:r>
            <w:r>
              <w:rPr>
                <w:rFonts w:hint="eastAsia"/>
                <w:color w:val="auto"/>
                <w:kern w:val="0"/>
                <w:sz w:val="24"/>
                <w:highlight w:val="none"/>
                <w:lang w:val="en-US" w:eastAsia="zh-CN"/>
              </w:rPr>
              <w:t>18</w:t>
            </w:r>
            <w:r>
              <w:rPr>
                <w:rFonts w:hint="eastAsia"/>
                <w:color w:val="auto"/>
                <w:kern w:val="0"/>
                <w:sz w:val="24"/>
                <w:highlight w:val="none"/>
              </w:rPr>
              <w:t>t</w:t>
            </w:r>
            <w:r>
              <w:rPr>
                <w:color w:val="auto"/>
                <w:kern w:val="0"/>
                <w:sz w:val="24"/>
                <w:highlight w:val="none"/>
              </w:rPr>
              <w:t>/</w:t>
            </w:r>
            <w:r>
              <w:rPr>
                <w:rFonts w:hint="eastAsia"/>
                <w:color w:val="auto"/>
                <w:kern w:val="0"/>
                <w:sz w:val="24"/>
                <w:highlight w:val="none"/>
              </w:rPr>
              <w:t>a</w:t>
            </w:r>
          </w:p>
        </w:tc>
        <w:tc>
          <w:tcPr>
            <w:tcW w:w="2515" w:type="dxa"/>
            <w:gridSpan w:val="2"/>
            <w:vMerge w:val="restart"/>
            <w:tcBorders>
              <w:top w:val="single" w:color="auto" w:sz="8" w:space="0"/>
            </w:tcBorders>
            <w:vAlign w:val="center"/>
          </w:tcPr>
          <w:p>
            <w:pPr>
              <w:jc w:val="center"/>
              <w:rPr>
                <w:rFonts w:hAnsi="宋体"/>
                <w:color w:val="auto"/>
                <w:sz w:val="24"/>
                <w:highlight w:val="none"/>
              </w:rPr>
            </w:pPr>
            <w:r>
              <w:rPr>
                <w:rFonts w:hint="eastAsia" w:hAnsi="宋体"/>
                <w:color w:val="auto"/>
                <w:sz w:val="24"/>
                <w:highlight w:val="none"/>
              </w:rPr>
              <w:t>交给有危险废物处置资质单位处置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73" w:hRule="atLeast"/>
        </w:trPr>
        <w:tc>
          <w:tcPr>
            <w:tcW w:w="755" w:type="dxa"/>
            <w:vMerge w:val="continue"/>
            <w:vAlign w:val="center"/>
          </w:tcPr>
          <w:p>
            <w:pPr>
              <w:jc w:val="center"/>
              <w:rPr>
                <w:color w:val="auto"/>
                <w:sz w:val="24"/>
                <w:highlight w:val="none"/>
              </w:rPr>
            </w:pPr>
          </w:p>
        </w:tc>
        <w:tc>
          <w:tcPr>
            <w:tcW w:w="1351" w:type="dxa"/>
            <w:vMerge w:val="continue"/>
            <w:vAlign w:val="center"/>
          </w:tcPr>
          <w:p>
            <w:pPr>
              <w:jc w:val="center"/>
              <w:rPr>
                <w:rFonts w:hint="eastAsia"/>
                <w:color w:val="auto"/>
                <w:sz w:val="24"/>
                <w:highlight w:val="none"/>
              </w:rPr>
            </w:pPr>
          </w:p>
        </w:tc>
        <w:tc>
          <w:tcPr>
            <w:tcW w:w="2445" w:type="dxa"/>
            <w:gridSpan w:val="2"/>
            <w:tcBorders>
              <w:top w:val="single" w:color="auto" w:sz="8" w:space="0"/>
              <w:bottom w:val="single" w:color="auto" w:sz="4" w:space="0"/>
            </w:tcBorders>
            <w:vAlign w:val="center"/>
          </w:tcPr>
          <w:p>
            <w:pPr>
              <w:topLinePunct/>
              <w:adjustRightInd w:val="0"/>
              <w:snapToGrid w:val="0"/>
              <w:jc w:val="center"/>
              <w:rPr>
                <w:rFonts w:hint="eastAsia"/>
                <w:color w:val="auto"/>
                <w:sz w:val="24"/>
                <w:highlight w:val="none"/>
              </w:rPr>
            </w:pPr>
            <w:r>
              <w:rPr>
                <w:rFonts w:hint="eastAsia"/>
                <w:color w:val="auto"/>
                <w:sz w:val="24"/>
                <w:highlight w:val="none"/>
              </w:rPr>
              <w:t>废润滑油油桶</w:t>
            </w:r>
          </w:p>
        </w:tc>
        <w:tc>
          <w:tcPr>
            <w:tcW w:w="2580" w:type="dxa"/>
            <w:gridSpan w:val="2"/>
            <w:tcBorders>
              <w:top w:val="single" w:color="auto" w:sz="8" w:space="0"/>
              <w:bottom w:val="single" w:color="auto" w:sz="4" w:space="0"/>
            </w:tcBorders>
            <w:vAlign w:val="center"/>
          </w:tcPr>
          <w:p>
            <w:pPr>
              <w:topLinePunct/>
              <w:adjustRightInd w:val="0"/>
              <w:snapToGrid w:val="0"/>
              <w:jc w:val="center"/>
              <w:rPr>
                <w:rFonts w:hint="default" w:eastAsia="宋体"/>
                <w:color w:val="auto"/>
                <w:kern w:val="0"/>
                <w:sz w:val="24"/>
                <w:highlight w:val="none"/>
                <w:lang w:val="en-US" w:eastAsia="zh-CN"/>
              </w:rPr>
            </w:pPr>
            <w:r>
              <w:rPr>
                <w:rFonts w:hint="eastAsia"/>
                <w:color w:val="auto"/>
                <w:kern w:val="0"/>
                <w:sz w:val="24"/>
                <w:highlight w:val="none"/>
                <w:lang w:val="en-US" w:eastAsia="zh-CN"/>
              </w:rPr>
              <w:t>0.002</w:t>
            </w:r>
            <w:r>
              <w:rPr>
                <w:rFonts w:hint="eastAsia"/>
                <w:color w:val="auto"/>
                <w:kern w:val="0"/>
                <w:sz w:val="24"/>
                <w:highlight w:val="none"/>
              </w:rPr>
              <w:t>t</w:t>
            </w:r>
            <w:r>
              <w:rPr>
                <w:color w:val="auto"/>
                <w:kern w:val="0"/>
                <w:sz w:val="24"/>
                <w:highlight w:val="none"/>
              </w:rPr>
              <w:t>/</w:t>
            </w:r>
            <w:r>
              <w:rPr>
                <w:rFonts w:hint="eastAsia"/>
                <w:color w:val="auto"/>
                <w:kern w:val="0"/>
                <w:sz w:val="24"/>
                <w:highlight w:val="none"/>
              </w:rPr>
              <w:t>a</w:t>
            </w:r>
          </w:p>
        </w:tc>
        <w:tc>
          <w:tcPr>
            <w:tcW w:w="2515" w:type="dxa"/>
            <w:gridSpan w:val="2"/>
            <w:vMerge w:val="continue"/>
            <w:vAlign w:val="center"/>
          </w:tcPr>
          <w:p>
            <w:pPr>
              <w:jc w:val="center"/>
              <w:rPr>
                <w:rFonts w:hint="eastAsia" w:hAnsi="宋体"/>
                <w:color w:val="auto"/>
                <w:sz w:val="24"/>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48" w:hRule="atLeast"/>
        </w:trPr>
        <w:tc>
          <w:tcPr>
            <w:tcW w:w="755" w:type="dxa"/>
            <w:vMerge w:val="continue"/>
            <w:vAlign w:val="center"/>
          </w:tcPr>
          <w:p>
            <w:pPr>
              <w:jc w:val="center"/>
              <w:rPr>
                <w:color w:val="auto"/>
                <w:sz w:val="24"/>
                <w:highlight w:val="none"/>
              </w:rPr>
            </w:pPr>
          </w:p>
        </w:tc>
        <w:tc>
          <w:tcPr>
            <w:tcW w:w="1351" w:type="dxa"/>
            <w:vMerge w:val="continue"/>
            <w:vAlign w:val="center"/>
          </w:tcPr>
          <w:p>
            <w:pPr>
              <w:jc w:val="center"/>
              <w:rPr>
                <w:color w:val="auto"/>
                <w:sz w:val="24"/>
                <w:highlight w:val="none"/>
              </w:rPr>
            </w:pPr>
          </w:p>
        </w:tc>
        <w:tc>
          <w:tcPr>
            <w:tcW w:w="2445" w:type="dxa"/>
            <w:gridSpan w:val="2"/>
            <w:tcBorders>
              <w:top w:val="single" w:color="auto" w:sz="4" w:space="0"/>
              <w:bottom w:val="single" w:color="auto" w:sz="4" w:space="0"/>
            </w:tcBorders>
            <w:vAlign w:val="center"/>
          </w:tcPr>
          <w:p>
            <w:pPr>
              <w:topLinePunct/>
              <w:adjustRightInd w:val="0"/>
              <w:snapToGrid w:val="0"/>
              <w:jc w:val="center"/>
              <w:rPr>
                <w:rFonts w:hAnsi="宋体"/>
                <w:color w:val="auto"/>
                <w:sz w:val="24"/>
                <w:highlight w:val="none"/>
              </w:rPr>
            </w:pPr>
            <w:r>
              <w:rPr>
                <w:bCs/>
                <w:color w:val="auto"/>
                <w:sz w:val="24"/>
                <w:highlight w:val="none"/>
              </w:rPr>
              <w:t>废</w:t>
            </w:r>
            <w:r>
              <w:rPr>
                <w:rFonts w:hint="eastAsia"/>
                <w:bCs/>
                <w:color w:val="auto"/>
                <w:sz w:val="24"/>
                <w:highlight w:val="none"/>
              </w:rPr>
              <w:t>液压油</w:t>
            </w:r>
          </w:p>
        </w:tc>
        <w:tc>
          <w:tcPr>
            <w:tcW w:w="2580" w:type="dxa"/>
            <w:gridSpan w:val="2"/>
            <w:tcBorders>
              <w:top w:val="single" w:color="auto" w:sz="4" w:space="0"/>
              <w:bottom w:val="single" w:color="auto" w:sz="4" w:space="0"/>
            </w:tcBorders>
            <w:vAlign w:val="center"/>
          </w:tcPr>
          <w:p>
            <w:pPr>
              <w:topLinePunct/>
              <w:adjustRightInd w:val="0"/>
              <w:snapToGrid w:val="0"/>
              <w:jc w:val="center"/>
              <w:rPr>
                <w:rFonts w:hAnsi="宋体"/>
                <w:color w:val="auto"/>
                <w:sz w:val="24"/>
                <w:highlight w:val="none"/>
              </w:rPr>
            </w:pPr>
            <w:r>
              <w:rPr>
                <w:rFonts w:hint="eastAsia"/>
                <w:bCs/>
                <w:color w:val="auto"/>
                <w:sz w:val="24"/>
                <w:highlight w:val="none"/>
                <w:lang w:val="en-US" w:eastAsia="zh-CN"/>
              </w:rPr>
              <w:t>0.17</w:t>
            </w:r>
            <w:r>
              <w:rPr>
                <w:rFonts w:hint="eastAsia"/>
                <w:color w:val="auto"/>
                <w:kern w:val="0"/>
                <w:sz w:val="24"/>
                <w:highlight w:val="none"/>
              </w:rPr>
              <w:t>t</w:t>
            </w:r>
            <w:r>
              <w:rPr>
                <w:color w:val="auto"/>
                <w:kern w:val="0"/>
                <w:sz w:val="24"/>
                <w:highlight w:val="none"/>
              </w:rPr>
              <w:t>/</w:t>
            </w:r>
            <w:r>
              <w:rPr>
                <w:rFonts w:hint="eastAsia"/>
                <w:color w:val="auto"/>
                <w:kern w:val="0"/>
                <w:sz w:val="24"/>
                <w:highlight w:val="none"/>
              </w:rPr>
              <w:t>a</w:t>
            </w:r>
          </w:p>
        </w:tc>
        <w:tc>
          <w:tcPr>
            <w:tcW w:w="2515" w:type="dxa"/>
            <w:gridSpan w:val="2"/>
            <w:vMerge w:val="continue"/>
            <w:tcBorders>
              <w:bottom w:val="single" w:color="auto" w:sz="4" w:space="0"/>
            </w:tcBorders>
            <w:vAlign w:val="center"/>
          </w:tcPr>
          <w:p>
            <w:pPr>
              <w:jc w:val="center"/>
              <w:rPr>
                <w:rFonts w:hAnsi="宋体"/>
                <w:color w:val="auto"/>
                <w:sz w:val="24"/>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48" w:hRule="atLeast"/>
        </w:trPr>
        <w:tc>
          <w:tcPr>
            <w:tcW w:w="755" w:type="dxa"/>
            <w:vMerge w:val="continue"/>
            <w:vAlign w:val="center"/>
          </w:tcPr>
          <w:p>
            <w:pPr>
              <w:jc w:val="center"/>
              <w:rPr>
                <w:color w:val="auto"/>
                <w:sz w:val="24"/>
                <w:highlight w:val="none"/>
              </w:rPr>
            </w:pPr>
          </w:p>
        </w:tc>
        <w:tc>
          <w:tcPr>
            <w:tcW w:w="1351" w:type="dxa"/>
            <w:vMerge w:val="continue"/>
            <w:vAlign w:val="center"/>
          </w:tcPr>
          <w:p>
            <w:pPr>
              <w:jc w:val="center"/>
              <w:rPr>
                <w:color w:val="auto"/>
                <w:sz w:val="24"/>
                <w:highlight w:val="none"/>
              </w:rPr>
            </w:pPr>
          </w:p>
        </w:tc>
        <w:tc>
          <w:tcPr>
            <w:tcW w:w="2445" w:type="dxa"/>
            <w:gridSpan w:val="2"/>
            <w:tcBorders>
              <w:top w:val="single" w:color="auto" w:sz="4" w:space="0"/>
              <w:bottom w:val="single" w:color="auto" w:sz="4" w:space="0"/>
            </w:tcBorders>
            <w:vAlign w:val="center"/>
          </w:tcPr>
          <w:p>
            <w:pPr>
              <w:topLinePunct/>
              <w:adjustRightInd w:val="0"/>
              <w:snapToGrid w:val="0"/>
              <w:jc w:val="center"/>
              <w:rPr>
                <w:bCs/>
                <w:color w:val="auto"/>
                <w:sz w:val="24"/>
                <w:highlight w:val="none"/>
              </w:rPr>
            </w:pPr>
            <w:r>
              <w:rPr>
                <w:rFonts w:hint="eastAsia"/>
                <w:bCs/>
                <w:color w:val="auto"/>
                <w:sz w:val="24"/>
                <w:highlight w:val="none"/>
              </w:rPr>
              <w:t>废润滑油</w:t>
            </w:r>
          </w:p>
        </w:tc>
        <w:tc>
          <w:tcPr>
            <w:tcW w:w="2580" w:type="dxa"/>
            <w:gridSpan w:val="2"/>
            <w:tcBorders>
              <w:top w:val="single" w:color="auto" w:sz="4" w:space="0"/>
              <w:bottom w:val="single" w:color="auto" w:sz="4" w:space="0"/>
            </w:tcBorders>
            <w:vAlign w:val="center"/>
          </w:tcPr>
          <w:p>
            <w:pPr>
              <w:topLinePunct/>
              <w:adjustRightInd w:val="0"/>
              <w:snapToGrid w:val="0"/>
              <w:jc w:val="center"/>
              <w:rPr>
                <w:rFonts w:hint="default" w:eastAsia="宋体"/>
                <w:bCs/>
                <w:color w:val="auto"/>
                <w:sz w:val="24"/>
                <w:highlight w:val="none"/>
                <w:lang w:val="en-US" w:eastAsia="zh-CN"/>
              </w:rPr>
            </w:pPr>
            <w:r>
              <w:rPr>
                <w:rFonts w:hint="eastAsia"/>
                <w:bCs/>
                <w:color w:val="auto"/>
                <w:sz w:val="24"/>
                <w:highlight w:val="none"/>
                <w:lang w:val="en-US" w:eastAsia="zh-CN"/>
              </w:rPr>
              <w:t>0.02</w:t>
            </w:r>
            <w:r>
              <w:rPr>
                <w:rFonts w:hint="eastAsia"/>
                <w:color w:val="auto"/>
                <w:kern w:val="0"/>
                <w:sz w:val="24"/>
                <w:highlight w:val="none"/>
              </w:rPr>
              <w:t>t</w:t>
            </w:r>
            <w:r>
              <w:rPr>
                <w:color w:val="auto"/>
                <w:kern w:val="0"/>
                <w:sz w:val="24"/>
                <w:highlight w:val="none"/>
              </w:rPr>
              <w:t>/</w:t>
            </w:r>
            <w:r>
              <w:rPr>
                <w:rFonts w:hint="eastAsia"/>
                <w:color w:val="auto"/>
                <w:kern w:val="0"/>
                <w:sz w:val="24"/>
                <w:highlight w:val="none"/>
              </w:rPr>
              <w:t>a</w:t>
            </w:r>
          </w:p>
        </w:tc>
        <w:tc>
          <w:tcPr>
            <w:tcW w:w="2515" w:type="dxa"/>
            <w:gridSpan w:val="2"/>
            <w:vMerge w:val="continue"/>
            <w:tcBorders>
              <w:bottom w:val="single" w:color="auto" w:sz="4" w:space="0"/>
            </w:tcBorders>
            <w:vAlign w:val="center"/>
          </w:tcPr>
          <w:p>
            <w:pPr>
              <w:jc w:val="center"/>
              <w:rPr>
                <w:rFonts w:hAnsi="宋体"/>
                <w:color w:val="auto"/>
                <w:sz w:val="24"/>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152" w:hRule="atLeast"/>
        </w:trPr>
        <w:tc>
          <w:tcPr>
            <w:tcW w:w="755" w:type="dxa"/>
            <w:vMerge w:val="continue"/>
            <w:vAlign w:val="center"/>
          </w:tcPr>
          <w:p>
            <w:pPr>
              <w:jc w:val="center"/>
              <w:rPr>
                <w:color w:val="auto"/>
                <w:sz w:val="24"/>
                <w:highlight w:val="none"/>
              </w:rPr>
            </w:pPr>
          </w:p>
        </w:tc>
        <w:tc>
          <w:tcPr>
            <w:tcW w:w="1351" w:type="dxa"/>
            <w:vMerge w:val="continue"/>
            <w:vAlign w:val="center"/>
          </w:tcPr>
          <w:p>
            <w:pPr>
              <w:jc w:val="center"/>
              <w:rPr>
                <w:color w:val="auto"/>
                <w:sz w:val="24"/>
                <w:highlight w:val="none"/>
              </w:rPr>
            </w:pPr>
          </w:p>
        </w:tc>
        <w:tc>
          <w:tcPr>
            <w:tcW w:w="2445" w:type="dxa"/>
            <w:gridSpan w:val="2"/>
            <w:tcBorders>
              <w:top w:val="single" w:color="auto" w:sz="4" w:space="0"/>
              <w:bottom w:val="single" w:color="auto" w:sz="4" w:space="0"/>
            </w:tcBorders>
            <w:vAlign w:val="center"/>
          </w:tcPr>
          <w:p>
            <w:pPr>
              <w:jc w:val="center"/>
              <w:rPr>
                <w:rFonts w:hAnsi="宋体"/>
                <w:color w:val="auto"/>
                <w:sz w:val="24"/>
                <w:highlight w:val="none"/>
              </w:rPr>
            </w:pPr>
            <w:r>
              <w:rPr>
                <w:rFonts w:hint="eastAsia"/>
                <w:color w:val="auto"/>
                <w:sz w:val="24"/>
                <w:highlight w:val="none"/>
              </w:rPr>
              <w:t>废UV灯管</w:t>
            </w:r>
          </w:p>
        </w:tc>
        <w:tc>
          <w:tcPr>
            <w:tcW w:w="2580" w:type="dxa"/>
            <w:gridSpan w:val="2"/>
            <w:tcBorders>
              <w:top w:val="single" w:color="auto" w:sz="4" w:space="0"/>
              <w:bottom w:val="single" w:color="auto" w:sz="4" w:space="0"/>
            </w:tcBorders>
            <w:vAlign w:val="center"/>
          </w:tcPr>
          <w:p>
            <w:pPr>
              <w:topLinePunct/>
              <w:adjustRightInd w:val="0"/>
              <w:snapToGrid w:val="0"/>
              <w:jc w:val="center"/>
              <w:rPr>
                <w:rFonts w:hAnsi="宋体"/>
                <w:color w:val="auto"/>
                <w:sz w:val="24"/>
                <w:highlight w:val="none"/>
              </w:rPr>
            </w:pPr>
            <w:r>
              <w:rPr>
                <w:rFonts w:hint="eastAsia"/>
                <w:color w:val="auto"/>
                <w:kern w:val="0"/>
                <w:sz w:val="24"/>
                <w:highlight w:val="none"/>
                <w:lang w:eastAsia="zh-CN"/>
              </w:rPr>
              <w:t>22根</w:t>
            </w:r>
            <w:r>
              <w:rPr>
                <w:color w:val="auto"/>
                <w:kern w:val="0"/>
                <w:sz w:val="24"/>
                <w:highlight w:val="none"/>
              </w:rPr>
              <w:t>/</w:t>
            </w:r>
            <w:r>
              <w:rPr>
                <w:rFonts w:hint="eastAsia"/>
                <w:color w:val="auto"/>
                <w:kern w:val="0"/>
                <w:sz w:val="24"/>
                <w:highlight w:val="none"/>
              </w:rPr>
              <w:t>a</w:t>
            </w:r>
          </w:p>
        </w:tc>
        <w:tc>
          <w:tcPr>
            <w:tcW w:w="2515" w:type="dxa"/>
            <w:gridSpan w:val="2"/>
            <w:vMerge w:val="continue"/>
            <w:tcBorders>
              <w:bottom w:val="single" w:color="auto" w:sz="4" w:space="0"/>
            </w:tcBorders>
            <w:vAlign w:val="center"/>
          </w:tcPr>
          <w:p>
            <w:pPr>
              <w:jc w:val="center"/>
              <w:rPr>
                <w:rFonts w:hAnsi="宋体"/>
                <w:color w:val="auto"/>
                <w:sz w:val="24"/>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138" w:hRule="atLeast"/>
        </w:trPr>
        <w:tc>
          <w:tcPr>
            <w:tcW w:w="755" w:type="dxa"/>
            <w:vMerge w:val="continue"/>
            <w:vAlign w:val="center"/>
          </w:tcPr>
          <w:p>
            <w:pPr>
              <w:jc w:val="center"/>
              <w:rPr>
                <w:color w:val="auto"/>
                <w:sz w:val="24"/>
                <w:highlight w:val="none"/>
              </w:rPr>
            </w:pPr>
          </w:p>
        </w:tc>
        <w:tc>
          <w:tcPr>
            <w:tcW w:w="1351" w:type="dxa"/>
            <w:vMerge w:val="continue"/>
            <w:vAlign w:val="center"/>
          </w:tcPr>
          <w:p>
            <w:pPr>
              <w:jc w:val="center"/>
              <w:rPr>
                <w:color w:val="auto"/>
                <w:sz w:val="24"/>
                <w:highlight w:val="none"/>
              </w:rPr>
            </w:pPr>
          </w:p>
        </w:tc>
        <w:tc>
          <w:tcPr>
            <w:tcW w:w="2445" w:type="dxa"/>
            <w:gridSpan w:val="2"/>
            <w:tcBorders>
              <w:top w:val="single" w:color="auto" w:sz="4" w:space="0"/>
              <w:bottom w:val="single" w:color="auto" w:sz="4" w:space="0"/>
            </w:tcBorders>
            <w:vAlign w:val="center"/>
          </w:tcPr>
          <w:p>
            <w:pPr>
              <w:jc w:val="center"/>
              <w:rPr>
                <w:rFonts w:hAnsi="宋体"/>
                <w:color w:val="auto"/>
                <w:sz w:val="24"/>
                <w:highlight w:val="none"/>
              </w:rPr>
            </w:pPr>
            <w:r>
              <w:rPr>
                <w:rFonts w:hint="eastAsia"/>
                <w:color w:val="auto"/>
                <w:sz w:val="24"/>
                <w:highlight w:val="none"/>
              </w:rPr>
              <w:t>废活性炭</w:t>
            </w:r>
          </w:p>
        </w:tc>
        <w:tc>
          <w:tcPr>
            <w:tcW w:w="2580" w:type="dxa"/>
            <w:gridSpan w:val="2"/>
            <w:tcBorders>
              <w:top w:val="single" w:color="auto" w:sz="4" w:space="0"/>
              <w:bottom w:val="single" w:color="auto" w:sz="4" w:space="0"/>
            </w:tcBorders>
            <w:vAlign w:val="center"/>
          </w:tcPr>
          <w:p>
            <w:pPr>
              <w:topLinePunct/>
              <w:adjustRightInd w:val="0"/>
              <w:snapToGrid w:val="0"/>
              <w:jc w:val="center"/>
              <w:rPr>
                <w:rFonts w:hint="eastAsia" w:hAnsi="宋体" w:eastAsia="宋体"/>
                <w:color w:val="auto"/>
                <w:sz w:val="24"/>
                <w:highlight w:val="none"/>
                <w:lang w:eastAsia="zh-CN"/>
              </w:rPr>
            </w:pPr>
            <w:r>
              <w:rPr>
                <w:rFonts w:hint="eastAsia"/>
                <w:color w:val="auto"/>
                <w:kern w:val="0"/>
                <w:sz w:val="24"/>
                <w:highlight w:val="none"/>
                <w:lang w:eastAsia="zh-CN"/>
              </w:rPr>
              <w:t>2.125t/a</w:t>
            </w:r>
          </w:p>
        </w:tc>
        <w:tc>
          <w:tcPr>
            <w:tcW w:w="2515" w:type="dxa"/>
            <w:gridSpan w:val="2"/>
            <w:vMerge w:val="continue"/>
            <w:tcBorders>
              <w:bottom w:val="single" w:color="auto" w:sz="4" w:space="0"/>
            </w:tcBorders>
            <w:vAlign w:val="center"/>
          </w:tcPr>
          <w:p>
            <w:pPr>
              <w:jc w:val="center"/>
              <w:rPr>
                <w:rFonts w:hAnsi="宋体"/>
                <w:color w:val="auto"/>
                <w:sz w:val="24"/>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02" w:hRule="atLeast"/>
        </w:trPr>
        <w:tc>
          <w:tcPr>
            <w:tcW w:w="755" w:type="dxa"/>
            <w:vAlign w:val="center"/>
          </w:tcPr>
          <w:p>
            <w:pPr>
              <w:spacing w:line="240" w:lineRule="auto"/>
              <w:jc w:val="center"/>
              <w:rPr>
                <w:color w:val="auto"/>
                <w:sz w:val="24"/>
                <w:highlight w:val="none"/>
              </w:rPr>
            </w:pPr>
            <w:r>
              <w:rPr>
                <w:color w:val="auto"/>
                <w:sz w:val="24"/>
                <w:highlight w:val="none"/>
              </w:rPr>
              <w:t>噪</w:t>
            </w:r>
          </w:p>
          <w:p>
            <w:pPr>
              <w:spacing w:line="240" w:lineRule="auto"/>
              <w:jc w:val="center"/>
              <w:rPr>
                <w:color w:val="auto"/>
                <w:sz w:val="24"/>
                <w:highlight w:val="none"/>
              </w:rPr>
            </w:pPr>
            <w:r>
              <w:rPr>
                <w:color w:val="auto"/>
                <w:sz w:val="24"/>
                <w:highlight w:val="none"/>
              </w:rPr>
              <w:t>声</w:t>
            </w:r>
          </w:p>
        </w:tc>
        <w:tc>
          <w:tcPr>
            <w:tcW w:w="8891" w:type="dxa"/>
            <w:gridSpan w:val="7"/>
            <w:tcBorders>
              <w:top w:val="single" w:color="auto" w:sz="4" w:space="0"/>
            </w:tcBorders>
            <w:vAlign w:val="center"/>
          </w:tcPr>
          <w:p>
            <w:pPr>
              <w:spacing w:line="240" w:lineRule="auto"/>
              <w:jc w:val="left"/>
              <w:rPr>
                <w:color w:val="auto"/>
                <w:sz w:val="24"/>
                <w:highlight w:val="none"/>
              </w:rPr>
            </w:pPr>
            <w:r>
              <w:rPr>
                <w:rFonts w:hint="eastAsia"/>
                <w:color w:val="auto"/>
                <w:sz w:val="24"/>
                <w:highlight w:val="none"/>
              </w:rPr>
              <w:t>本项目的噪声主要来自生产设备运行时产生的噪声，噪声值约为70～90dB(A)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trPr>
        <w:tc>
          <w:tcPr>
            <w:tcW w:w="755" w:type="dxa"/>
            <w:vAlign w:val="center"/>
          </w:tcPr>
          <w:p>
            <w:pPr>
              <w:spacing w:line="360" w:lineRule="auto"/>
              <w:jc w:val="center"/>
              <w:rPr>
                <w:color w:val="auto"/>
                <w:sz w:val="24"/>
                <w:highlight w:val="none"/>
              </w:rPr>
            </w:pPr>
            <w:r>
              <w:rPr>
                <w:color w:val="auto"/>
                <w:sz w:val="24"/>
                <w:highlight w:val="none"/>
              </w:rPr>
              <w:t>其他</w:t>
            </w:r>
          </w:p>
        </w:tc>
        <w:tc>
          <w:tcPr>
            <w:tcW w:w="8891" w:type="dxa"/>
            <w:gridSpan w:val="7"/>
            <w:vAlign w:val="center"/>
          </w:tcPr>
          <w:p>
            <w:pPr>
              <w:pStyle w:val="56"/>
              <w:autoSpaceDE/>
              <w:autoSpaceDN/>
              <w:adjustRightInd/>
              <w:spacing w:line="360" w:lineRule="auto"/>
              <w:textAlignment w:val="auto"/>
              <w:rPr>
                <w:rFonts w:ascii="Times New Roman" w:hAnsi="Times New Roman"/>
                <w:color w:val="auto"/>
                <w:kern w:val="2"/>
                <w:szCs w:val="24"/>
                <w:highlight w:val="none"/>
              </w:rPr>
            </w:pPr>
            <w:r>
              <w:rPr>
                <w:rFonts w:hint="eastAsia" w:ascii="Times New Roman" w:hAnsi="Times New Roman"/>
                <w:color w:val="auto"/>
                <w:kern w:val="2"/>
                <w:szCs w:val="24"/>
                <w:highlight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9646" w:type="dxa"/>
            <w:gridSpan w:val="8"/>
          </w:tcPr>
          <w:p>
            <w:pPr>
              <w:spacing w:line="360" w:lineRule="auto"/>
              <w:rPr>
                <w:bCs/>
                <w:color w:val="auto"/>
                <w:sz w:val="24"/>
                <w:highlight w:val="none"/>
              </w:rPr>
            </w:pPr>
            <w:r>
              <w:rPr>
                <w:bCs/>
                <w:color w:val="auto"/>
                <w:sz w:val="24"/>
                <w:highlight w:val="none"/>
              </w:rPr>
              <w:t>主要生态影响(不够时可附另页):</w:t>
            </w:r>
          </w:p>
          <w:p>
            <w:pPr>
              <w:spacing w:line="360" w:lineRule="auto"/>
              <w:ind w:firstLine="480" w:firstLineChars="200"/>
              <w:rPr>
                <w:color w:val="auto"/>
                <w:sz w:val="24"/>
                <w:highlight w:val="none"/>
              </w:rPr>
            </w:pPr>
            <w:r>
              <w:rPr>
                <w:color w:val="auto"/>
                <w:sz w:val="24"/>
                <w:highlight w:val="none"/>
              </w:rPr>
              <w:t>项目所在厂房</w:t>
            </w:r>
            <w:r>
              <w:rPr>
                <w:rFonts w:hint="eastAsia"/>
                <w:color w:val="auto"/>
                <w:sz w:val="24"/>
                <w:highlight w:val="none"/>
              </w:rPr>
              <w:t>已建成</w:t>
            </w:r>
            <w:r>
              <w:rPr>
                <w:color w:val="auto"/>
                <w:sz w:val="24"/>
                <w:highlight w:val="none"/>
              </w:rPr>
              <w:t>，本次环境评价不涉及建设期间环境影响评价。在项目正常运营期间，基本上不会对土壤、植被等周边的生态环境造成严重的污染和影响。</w:t>
            </w:r>
          </w:p>
        </w:tc>
      </w:tr>
    </w:tbl>
    <w:p>
      <w:pPr>
        <w:spacing w:line="300" w:lineRule="auto"/>
        <w:rPr>
          <w:color w:val="auto"/>
          <w:sz w:val="28"/>
          <w:highlight w:val="none"/>
        </w:rPr>
        <w:sectPr>
          <w:footerReference r:id="rId14" w:type="default"/>
          <w:pgSz w:w="11907" w:h="16840"/>
          <w:pgMar w:top="1531" w:right="1134" w:bottom="1134" w:left="1418" w:header="0" w:footer="898" w:gutter="0"/>
          <w:cols w:space="720" w:num="1"/>
          <w:docGrid w:linePitch="326" w:charSpace="-4916"/>
        </w:sectPr>
      </w:pPr>
    </w:p>
    <w:p>
      <w:pPr>
        <w:pStyle w:val="38"/>
        <w:jc w:val="left"/>
        <w:rPr>
          <w:rFonts w:ascii="Times New Roman" w:hAnsi="Times New Roman"/>
          <w:color w:val="auto"/>
          <w:highlight w:val="none"/>
        </w:rPr>
      </w:pPr>
      <w:r>
        <w:rPr>
          <w:rFonts w:hint="eastAsia" w:ascii="Times New Roman" w:hAnsi="Times New Roman"/>
          <w:color w:val="auto"/>
          <w:highlight w:val="none"/>
        </w:rPr>
        <w:t>环境影响分析</w:t>
      </w:r>
    </w:p>
    <w:tbl>
      <w:tblPr>
        <w:tblStyle w:val="40"/>
        <w:tblW w:w="94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9496" w:type="dxa"/>
          </w:tcPr>
          <w:p>
            <w:pPr>
              <w:spacing w:line="360" w:lineRule="auto"/>
              <w:rPr>
                <w:b/>
                <w:color w:val="auto"/>
                <w:highlight w:val="none"/>
              </w:rPr>
            </w:pPr>
            <w:r>
              <w:rPr>
                <w:rFonts w:hint="eastAsia"/>
                <w:b/>
                <w:bCs/>
                <w:color w:val="auto"/>
                <w:sz w:val="24"/>
                <w:highlight w:val="none"/>
              </w:rPr>
              <w:t>施工期环境影响简要分析：</w:t>
            </w:r>
          </w:p>
          <w:p>
            <w:pPr>
              <w:spacing w:line="360" w:lineRule="auto"/>
              <w:ind w:right="120" w:firstLine="488"/>
              <w:rPr>
                <w:color w:val="auto"/>
                <w:highlight w:val="none"/>
              </w:rPr>
            </w:pPr>
            <w:r>
              <w:rPr>
                <w:color w:val="auto"/>
                <w:sz w:val="24"/>
                <w:highlight w:val="none"/>
              </w:rPr>
              <w:t>项目厂房</w:t>
            </w:r>
            <w:r>
              <w:rPr>
                <w:rFonts w:hint="eastAsia"/>
                <w:color w:val="auto"/>
                <w:sz w:val="24"/>
                <w:highlight w:val="none"/>
              </w:rPr>
              <w:t>已建成</w:t>
            </w:r>
            <w:r>
              <w:rPr>
                <w:color w:val="auto"/>
                <w:sz w:val="24"/>
                <w:highlight w:val="none"/>
              </w:rPr>
              <w:t>，故不存在施工期的环境影响问题。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96" w:type="dxa"/>
          </w:tcPr>
          <w:p>
            <w:pPr>
              <w:spacing w:line="360" w:lineRule="auto"/>
              <w:rPr>
                <w:b/>
                <w:bCs/>
                <w:color w:val="auto"/>
                <w:sz w:val="28"/>
                <w:szCs w:val="28"/>
                <w:highlight w:val="none"/>
              </w:rPr>
            </w:pPr>
            <w:r>
              <w:rPr>
                <w:color w:val="auto"/>
                <w:highlight w:val="none"/>
              </w:rPr>
              <w:br w:type="page"/>
            </w:r>
            <w:r>
              <w:rPr>
                <w:color w:val="auto"/>
                <w:highlight w:val="none"/>
              </w:rPr>
              <w:br w:type="page"/>
            </w:r>
            <w:r>
              <w:rPr>
                <w:color w:val="auto"/>
                <w:highlight w:val="none"/>
              </w:rPr>
              <w:br w:type="page"/>
            </w:r>
            <w:r>
              <w:rPr>
                <w:rFonts w:hint="eastAsia"/>
                <w:b/>
                <w:bCs/>
                <w:color w:val="auto"/>
                <w:sz w:val="24"/>
                <w:highlight w:val="none"/>
              </w:rPr>
              <w:t>营运期的环境影响分析：</w:t>
            </w:r>
          </w:p>
          <w:p>
            <w:pPr>
              <w:pStyle w:val="29"/>
              <w:spacing w:line="360" w:lineRule="auto"/>
              <w:ind w:firstLine="501" w:firstLineChars="208"/>
              <w:rPr>
                <w:b/>
                <w:color w:val="auto"/>
                <w:highlight w:val="none"/>
              </w:rPr>
            </w:pPr>
            <w:bookmarkStart w:id="18" w:name="_Toc343665622"/>
            <w:bookmarkStart w:id="19" w:name="_Toc343664438"/>
            <w:bookmarkStart w:id="20" w:name="_Toc319526752"/>
            <w:r>
              <w:rPr>
                <w:rFonts w:hint="eastAsia"/>
                <w:b/>
                <w:color w:val="auto"/>
                <w:kern w:val="2"/>
                <w:highlight w:val="none"/>
              </w:rPr>
              <w:t>一、环境空气影响分析</w:t>
            </w:r>
            <w:bookmarkEnd w:id="18"/>
            <w:bookmarkEnd w:id="19"/>
            <w:bookmarkEnd w:id="20"/>
          </w:p>
          <w:p>
            <w:pPr>
              <w:spacing w:line="360" w:lineRule="auto"/>
              <w:ind w:firstLine="482" w:firstLineChars="200"/>
              <w:rPr>
                <w:rFonts w:hint="eastAsia" w:hAnsi="宋体"/>
                <w:color w:val="auto"/>
                <w:sz w:val="24"/>
                <w:highlight w:val="none"/>
                <w:lang w:eastAsia="zh-CN"/>
              </w:rPr>
            </w:pPr>
            <w:bookmarkStart w:id="21" w:name="_Toc477702084"/>
            <w:r>
              <w:rPr>
                <w:rFonts w:hint="eastAsia"/>
                <w:b/>
                <w:color w:val="auto"/>
                <w:sz w:val="24"/>
                <w:szCs w:val="23"/>
                <w:highlight w:val="none"/>
              </w:rPr>
              <w:t>注塑工序：</w:t>
            </w:r>
            <w:r>
              <w:rPr>
                <w:rFonts w:hint="eastAsia"/>
                <w:color w:val="auto"/>
                <w:sz w:val="24"/>
                <w:highlight w:val="none"/>
              </w:rPr>
              <w:t>项目注塑工序</w:t>
            </w:r>
            <w:r>
              <w:rPr>
                <w:rFonts w:hAnsi="宋体"/>
                <w:color w:val="auto"/>
                <w:sz w:val="24"/>
                <w:highlight w:val="none"/>
              </w:rPr>
              <w:t>对</w:t>
            </w:r>
            <w:r>
              <w:rPr>
                <w:rFonts w:hint="eastAsia"/>
                <w:color w:val="auto"/>
                <w:sz w:val="24"/>
                <w:highlight w:val="none"/>
              </w:rPr>
              <w:t>塑胶粒进行</w:t>
            </w:r>
            <w:r>
              <w:rPr>
                <w:rFonts w:hAnsi="宋体"/>
                <w:color w:val="auto"/>
                <w:sz w:val="24"/>
                <w:highlight w:val="none"/>
              </w:rPr>
              <w:t>加热</w:t>
            </w:r>
            <w:r>
              <w:rPr>
                <w:rFonts w:hint="eastAsia" w:hAnsi="宋体"/>
                <w:color w:val="auto"/>
                <w:sz w:val="24"/>
                <w:highlight w:val="none"/>
              </w:rPr>
              <w:t>融化过程</w:t>
            </w:r>
            <w:r>
              <w:rPr>
                <w:rFonts w:hAnsi="宋体"/>
                <w:color w:val="auto"/>
                <w:sz w:val="24"/>
                <w:highlight w:val="none"/>
              </w:rPr>
              <w:t>会产生少量</w:t>
            </w:r>
            <w:r>
              <w:rPr>
                <w:rFonts w:hint="eastAsia" w:hAnsi="宋体"/>
                <w:color w:val="auto"/>
                <w:sz w:val="24"/>
                <w:highlight w:val="none"/>
                <w:lang w:eastAsia="zh-CN"/>
              </w:rPr>
              <w:t>臭气和</w:t>
            </w:r>
            <w:r>
              <w:rPr>
                <w:rFonts w:hint="eastAsia" w:hAnsi="宋体"/>
                <w:color w:val="auto"/>
                <w:sz w:val="24"/>
                <w:highlight w:val="none"/>
              </w:rPr>
              <w:t>有机废气</w:t>
            </w:r>
            <w:r>
              <w:rPr>
                <w:rFonts w:hint="eastAsia" w:hAnsi="宋体"/>
                <w:color w:val="auto"/>
                <w:sz w:val="24"/>
                <w:highlight w:val="none"/>
                <w:lang w:eastAsia="zh-CN"/>
              </w:rPr>
              <w:t>。</w:t>
            </w:r>
          </w:p>
          <w:p>
            <w:pPr>
              <w:spacing w:line="360" w:lineRule="auto"/>
              <w:ind w:firstLine="480" w:firstLineChars="200"/>
              <w:rPr>
                <w:rFonts w:hint="eastAsia" w:hAnsi="宋体"/>
                <w:color w:val="auto"/>
                <w:sz w:val="24"/>
                <w:highlight w:val="none"/>
                <w:lang w:val="en-US" w:eastAsia="zh-CN"/>
              </w:rPr>
            </w:pPr>
            <w:r>
              <w:rPr>
                <w:rFonts w:hint="eastAsia" w:hAnsi="宋体"/>
                <w:color w:val="auto"/>
                <w:sz w:val="24"/>
                <w:highlight w:val="none"/>
                <w:lang w:eastAsia="zh-CN"/>
              </w:rPr>
              <w:t>根据工程分析，</w:t>
            </w:r>
            <w:r>
              <w:rPr>
                <w:rFonts w:hint="eastAsia" w:hAnsi="宋体"/>
                <w:color w:val="auto"/>
                <w:sz w:val="24"/>
                <w:highlight w:val="none"/>
              </w:rPr>
              <w:t>臭气浓度较低，</w:t>
            </w:r>
            <w:r>
              <w:rPr>
                <w:rFonts w:hint="eastAsia" w:hAnsi="宋体"/>
                <w:color w:val="auto"/>
                <w:sz w:val="24"/>
                <w:highlight w:val="none"/>
                <w:lang w:val="en-US" w:eastAsia="zh-CN"/>
              </w:rPr>
              <w:t>无组织排放满足《</w:t>
            </w:r>
            <w:r>
              <w:rPr>
                <w:rFonts w:hint="eastAsia" w:hAnsi="宋体"/>
                <w:color w:val="auto"/>
                <w:sz w:val="24"/>
                <w:highlight w:val="none"/>
              </w:rPr>
              <w:t>恶臭污染物排放标准</w:t>
            </w:r>
            <w:r>
              <w:rPr>
                <w:rFonts w:hint="eastAsia" w:hAnsi="宋体"/>
                <w:color w:val="auto"/>
                <w:sz w:val="24"/>
                <w:highlight w:val="none"/>
                <w:lang w:val="en-US" w:eastAsia="zh-CN"/>
              </w:rPr>
              <w:t>》（GB 14554—93）表1恶臭污染物厂界标准值二级新扩改建臭气浓度：≤20（无纲量）要求。</w:t>
            </w:r>
          </w:p>
          <w:p>
            <w:pPr>
              <w:spacing w:line="360" w:lineRule="auto"/>
              <w:ind w:firstLine="480" w:firstLineChars="200"/>
              <w:rPr>
                <w:rFonts w:hint="default" w:ascii="Times New Roman" w:hAnsi="Times New Roman" w:cs="Times New Roman"/>
                <w:color w:val="auto"/>
                <w:sz w:val="24"/>
                <w:highlight w:val="none"/>
                <w:u w:val="none"/>
                <w:lang w:val="en-US" w:eastAsia="zh-CN"/>
              </w:rPr>
            </w:pPr>
            <w:r>
              <w:rPr>
                <w:rFonts w:hint="eastAsia" w:hAnsi="宋体"/>
                <w:color w:val="auto"/>
                <w:sz w:val="24"/>
                <w:highlight w:val="none"/>
                <w:lang w:eastAsia="zh-CN"/>
              </w:rPr>
              <w:t>有机废气</w:t>
            </w:r>
            <w:r>
              <w:rPr>
                <w:rFonts w:hint="eastAsia" w:hAnsi="宋体"/>
                <w:color w:val="auto"/>
                <w:sz w:val="24"/>
                <w:highlight w:val="none"/>
              </w:rPr>
              <w:t>主要成分为</w:t>
            </w:r>
            <w:r>
              <w:rPr>
                <w:rFonts w:hint="default" w:ascii="Times New Roman" w:hAnsi="Times New Roman" w:cs="Times New Roman"/>
                <w:color w:val="auto"/>
                <w:sz w:val="24"/>
                <w:highlight w:val="none"/>
              </w:rPr>
              <w:t>非甲烷总烃</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u w:val="none"/>
                <w:lang w:val="en-US" w:eastAsia="zh-CN"/>
              </w:rPr>
              <w:t>苯乙烯、丙烯腈、1,3-丁二烯、甲苯、乙苯</w:t>
            </w:r>
            <w:r>
              <w:rPr>
                <w:rFonts w:hint="eastAsia" w:hAnsi="宋体"/>
                <w:color w:val="auto"/>
                <w:sz w:val="24"/>
                <w:highlight w:val="none"/>
              </w:rPr>
              <w:t>。</w:t>
            </w:r>
            <w:r>
              <w:rPr>
                <w:rFonts w:hint="default" w:ascii="Times New Roman" w:hAnsi="Times New Roman" w:cs="Times New Roman"/>
                <w:color w:val="auto"/>
                <w:sz w:val="24"/>
                <w:highlight w:val="none"/>
                <w:u w:val="none"/>
                <w:lang w:val="en-US" w:eastAsia="zh-CN"/>
              </w:rPr>
              <w:t>苯乙烯、丙烯腈、1,3-丁二烯、甲苯、乙苯等特征污染物整体产生量极少，</w:t>
            </w:r>
            <w:r>
              <w:rPr>
                <w:rFonts w:hint="eastAsia" w:cs="Times New Roman"/>
                <w:color w:val="auto"/>
                <w:sz w:val="24"/>
                <w:highlight w:val="none"/>
                <w:u w:val="none"/>
                <w:lang w:val="en-US" w:eastAsia="zh-CN"/>
              </w:rPr>
              <w:t>无组织排放可达到《合成树脂工业污染物排放标准》(GB 31572-2015)表9企业边界大气污染物浓度限值要求，</w:t>
            </w:r>
            <w:r>
              <w:rPr>
                <w:rFonts w:hint="default" w:ascii="Times New Roman" w:hAnsi="Times New Roman" w:cs="Times New Roman"/>
                <w:color w:val="auto"/>
                <w:sz w:val="24"/>
                <w:highlight w:val="none"/>
                <w:u w:val="none"/>
                <w:lang w:val="en-US" w:eastAsia="zh-CN"/>
              </w:rPr>
              <w:t>仅做定性分析。</w:t>
            </w:r>
          </w:p>
          <w:p>
            <w:pPr>
              <w:spacing w:line="360" w:lineRule="auto"/>
              <w:ind w:firstLine="480" w:firstLineChars="200"/>
              <w:rPr>
                <w:rFonts w:hint="eastAsia"/>
                <w:color w:val="auto"/>
                <w:sz w:val="24"/>
                <w:highlight w:val="none"/>
              </w:rPr>
            </w:pPr>
            <w:r>
              <w:rPr>
                <w:color w:val="auto"/>
                <w:sz w:val="24"/>
                <w:highlight w:val="none"/>
              </w:rPr>
              <w:t>非甲烷总烃</w:t>
            </w:r>
            <w:r>
              <w:rPr>
                <w:rFonts w:hint="eastAsia"/>
                <w:color w:val="auto"/>
                <w:sz w:val="24"/>
                <w:highlight w:val="none"/>
              </w:rPr>
              <w:t>有组织</w:t>
            </w:r>
            <w:r>
              <w:rPr>
                <w:color w:val="auto"/>
                <w:sz w:val="24"/>
                <w:highlight w:val="none"/>
              </w:rPr>
              <w:t>排放浓度</w:t>
            </w:r>
            <w:r>
              <w:rPr>
                <w:rFonts w:hint="eastAsia"/>
                <w:color w:val="auto"/>
                <w:sz w:val="24"/>
                <w:highlight w:val="none"/>
                <w:lang w:eastAsia="zh-CN"/>
              </w:rPr>
              <w:t>为</w:t>
            </w:r>
            <w:r>
              <w:rPr>
                <w:rFonts w:hint="eastAsia"/>
                <w:color w:val="auto"/>
                <w:sz w:val="24"/>
                <w:highlight w:val="none"/>
                <w:lang w:val="en-US" w:eastAsia="zh-CN"/>
              </w:rPr>
              <w:t>8.33</w:t>
            </w:r>
            <w:r>
              <w:rPr>
                <w:b w:val="0"/>
                <w:bCs/>
                <w:color w:val="auto"/>
                <w:sz w:val="24"/>
                <w:szCs w:val="24"/>
                <w:highlight w:val="none"/>
              </w:rPr>
              <w:t>mg/m³</w:t>
            </w:r>
            <w:r>
              <w:rPr>
                <w:rFonts w:hint="eastAsia"/>
                <w:color w:val="auto"/>
                <w:sz w:val="24"/>
                <w:highlight w:val="none"/>
              </w:rPr>
              <w:t>，</w:t>
            </w:r>
            <w:r>
              <w:rPr>
                <w:color w:val="auto"/>
                <w:sz w:val="24"/>
                <w:highlight w:val="none"/>
              </w:rPr>
              <w:t>排放速率</w:t>
            </w:r>
            <w:r>
              <w:rPr>
                <w:rFonts w:hint="eastAsia"/>
                <w:color w:val="auto"/>
                <w:sz w:val="24"/>
                <w:highlight w:val="none"/>
                <w:lang w:eastAsia="zh-CN"/>
              </w:rPr>
              <w:t>为</w:t>
            </w:r>
            <w:r>
              <w:rPr>
                <w:rFonts w:hint="eastAsia"/>
                <w:color w:val="auto"/>
                <w:sz w:val="24"/>
                <w:highlight w:val="none"/>
                <w:lang w:val="en-US" w:eastAsia="zh-CN"/>
              </w:rPr>
              <w:t>0.069kg/h，排放量为0.166t/a；无组织</w:t>
            </w:r>
            <w:r>
              <w:rPr>
                <w:color w:val="auto"/>
                <w:sz w:val="24"/>
                <w:highlight w:val="none"/>
              </w:rPr>
              <w:t>排放速率</w:t>
            </w:r>
            <w:r>
              <w:rPr>
                <w:rFonts w:hint="eastAsia"/>
                <w:color w:val="auto"/>
                <w:sz w:val="24"/>
                <w:highlight w:val="none"/>
                <w:lang w:eastAsia="zh-CN"/>
              </w:rPr>
              <w:t>为</w:t>
            </w:r>
            <w:r>
              <w:rPr>
                <w:rFonts w:hint="eastAsia"/>
                <w:color w:val="auto"/>
                <w:sz w:val="24"/>
                <w:highlight w:val="none"/>
                <w:lang w:val="en-US" w:eastAsia="zh-CN"/>
              </w:rPr>
              <w:t>0.045kg/h，排放量为0.108t/a，</w:t>
            </w:r>
            <w:r>
              <w:rPr>
                <w:rFonts w:hint="eastAsia" w:hAnsi="宋体"/>
                <w:color w:val="auto"/>
                <w:sz w:val="24"/>
                <w:highlight w:val="none"/>
                <w:lang w:val="en-US" w:eastAsia="zh-CN"/>
              </w:rPr>
              <w:t>边界非甲烷总烃平均浓度为1.414mg/m</w:t>
            </w:r>
            <w:r>
              <w:rPr>
                <w:rFonts w:hint="eastAsia" w:hAnsi="宋体"/>
                <w:color w:val="auto"/>
                <w:sz w:val="24"/>
                <w:highlight w:val="none"/>
                <w:vertAlign w:val="superscript"/>
                <w:lang w:val="en-US" w:eastAsia="zh-CN"/>
              </w:rPr>
              <w:t>3</w:t>
            </w:r>
            <w:r>
              <w:rPr>
                <w:rFonts w:hint="eastAsia" w:hAnsi="宋体"/>
                <w:color w:val="auto"/>
                <w:sz w:val="24"/>
                <w:highlight w:val="none"/>
                <w:lang w:val="en-US" w:eastAsia="zh-CN"/>
              </w:rPr>
              <w:t>，</w:t>
            </w:r>
            <w:r>
              <w:rPr>
                <w:rFonts w:hint="eastAsia"/>
                <w:color w:val="auto"/>
                <w:kern w:val="0"/>
                <w:sz w:val="24"/>
                <w:highlight w:val="none"/>
                <w:lang w:eastAsia="zh-CN"/>
              </w:rPr>
              <w:t>可以达到</w:t>
            </w:r>
            <w:r>
              <w:rPr>
                <w:rFonts w:hint="eastAsia" w:ascii="Times New Roman" w:hAnsi="Times New Roman" w:cs="Times New Roman"/>
                <w:color w:val="auto"/>
                <w:sz w:val="24"/>
                <w:highlight w:val="none"/>
                <w:u w:val="none"/>
                <w:lang w:val="en-US" w:eastAsia="zh-CN"/>
              </w:rPr>
              <w:t>《合成树脂工业污染物排放标准》(GB 31572-2015)表4规定的大气污染物排放标准限值和表9企业边界大气污染物浓度限值要求，</w:t>
            </w:r>
            <w:r>
              <w:rPr>
                <w:rFonts w:hint="eastAsia"/>
                <w:color w:val="auto"/>
                <w:sz w:val="24"/>
                <w:highlight w:val="none"/>
              </w:rPr>
              <w:t>对周围环境影响较小。</w:t>
            </w:r>
          </w:p>
          <w:p>
            <w:pPr>
              <w:keepLines/>
              <w:spacing w:line="346" w:lineRule="auto"/>
              <w:ind w:firstLine="482" w:firstLineChars="200"/>
              <w:rPr>
                <w:color w:val="auto"/>
                <w:spacing w:val="-2"/>
                <w:sz w:val="24"/>
                <w:highlight w:val="none"/>
              </w:rPr>
            </w:pPr>
            <w:r>
              <w:rPr>
                <w:rFonts w:hint="eastAsia" w:hAnsi="宋体"/>
                <w:b/>
                <w:color w:val="auto"/>
                <w:sz w:val="24"/>
                <w:highlight w:val="none"/>
              </w:rPr>
              <w:t>破碎工序：</w:t>
            </w:r>
            <w:r>
              <w:rPr>
                <w:rFonts w:hint="eastAsia" w:ascii="宋体" w:hAnsi="宋体"/>
                <w:color w:val="auto"/>
                <w:sz w:val="24"/>
                <w:highlight w:val="none"/>
              </w:rPr>
              <w:t>根据工程分析，</w:t>
            </w:r>
            <w:r>
              <w:rPr>
                <w:rFonts w:hint="eastAsia"/>
                <w:color w:val="auto"/>
                <w:sz w:val="24"/>
                <w:highlight w:val="none"/>
              </w:rPr>
              <w:t>项目破碎工序粉尘的产生量约为</w:t>
            </w:r>
            <w:r>
              <w:rPr>
                <w:rFonts w:hint="eastAsia"/>
                <w:color w:val="auto"/>
                <w:sz w:val="24"/>
                <w:highlight w:val="none"/>
                <w:lang w:val="en-US" w:eastAsia="zh-CN"/>
              </w:rPr>
              <w:t>0.005</w:t>
            </w:r>
            <w:r>
              <w:rPr>
                <w:rFonts w:hint="eastAsia"/>
                <w:color w:val="auto"/>
                <w:sz w:val="24"/>
                <w:highlight w:val="none"/>
              </w:rPr>
              <w:t>t/a，产生速率为0.00</w:t>
            </w:r>
            <w:r>
              <w:rPr>
                <w:rFonts w:hint="eastAsia"/>
                <w:color w:val="auto"/>
                <w:sz w:val="24"/>
                <w:highlight w:val="none"/>
                <w:lang w:val="en-US" w:eastAsia="zh-CN"/>
              </w:rPr>
              <w:t>2</w:t>
            </w:r>
            <w:r>
              <w:rPr>
                <w:rFonts w:hint="eastAsia"/>
                <w:color w:val="auto"/>
                <w:sz w:val="24"/>
                <w:highlight w:val="none"/>
              </w:rPr>
              <w:t>kg/h。</w:t>
            </w:r>
            <w:r>
              <w:rPr>
                <w:rFonts w:hint="eastAsia"/>
                <w:color w:val="auto"/>
                <w:sz w:val="24"/>
                <w:highlight w:val="none"/>
                <w:shd w:val="clear" w:color="auto" w:fill="FFFFFF"/>
              </w:rPr>
              <w:t>粉尘以无组织形式排放，</w:t>
            </w:r>
            <w:r>
              <w:rPr>
                <w:rFonts w:hint="eastAsia" w:hAnsi="宋体"/>
                <w:color w:val="auto"/>
                <w:sz w:val="24"/>
                <w:highlight w:val="none"/>
                <w:lang w:eastAsia="zh-CN"/>
              </w:rPr>
              <w:t>根据</w:t>
            </w:r>
            <w:r>
              <w:rPr>
                <w:rFonts w:hint="eastAsia" w:hAnsi="宋体"/>
                <w:color w:val="auto"/>
                <w:sz w:val="24"/>
                <w:highlight w:val="none"/>
                <w:lang w:val="en-US" w:eastAsia="zh-CN"/>
              </w:rPr>
              <w:t>检测报告《（2019）环境监测110501号》，</w:t>
            </w:r>
            <w:r>
              <w:rPr>
                <w:rFonts w:hint="eastAsia"/>
                <w:color w:val="auto"/>
                <w:sz w:val="24"/>
                <w:highlight w:val="none"/>
                <w:lang w:eastAsia="zh-CN"/>
              </w:rPr>
              <w:t>边界颗粒物平均</w:t>
            </w:r>
            <w:r>
              <w:rPr>
                <w:rFonts w:hint="eastAsia"/>
                <w:color w:val="auto"/>
                <w:kern w:val="0"/>
                <w:sz w:val="24"/>
                <w:highlight w:val="none"/>
              </w:rPr>
              <w:t>浓度为</w:t>
            </w:r>
            <w:r>
              <w:rPr>
                <w:rFonts w:hint="eastAsia"/>
                <w:color w:val="auto"/>
                <w:kern w:val="0"/>
                <w:sz w:val="24"/>
                <w:highlight w:val="none"/>
                <w:lang w:val="en-US" w:eastAsia="zh-CN"/>
              </w:rPr>
              <w:t>0.41</w:t>
            </w:r>
            <w:r>
              <w:rPr>
                <w:color w:val="auto"/>
                <w:sz w:val="24"/>
                <w:highlight w:val="none"/>
              </w:rPr>
              <w:t>mg/m</w:t>
            </w:r>
            <w:r>
              <w:rPr>
                <w:color w:val="auto"/>
                <w:sz w:val="24"/>
                <w:highlight w:val="none"/>
                <w:vertAlign w:val="superscript"/>
              </w:rPr>
              <w:t>3</w:t>
            </w:r>
            <w:r>
              <w:rPr>
                <w:rFonts w:hint="eastAsia"/>
                <w:color w:val="auto"/>
                <w:kern w:val="0"/>
                <w:sz w:val="24"/>
                <w:highlight w:val="none"/>
              </w:rPr>
              <w:t>，未超过</w:t>
            </w:r>
            <w:r>
              <w:rPr>
                <w:color w:val="auto"/>
                <w:sz w:val="24"/>
                <w:highlight w:val="none"/>
              </w:rPr>
              <w:t>广东省地方标准《大气污染物排放限值》（DB44/ 27-2001）第二时段无组织排放监控浓度限值</w:t>
            </w:r>
            <w:r>
              <w:rPr>
                <w:rFonts w:hint="eastAsia"/>
                <w:color w:val="auto"/>
                <w:sz w:val="24"/>
                <w:highlight w:val="none"/>
              </w:rPr>
              <w:t>（1</w:t>
            </w:r>
            <w:r>
              <w:rPr>
                <w:color w:val="auto"/>
                <w:sz w:val="24"/>
                <w:highlight w:val="none"/>
              </w:rPr>
              <w:t>.0mg/m</w:t>
            </w:r>
            <w:r>
              <w:rPr>
                <w:color w:val="auto"/>
                <w:sz w:val="24"/>
                <w:highlight w:val="none"/>
                <w:vertAlign w:val="superscript"/>
              </w:rPr>
              <w:t>3</w:t>
            </w:r>
            <w:r>
              <w:rPr>
                <w:rFonts w:hint="eastAsia"/>
                <w:color w:val="auto"/>
                <w:sz w:val="24"/>
                <w:highlight w:val="none"/>
              </w:rPr>
              <w:t>），对周围环境影响较小。</w:t>
            </w:r>
            <w:r>
              <w:rPr>
                <w:color w:val="auto"/>
                <w:sz w:val="24"/>
                <w:highlight w:val="none"/>
              </w:rPr>
              <w:t>同时加强车间机械通风措施，使生产车间符合《工业企业设计卫生标准》（TJ36-79）（GBZ1-2010）要求，</w:t>
            </w:r>
            <w:r>
              <w:rPr>
                <w:color w:val="auto"/>
                <w:spacing w:val="-2"/>
                <w:sz w:val="24"/>
                <w:highlight w:val="none"/>
              </w:rPr>
              <w:t>另外，建设单位必须做好员工的防护措施（如配带口罩）</w:t>
            </w:r>
            <w:r>
              <w:rPr>
                <w:color w:val="auto"/>
                <w:sz w:val="24"/>
                <w:highlight w:val="none"/>
              </w:rPr>
              <w:t>，以确保员工身体健康不受到影响，</w:t>
            </w:r>
            <w:r>
              <w:rPr>
                <w:color w:val="auto"/>
                <w:kern w:val="0"/>
                <w:sz w:val="24"/>
                <w:highlight w:val="none"/>
              </w:rPr>
              <w:t>则不会对周围空气环境造成明显影响</w:t>
            </w:r>
            <w:r>
              <w:rPr>
                <w:color w:val="auto"/>
                <w:spacing w:val="-2"/>
                <w:sz w:val="24"/>
                <w:highlight w:val="none"/>
              </w:rPr>
              <w:t>。</w:t>
            </w:r>
          </w:p>
          <w:p>
            <w:pPr>
              <w:spacing w:line="360" w:lineRule="auto"/>
              <w:ind w:firstLine="482" w:firstLineChars="200"/>
              <w:jc w:val="left"/>
              <w:rPr>
                <w:b/>
                <w:bCs/>
                <w:color w:val="auto"/>
                <w:sz w:val="24"/>
                <w:highlight w:val="none"/>
              </w:rPr>
            </w:pPr>
            <w:r>
              <w:rPr>
                <w:b/>
                <w:bCs/>
                <w:color w:val="auto"/>
                <w:sz w:val="24"/>
                <w:highlight w:val="none"/>
              </w:rPr>
              <w:t>大气环境影响分析</w:t>
            </w:r>
          </w:p>
          <w:p>
            <w:pPr>
              <w:spacing w:line="360" w:lineRule="auto"/>
              <w:ind w:firstLine="480" w:firstLineChars="200"/>
              <w:rPr>
                <w:color w:val="auto"/>
                <w:sz w:val="24"/>
                <w:highlight w:val="none"/>
              </w:rPr>
            </w:pPr>
            <w:r>
              <w:rPr>
                <w:color w:val="auto"/>
                <w:sz w:val="24"/>
                <w:highlight w:val="none"/>
              </w:rPr>
              <w:t>本项目建成后大气污染物主要为</w:t>
            </w:r>
            <w:r>
              <w:rPr>
                <w:rFonts w:hint="eastAsia"/>
                <w:color w:val="auto"/>
                <w:sz w:val="24"/>
                <w:highlight w:val="none"/>
              </w:rPr>
              <w:t>注塑工序产生的非甲烷总烃和破碎工序产生的粉尘</w:t>
            </w:r>
            <w:r>
              <w:rPr>
                <w:color w:val="auto"/>
                <w:sz w:val="24"/>
                <w:highlight w:val="none"/>
              </w:rPr>
              <w:t>，根据</w:t>
            </w:r>
            <w:r>
              <w:rPr>
                <w:bCs/>
                <w:color w:val="auto"/>
                <w:sz w:val="24"/>
                <w:szCs w:val="22"/>
                <w:highlight w:val="none"/>
              </w:rPr>
              <w:t>《环境影响评价技术导则 大气环境》（HJ2.2-2018）</w:t>
            </w:r>
            <w:r>
              <w:rPr>
                <w:color w:val="auto"/>
                <w:sz w:val="24"/>
                <w:highlight w:val="none"/>
              </w:rPr>
              <w:t>，</w:t>
            </w:r>
            <w:r>
              <w:rPr>
                <w:rFonts w:hint="eastAsia"/>
                <w:color w:val="auto"/>
                <w:sz w:val="24"/>
                <w:highlight w:val="none"/>
              </w:rPr>
              <w:t>计算其</w:t>
            </w:r>
            <w:r>
              <w:rPr>
                <w:color w:val="auto"/>
                <w:sz w:val="24"/>
                <w:highlight w:val="none"/>
              </w:rPr>
              <w:t>最大地面浓度占标率 Pi（第 i个污染物）。Pi定义为：</w:t>
            </w:r>
          </w:p>
          <w:p>
            <w:pPr>
              <w:spacing w:line="360" w:lineRule="auto"/>
              <w:ind w:firstLine="480" w:firstLineChars="200"/>
              <w:jc w:val="center"/>
              <w:rPr>
                <w:bCs/>
                <w:color w:val="auto"/>
                <w:sz w:val="24"/>
                <w:highlight w:val="none"/>
                <w:lang w:val="it-IT"/>
              </w:rPr>
            </w:pPr>
            <w:r>
              <w:rPr>
                <w:bCs/>
                <w:color w:val="auto"/>
                <w:sz w:val="24"/>
                <w:highlight w:val="none"/>
                <w:lang w:val="it-IT"/>
              </w:rPr>
              <w:t>Pi＝（</w:t>
            </w:r>
            <w:r>
              <w:rPr>
                <w:color w:val="auto"/>
                <w:highlight w:val="none"/>
              </w:rPr>
              <w:fldChar w:fldCharType="begin"/>
            </w:r>
            <w:r>
              <w:rPr>
                <w:color w:val="auto"/>
                <w:highlight w:val="none"/>
              </w:rPr>
              <w:instrText xml:space="preserve"> HYPERLINK "https://baike.baidu.com/item/%CF%81" \t "https://baike.baidu.com/item/_blank" </w:instrText>
            </w:r>
            <w:r>
              <w:rPr>
                <w:color w:val="auto"/>
                <w:highlight w:val="none"/>
              </w:rPr>
              <w:fldChar w:fldCharType="separate"/>
            </w:r>
            <w:r>
              <w:rPr>
                <w:rStyle w:val="45"/>
                <w:i/>
                <w:color w:val="auto"/>
                <w:sz w:val="24"/>
                <w:highlight w:val="none"/>
                <w:u w:val="none"/>
                <w:shd w:val="clear" w:color="auto" w:fill="FFFFFF"/>
              </w:rPr>
              <w:t>ρ</w:t>
            </w:r>
            <w:r>
              <w:rPr>
                <w:rStyle w:val="45"/>
                <w:i/>
                <w:color w:val="auto"/>
                <w:sz w:val="24"/>
                <w:highlight w:val="none"/>
                <w:u w:val="none"/>
                <w:shd w:val="clear" w:color="auto" w:fill="FFFFFF"/>
              </w:rPr>
              <w:fldChar w:fldCharType="end"/>
            </w:r>
            <w:r>
              <w:rPr>
                <w:bCs/>
                <w:color w:val="auto"/>
                <w:sz w:val="24"/>
                <w:highlight w:val="none"/>
                <w:lang w:val="it-IT"/>
              </w:rPr>
              <w:t>i/</w:t>
            </w:r>
            <w:r>
              <w:rPr>
                <w:color w:val="auto"/>
                <w:highlight w:val="none"/>
              </w:rPr>
              <w:fldChar w:fldCharType="begin"/>
            </w:r>
            <w:r>
              <w:rPr>
                <w:color w:val="auto"/>
                <w:highlight w:val="none"/>
              </w:rPr>
              <w:instrText xml:space="preserve"> HYPERLINK "https://baike.baidu.com/item/%CF%81" \t "https://baike.baidu.com/item/_blank" </w:instrText>
            </w:r>
            <w:r>
              <w:rPr>
                <w:color w:val="auto"/>
                <w:highlight w:val="none"/>
              </w:rPr>
              <w:fldChar w:fldCharType="separate"/>
            </w:r>
            <w:r>
              <w:rPr>
                <w:rStyle w:val="45"/>
                <w:i/>
                <w:color w:val="auto"/>
                <w:sz w:val="24"/>
                <w:highlight w:val="none"/>
                <w:u w:val="none"/>
                <w:shd w:val="clear" w:color="auto" w:fill="FFFFFF"/>
              </w:rPr>
              <w:t>ρ</w:t>
            </w:r>
            <w:r>
              <w:rPr>
                <w:rStyle w:val="45"/>
                <w:i/>
                <w:color w:val="auto"/>
                <w:sz w:val="24"/>
                <w:highlight w:val="none"/>
                <w:u w:val="none"/>
                <w:shd w:val="clear" w:color="auto" w:fill="FFFFFF"/>
              </w:rPr>
              <w:fldChar w:fldCharType="end"/>
            </w:r>
            <w:r>
              <w:rPr>
                <w:bCs/>
                <w:color w:val="auto"/>
                <w:sz w:val="24"/>
                <w:highlight w:val="none"/>
                <w:lang w:val="it-IT"/>
              </w:rPr>
              <w:t>oi）×100%</w:t>
            </w:r>
          </w:p>
          <w:p>
            <w:pPr>
              <w:spacing w:line="360" w:lineRule="auto"/>
              <w:ind w:firstLine="720" w:firstLineChars="300"/>
              <w:rPr>
                <w:bCs/>
                <w:color w:val="auto"/>
                <w:sz w:val="24"/>
                <w:szCs w:val="22"/>
                <w:highlight w:val="none"/>
              </w:rPr>
            </w:pPr>
            <w:r>
              <w:rPr>
                <w:bCs/>
                <w:color w:val="auto"/>
                <w:sz w:val="24"/>
                <w:szCs w:val="22"/>
                <w:highlight w:val="none"/>
              </w:rPr>
              <w:t>式中：</w:t>
            </w:r>
            <w:r>
              <w:rPr>
                <w:color w:val="auto"/>
                <w:sz w:val="24"/>
                <w:highlight w:val="none"/>
              </w:rPr>
              <w:t>P</w:t>
            </w:r>
            <w:r>
              <w:rPr>
                <w:bCs/>
                <w:color w:val="auto"/>
                <w:sz w:val="24"/>
                <w:szCs w:val="22"/>
                <w:highlight w:val="none"/>
              </w:rPr>
              <w:t>i－第i个污染物的最大地面空气质量浓度占标率，%；</w:t>
            </w:r>
          </w:p>
          <w:p>
            <w:pPr>
              <w:spacing w:line="360" w:lineRule="auto"/>
              <w:ind w:firstLine="480" w:firstLineChars="200"/>
              <w:rPr>
                <w:bCs/>
                <w:color w:val="auto"/>
                <w:sz w:val="24"/>
                <w:szCs w:val="22"/>
                <w:highlight w:val="none"/>
              </w:rPr>
            </w:pPr>
            <w:r>
              <w:rPr>
                <w:bCs/>
                <w:color w:val="auto"/>
                <w:sz w:val="24"/>
                <w:szCs w:val="22"/>
                <w:highlight w:val="none"/>
              </w:rPr>
              <w:t xml:space="preserve">  </w:t>
            </w:r>
            <w:r>
              <w:rPr>
                <w:color w:val="auto"/>
                <w:highlight w:val="none"/>
              </w:rPr>
              <w:fldChar w:fldCharType="begin"/>
            </w:r>
            <w:r>
              <w:rPr>
                <w:color w:val="auto"/>
                <w:highlight w:val="none"/>
              </w:rPr>
              <w:instrText xml:space="preserve"> HYPERLINK "https://baike.baidu.com/item/%CF%81" \t "https://baike.baidu.com/item/_blank" </w:instrText>
            </w:r>
            <w:r>
              <w:rPr>
                <w:color w:val="auto"/>
                <w:highlight w:val="none"/>
              </w:rPr>
              <w:fldChar w:fldCharType="separate"/>
            </w:r>
            <w:r>
              <w:rPr>
                <w:rStyle w:val="45"/>
                <w:i/>
                <w:color w:val="auto"/>
                <w:sz w:val="24"/>
                <w:highlight w:val="none"/>
                <w:u w:val="none"/>
                <w:shd w:val="clear" w:color="auto" w:fill="FFFFFF"/>
              </w:rPr>
              <w:t>ρ</w:t>
            </w:r>
            <w:r>
              <w:rPr>
                <w:rStyle w:val="45"/>
                <w:i/>
                <w:color w:val="auto"/>
                <w:sz w:val="24"/>
                <w:highlight w:val="none"/>
                <w:u w:val="none"/>
                <w:shd w:val="clear" w:color="auto" w:fill="FFFFFF"/>
              </w:rPr>
              <w:fldChar w:fldCharType="end"/>
            </w:r>
            <w:r>
              <w:rPr>
                <w:bCs/>
                <w:color w:val="auto"/>
                <w:sz w:val="24"/>
                <w:szCs w:val="22"/>
                <w:highlight w:val="none"/>
              </w:rPr>
              <w:t>i－采用估算模式计算出的第i个污染物的最大1h地面空气质量浓度，μg/m</w:t>
            </w:r>
            <w:r>
              <w:rPr>
                <w:bCs/>
                <w:color w:val="auto"/>
                <w:sz w:val="24"/>
                <w:szCs w:val="22"/>
                <w:highlight w:val="none"/>
                <w:vertAlign w:val="superscript"/>
              </w:rPr>
              <w:t>3</w:t>
            </w:r>
            <w:r>
              <w:rPr>
                <w:bCs/>
                <w:color w:val="auto"/>
                <w:sz w:val="24"/>
                <w:szCs w:val="22"/>
                <w:highlight w:val="none"/>
              </w:rPr>
              <w:t>；</w:t>
            </w:r>
          </w:p>
          <w:p>
            <w:pPr>
              <w:spacing w:line="360" w:lineRule="auto"/>
              <w:ind w:firstLine="480" w:firstLineChars="200"/>
              <w:rPr>
                <w:bCs/>
                <w:color w:val="auto"/>
                <w:sz w:val="24"/>
                <w:szCs w:val="22"/>
                <w:highlight w:val="none"/>
              </w:rPr>
            </w:pPr>
            <w:r>
              <w:rPr>
                <w:bCs/>
                <w:color w:val="auto"/>
                <w:sz w:val="24"/>
                <w:szCs w:val="22"/>
                <w:highlight w:val="none"/>
              </w:rPr>
              <w:t xml:space="preserve">  </w:t>
            </w:r>
            <w:r>
              <w:rPr>
                <w:color w:val="auto"/>
                <w:highlight w:val="none"/>
              </w:rPr>
              <w:fldChar w:fldCharType="begin"/>
            </w:r>
            <w:r>
              <w:rPr>
                <w:color w:val="auto"/>
                <w:highlight w:val="none"/>
              </w:rPr>
              <w:instrText xml:space="preserve"> HYPERLINK "https://baike.baidu.com/item/%CF%81" \t "https://baike.baidu.com/item/_blank" </w:instrText>
            </w:r>
            <w:r>
              <w:rPr>
                <w:color w:val="auto"/>
                <w:highlight w:val="none"/>
              </w:rPr>
              <w:fldChar w:fldCharType="separate"/>
            </w:r>
            <w:r>
              <w:rPr>
                <w:rStyle w:val="45"/>
                <w:i/>
                <w:color w:val="auto"/>
                <w:sz w:val="24"/>
                <w:highlight w:val="none"/>
                <w:u w:val="none"/>
                <w:shd w:val="clear" w:color="auto" w:fill="FFFFFF"/>
              </w:rPr>
              <w:t>ρ</w:t>
            </w:r>
            <w:r>
              <w:rPr>
                <w:rStyle w:val="45"/>
                <w:i/>
                <w:color w:val="auto"/>
                <w:sz w:val="24"/>
                <w:highlight w:val="none"/>
                <w:u w:val="none"/>
                <w:shd w:val="clear" w:color="auto" w:fill="FFFFFF"/>
              </w:rPr>
              <w:fldChar w:fldCharType="end"/>
            </w:r>
            <w:r>
              <w:rPr>
                <w:bCs/>
                <w:color w:val="auto"/>
                <w:sz w:val="24"/>
                <w:szCs w:val="22"/>
                <w:highlight w:val="none"/>
              </w:rPr>
              <w:t>oi－第i个污染物的环境空气质量浓度标准，μg/m</w:t>
            </w:r>
            <w:r>
              <w:rPr>
                <w:bCs/>
                <w:color w:val="auto"/>
                <w:sz w:val="24"/>
                <w:szCs w:val="22"/>
                <w:highlight w:val="none"/>
                <w:vertAlign w:val="superscript"/>
              </w:rPr>
              <w:t>3</w:t>
            </w:r>
            <w:r>
              <w:rPr>
                <w:bCs/>
                <w:color w:val="auto"/>
                <w:sz w:val="24"/>
                <w:szCs w:val="22"/>
                <w:highlight w:val="none"/>
              </w:rPr>
              <w:t>。</w:t>
            </w:r>
          </w:p>
          <w:p>
            <w:pPr>
              <w:spacing w:line="360" w:lineRule="auto"/>
              <w:ind w:firstLine="480" w:firstLineChars="200"/>
              <w:rPr>
                <w:color w:val="auto"/>
                <w:sz w:val="24"/>
                <w:highlight w:val="none"/>
              </w:rPr>
            </w:pPr>
            <w:r>
              <w:rPr>
                <w:color w:val="auto"/>
                <w:sz w:val="24"/>
                <w:highlight w:val="none"/>
              </w:rPr>
              <w:t>评价工作等级划分见下表：</w:t>
            </w:r>
          </w:p>
          <w:p>
            <w:pPr>
              <w:pStyle w:val="138"/>
              <w:numPr>
                <w:ilvl w:val="0"/>
                <w:numId w:val="5"/>
              </w:numPr>
              <w:tabs>
                <w:tab w:val="left" w:pos="420"/>
              </w:tabs>
              <w:spacing w:line="24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评价工作等级</w:t>
            </w:r>
          </w:p>
          <w:tbl>
            <w:tblPr>
              <w:tblStyle w:val="40"/>
              <w:tblpPr w:leftFromText="180" w:rightFromText="180" w:vertAnchor="text" w:horzAnchor="page" w:tblpXSpec="center" w:tblpY="141"/>
              <w:tblOverlap w:val="never"/>
              <w:tblW w:w="903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169"/>
              <w:gridCol w:w="58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5" w:hRule="exact"/>
                <w:jc w:val="center"/>
              </w:trPr>
              <w:tc>
                <w:tcPr>
                  <w:tcW w:w="3169" w:type="dxa"/>
                  <w:tcBorders>
                    <w:tl2br w:val="nil"/>
                    <w:tr2bl w:val="nil"/>
                  </w:tcBorders>
                </w:tcPr>
                <w:p>
                  <w:pPr>
                    <w:pStyle w:val="145"/>
                    <w:spacing w:before="2" w:line="360" w:lineRule="auto"/>
                    <w:ind w:right="24"/>
                    <w:jc w:val="center"/>
                    <w:rPr>
                      <w:rFonts w:ascii="Times New Roman" w:hAnsi="Times New Roman" w:eastAsia="Times New Roman" w:cs="Times New Roman"/>
                      <w:b/>
                      <w:bCs/>
                      <w:color w:val="auto"/>
                      <w:szCs w:val="21"/>
                      <w:highlight w:val="none"/>
                    </w:rPr>
                  </w:pPr>
                  <w:r>
                    <w:rPr>
                      <w:rFonts w:ascii="Times New Roman" w:hAnsi="Times New Roman" w:eastAsia="Times New Roman" w:cs="Times New Roman"/>
                      <w:b/>
                      <w:bCs/>
                      <w:color w:val="auto"/>
                      <w:szCs w:val="21"/>
                      <w:highlight w:val="none"/>
                    </w:rPr>
                    <w:t>评价工作等级</w:t>
                  </w:r>
                </w:p>
              </w:tc>
              <w:tc>
                <w:tcPr>
                  <w:tcW w:w="5863" w:type="dxa"/>
                  <w:tcBorders>
                    <w:tl2br w:val="nil"/>
                    <w:tr2bl w:val="nil"/>
                  </w:tcBorders>
                </w:tcPr>
                <w:p>
                  <w:pPr>
                    <w:pStyle w:val="145"/>
                    <w:spacing w:before="2" w:line="360" w:lineRule="auto"/>
                    <w:ind w:right="25"/>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评价工作分级判据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exact"/>
                <w:jc w:val="center"/>
              </w:trPr>
              <w:tc>
                <w:tcPr>
                  <w:tcW w:w="3169" w:type="dxa"/>
                  <w:tcBorders>
                    <w:tl2br w:val="nil"/>
                    <w:tr2bl w:val="nil"/>
                  </w:tcBorders>
                </w:tcPr>
                <w:p>
                  <w:pPr>
                    <w:pStyle w:val="145"/>
                    <w:spacing w:before="2" w:line="360" w:lineRule="auto"/>
                    <w:ind w:right="24"/>
                    <w:jc w:val="center"/>
                    <w:rPr>
                      <w:rFonts w:ascii="Times New Roman" w:hAnsi="Times New Roman" w:eastAsia="Times New Roman" w:cs="Times New Roman"/>
                      <w:color w:val="auto"/>
                      <w:szCs w:val="21"/>
                      <w:highlight w:val="none"/>
                    </w:rPr>
                  </w:pPr>
                  <w:r>
                    <w:rPr>
                      <w:rFonts w:ascii="Times New Roman" w:hAnsi="Times New Roman" w:eastAsia="Times New Roman" w:cs="Times New Roman"/>
                      <w:color w:val="auto"/>
                      <w:szCs w:val="21"/>
                      <w:highlight w:val="none"/>
                    </w:rPr>
                    <w:t>一级</w:t>
                  </w:r>
                </w:p>
              </w:tc>
              <w:tc>
                <w:tcPr>
                  <w:tcW w:w="5863" w:type="dxa"/>
                  <w:tcBorders>
                    <w:tl2br w:val="nil"/>
                    <w:tr2bl w:val="nil"/>
                  </w:tcBorders>
                </w:tcPr>
                <w:p>
                  <w:pPr>
                    <w:pStyle w:val="145"/>
                    <w:spacing w:before="48" w:line="360" w:lineRule="auto"/>
                    <w:ind w:right="24"/>
                    <w:jc w:val="center"/>
                    <w:rPr>
                      <w:rFonts w:ascii="Times New Roman" w:hAnsi="Times New Roman" w:eastAsia="Times New Roman" w:cs="Times New Roman"/>
                      <w:color w:val="auto"/>
                      <w:szCs w:val="21"/>
                      <w:highlight w:val="none"/>
                    </w:rPr>
                  </w:pPr>
                  <w:r>
                    <w:rPr>
                      <w:rFonts w:ascii="Times New Roman" w:hAnsi="Times New Roman" w:eastAsia="Times New Roman" w:cs="Times New Roman"/>
                      <w:color w:val="auto"/>
                      <w:szCs w:val="21"/>
                      <w:highlight w:val="none"/>
                    </w:rPr>
                    <w:t>Pmax≥10%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exact"/>
                <w:jc w:val="center"/>
              </w:trPr>
              <w:tc>
                <w:tcPr>
                  <w:tcW w:w="3169" w:type="dxa"/>
                  <w:tcBorders>
                    <w:tl2br w:val="nil"/>
                    <w:tr2bl w:val="nil"/>
                  </w:tcBorders>
                </w:tcPr>
                <w:p>
                  <w:pPr>
                    <w:pStyle w:val="145"/>
                    <w:spacing w:before="2"/>
                    <w:ind w:right="24"/>
                    <w:jc w:val="center"/>
                    <w:rPr>
                      <w:rFonts w:ascii="Times New Roman" w:hAnsi="Times New Roman" w:eastAsia="Times New Roman" w:cs="Times New Roman"/>
                      <w:color w:val="auto"/>
                      <w:szCs w:val="21"/>
                      <w:highlight w:val="none"/>
                    </w:rPr>
                  </w:pPr>
                  <w:r>
                    <w:rPr>
                      <w:rFonts w:ascii="Times New Roman" w:hAnsi="Times New Roman" w:eastAsia="Times New Roman" w:cs="Times New Roman"/>
                      <w:color w:val="auto"/>
                      <w:szCs w:val="21"/>
                      <w:highlight w:val="none"/>
                    </w:rPr>
                    <w:t>二级</w:t>
                  </w:r>
                </w:p>
              </w:tc>
              <w:tc>
                <w:tcPr>
                  <w:tcW w:w="5863" w:type="dxa"/>
                  <w:tcBorders>
                    <w:tl2br w:val="nil"/>
                    <w:tr2bl w:val="nil"/>
                  </w:tcBorders>
                </w:tcPr>
                <w:p>
                  <w:pPr>
                    <w:pStyle w:val="145"/>
                    <w:spacing w:before="52"/>
                    <w:ind w:right="22"/>
                    <w:jc w:val="center"/>
                    <w:rPr>
                      <w:rFonts w:ascii="Times New Roman" w:hAnsi="Times New Roman" w:eastAsia="Times New Roman" w:cs="Times New Roman"/>
                      <w:color w:val="auto"/>
                      <w:szCs w:val="21"/>
                      <w:highlight w:val="none"/>
                    </w:rPr>
                  </w:pPr>
                  <w:r>
                    <w:rPr>
                      <w:rFonts w:ascii="Times New Roman" w:hAnsi="Times New Roman" w:eastAsia="Times New Roman" w:cs="Times New Roman"/>
                      <w:color w:val="auto"/>
                      <w:szCs w:val="21"/>
                      <w:highlight w:val="none"/>
                    </w:rPr>
                    <w:t>1%≤Pmax≤10%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exact"/>
                <w:jc w:val="center"/>
              </w:trPr>
              <w:tc>
                <w:tcPr>
                  <w:tcW w:w="3169" w:type="dxa"/>
                  <w:tcBorders>
                    <w:tl2br w:val="nil"/>
                    <w:tr2bl w:val="nil"/>
                  </w:tcBorders>
                </w:tcPr>
                <w:p>
                  <w:pPr>
                    <w:pStyle w:val="145"/>
                    <w:spacing w:before="2"/>
                    <w:ind w:right="24"/>
                    <w:jc w:val="center"/>
                    <w:rPr>
                      <w:rFonts w:ascii="Times New Roman" w:hAnsi="Times New Roman" w:eastAsia="Times New Roman" w:cs="Times New Roman"/>
                      <w:color w:val="auto"/>
                      <w:szCs w:val="21"/>
                      <w:highlight w:val="none"/>
                    </w:rPr>
                  </w:pPr>
                  <w:r>
                    <w:rPr>
                      <w:rFonts w:ascii="Times New Roman" w:hAnsi="Times New Roman" w:eastAsia="Times New Roman" w:cs="Times New Roman"/>
                      <w:color w:val="auto"/>
                      <w:szCs w:val="21"/>
                      <w:highlight w:val="none"/>
                    </w:rPr>
                    <w:t>三级</w:t>
                  </w:r>
                </w:p>
              </w:tc>
              <w:tc>
                <w:tcPr>
                  <w:tcW w:w="5863" w:type="dxa"/>
                  <w:tcBorders>
                    <w:tl2br w:val="nil"/>
                    <w:tr2bl w:val="nil"/>
                  </w:tcBorders>
                </w:tcPr>
                <w:p>
                  <w:pPr>
                    <w:pStyle w:val="145"/>
                    <w:spacing w:before="2"/>
                    <w:ind w:right="24"/>
                    <w:jc w:val="center"/>
                    <w:rPr>
                      <w:rFonts w:ascii="Times New Roman" w:hAnsi="Times New Roman" w:eastAsia="Times New Roman" w:cs="Times New Roman"/>
                      <w:color w:val="auto"/>
                      <w:szCs w:val="21"/>
                      <w:highlight w:val="none"/>
                    </w:rPr>
                  </w:pPr>
                  <w:r>
                    <w:rPr>
                      <w:rFonts w:ascii="Times New Roman" w:hAnsi="Times New Roman" w:eastAsia="Times New Roman" w:cs="Times New Roman"/>
                      <w:color w:val="auto"/>
                      <w:szCs w:val="21"/>
                      <w:highlight w:val="none"/>
                    </w:rPr>
                    <w:t>Pmax</w:t>
                  </w:r>
                  <w:r>
                    <w:rPr>
                      <w:rFonts w:ascii="Times New Roman" w:hAnsi="Times New Roman" w:eastAsia="宋体" w:cs="Times New Roman"/>
                      <w:color w:val="auto"/>
                      <w:szCs w:val="21"/>
                      <w:highlight w:val="none"/>
                    </w:rPr>
                    <w:t>＜</w:t>
                  </w:r>
                  <w:r>
                    <w:rPr>
                      <w:rFonts w:ascii="Times New Roman" w:hAnsi="Times New Roman" w:eastAsia="Times New Roman" w:cs="Times New Roman"/>
                      <w:color w:val="auto"/>
                      <w:szCs w:val="21"/>
                      <w:highlight w:val="none"/>
                    </w:rPr>
                    <w:t>1%</w:t>
                  </w:r>
                </w:p>
              </w:tc>
            </w:tr>
          </w:tbl>
          <w:p>
            <w:pPr>
              <w:spacing w:line="240" w:lineRule="auto"/>
              <w:ind w:firstLine="480" w:firstLineChars="200"/>
              <w:rPr>
                <w:bCs/>
                <w:color w:val="auto"/>
                <w:sz w:val="24"/>
                <w:szCs w:val="22"/>
                <w:highlight w:val="none"/>
              </w:rPr>
            </w:pPr>
            <w:r>
              <w:rPr>
                <w:bCs/>
                <w:color w:val="auto"/>
                <w:sz w:val="24"/>
                <w:szCs w:val="22"/>
                <w:highlight w:val="none"/>
              </w:rPr>
              <w:t>按照估算模式AERSCREEN模式，依据上述公式进行评价等级确定，其中污染物计算参数如下</w:t>
            </w:r>
            <w:r>
              <w:rPr>
                <w:rFonts w:hint="eastAsia"/>
                <w:bCs/>
                <w:color w:val="auto"/>
                <w:sz w:val="24"/>
                <w:szCs w:val="22"/>
                <w:highlight w:val="none"/>
              </w:rPr>
              <w:t>：</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评价因子和评价标准</w:t>
            </w:r>
          </w:p>
          <w:tbl>
            <w:tblPr>
              <w:tblStyle w:val="41"/>
              <w:tblW w:w="87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5"/>
              <w:gridCol w:w="1110"/>
              <w:gridCol w:w="1230"/>
              <w:gridCol w:w="1080"/>
              <w:gridCol w:w="1155"/>
              <w:gridCol w:w="28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335" w:type="dxa"/>
                  <w:vAlign w:val="center"/>
                </w:tcPr>
                <w:p>
                  <w:pPr>
                    <w:pStyle w:val="47"/>
                    <w:spacing w:line="360" w:lineRule="auto"/>
                    <w:jc w:val="center"/>
                    <w:rPr>
                      <w:rFonts w:ascii="Times New Roman" w:cs="Times New Roman"/>
                      <w:b/>
                      <w:bCs/>
                      <w:color w:val="auto"/>
                      <w:sz w:val="21"/>
                      <w:szCs w:val="16"/>
                      <w:highlight w:val="none"/>
                    </w:rPr>
                  </w:pPr>
                  <w:r>
                    <w:rPr>
                      <w:rFonts w:ascii="Times New Roman" w:cs="Times New Roman"/>
                      <w:b/>
                      <w:bCs/>
                      <w:color w:val="auto"/>
                      <w:sz w:val="21"/>
                      <w:szCs w:val="16"/>
                      <w:highlight w:val="none"/>
                    </w:rPr>
                    <w:t>评价因子</w:t>
                  </w:r>
                </w:p>
              </w:tc>
              <w:tc>
                <w:tcPr>
                  <w:tcW w:w="1110" w:type="dxa"/>
                  <w:vAlign w:val="center"/>
                </w:tcPr>
                <w:p>
                  <w:pPr>
                    <w:pStyle w:val="47"/>
                    <w:spacing w:line="360" w:lineRule="auto"/>
                    <w:jc w:val="center"/>
                    <w:rPr>
                      <w:rFonts w:ascii="Times New Roman" w:cs="Times New Roman"/>
                      <w:b/>
                      <w:bCs/>
                      <w:color w:val="auto"/>
                      <w:sz w:val="21"/>
                      <w:szCs w:val="16"/>
                      <w:highlight w:val="none"/>
                    </w:rPr>
                  </w:pPr>
                  <w:r>
                    <w:rPr>
                      <w:rFonts w:ascii="Times New Roman" w:cs="Times New Roman"/>
                      <w:b/>
                      <w:bCs/>
                      <w:color w:val="auto"/>
                      <w:sz w:val="21"/>
                      <w:szCs w:val="16"/>
                      <w:highlight w:val="none"/>
                    </w:rPr>
                    <w:t>平均时段</w:t>
                  </w:r>
                </w:p>
              </w:tc>
              <w:tc>
                <w:tcPr>
                  <w:tcW w:w="1230" w:type="dxa"/>
                  <w:vAlign w:val="center"/>
                </w:tcPr>
                <w:p>
                  <w:pPr>
                    <w:pStyle w:val="47"/>
                    <w:spacing w:line="360" w:lineRule="auto"/>
                    <w:jc w:val="center"/>
                    <w:rPr>
                      <w:rFonts w:ascii="Times New Roman" w:cs="Times New Roman"/>
                      <w:b/>
                      <w:bCs/>
                      <w:color w:val="auto"/>
                      <w:sz w:val="21"/>
                      <w:szCs w:val="16"/>
                      <w:highlight w:val="none"/>
                    </w:rPr>
                  </w:pPr>
                  <w:r>
                    <w:rPr>
                      <w:rFonts w:ascii="Times New Roman" w:cs="Times New Roman"/>
                      <w:b/>
                      <w:bCs/>
                      <w:color w:val="auto"/>
                      <w:sz w:val="21"/>
                      <w:szCs w:val="16"/>
                      <w:highlight w:val="none"/>
                    </w:rPr>
                    <w:t>质量标准</w:t>
                  </w:r>
                </w:p>
              </w:tc>
              <w:tc>
                <w:tcPr>
                  <w:tcW w:w="1080" w:type="dxa"/>
                  <w:vAlign w:val="center"/>
                </w:tcPr>
                <w:p>
                  <w:pPr>
                    <w:pStyle w:val="47"/>
                    <w:spacing w:line="360" w:lineRule="auto"/>
                    <w:jc w:val="center"/>
                    <w:rPr>
                      <w:rFonts w:ascii="Times New Roman" w:cs="Times New Roman"/>
                      <w:b/>
                      <w:bCs/>
                      <w:color w:val="auto"/>
                      <w:sz w:val="21"/>
                      <w:szCs w:val="16"/>
                      <w:highlight w:val="none"/>
                    </w:rPr>
                  </w:pPr>
                  <w:r>
                    <w:rPr>
                      <w:rFonts w:ascii="Times New Roman" w:cs="Times New Roman"/>
                      <w:b/>
                      <w:bCs/>
                      <w:color w:val="auto"/>
                      <w:sz w:val="21"/>
                      <w:szCs w:val="16"/>
                      <w:highlight w:val="none"/>
                    </w:rPr>
                    <w:t>折算倍数</w:t>
                  </w:r>
                </w:p>
              </w:tc>
              <w:tc>
                <w:tcPr>
                  <w:tcW w:w="1155" w:type="dxa"/>
                  <w:vAlign w:val="center"/>
                </w:tcPr>
                <w:p>
                  <w:pPr>
                    <w:pStyle w:val="47"/>
                    <w:spacing w:line="360" w:lineRule="auto"/>
                    <w:jc w:val="center"/>
                    <w:rPr>
                      <w:rFonts w:ascii="Times New Roman" w:cs="Times New Roman"/>
                      <w:b/>
                      <w:bCs/>
                      <w:color w:val="auto"/>
                      <w:sz w:val="21"/>
                      <w:szCs w:val="16"/>
                      <w:highlight w:val="none"/>
                    </w:rPr>
                  </w:pPr>
                  <w:r>
                    <w:rPr>
                      <w:rFonts w:ascii="Times New Roman" w:cs="Times New Roman"/>
                      <w:b/>
                      <w:bCs/>
                      <w:color w:val="auto"/>
                      <w:sz w:val="21"/>
                      <w:szCs w:val="16"/>
                      <w:highlight w:val="none"/>
                    </w:rPr>
                    <w:t>评价标准</w:t>
                  </w:r>
                </w:p>
              </w:tc>
              <w:tc>
                <w:tcPr>
                  <w:tcW w:w="2861" w:type="dxa"/>
                  <w:vAlign w:val="center"/>
                </w:tcPr>
                <w:p>
                  <w:pPr>
                    <w:pStyle w:val="47"/>
                    <w:spacing w:line="360" w:lineRule="auto"/>
                    <w:jc w:val="center"/>
                    <w:rPr>
                      <w:rFonts w:ascii="Times New Roman" w:cs="Times New Roman"/>
                      <w:b/>
                      <w:bCs/>
                      <w:color w:val="auto"/>
                      <w:sz w:val="21"/>
                      <w:szCs w:val="16"/>
                      <w:highlight w:val="none"/>
                    </w:rPr>
                  </w:pPr>
                  <w:r>
                    <w:rPr>
                      <w:rFonts w:ascii="Times New Roman" w:cs="Times New Roman"/>
                      <w:b/>
                      <w:bCs/>
                      <w:color w:val="auto"/>
                      <w:sz w:val="21"/>
                      <w:szCs w:val="16"/>
                      <w:highlight w:val="none"/>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1335" w:type="dxa"/>
                  <w:vAlign w:val="center"/>
                </w:tcPr>
                <w:p>
                  <w:pPr>
                    <w:pStyle w:val="47"/>
                    <w:jc w:val="center"/>
                    <w:rPr>
                      <w:rFonts w:ascii="Times New Roman" w:cs="Times New Roman"/>
                      <w:color w:val="auto"/>
                      <w:sz w:val="21"/>
                      <w:szCs w:val="16"/>
                      <w:highlight w:val="none"/>
                    </w:rPr>
                  </w:pPr>
                  <w:r>
                    <w:rPr>
                      <w:rFonts w:ascii="Times New Roman" w:cs="Times New Roman"/>
                      <w:color w:val="auto"/>
                      <w:sz w:val="21"/>
                      <w:szCs w:val="16"/>
                      <w:highlight w:val="none"/>
                    </w:rPr>
                    <w:t>非甲烷总烃</w:t>
                  </w:r>
                </w:p>
              </w:tc>
              <w:tc>
                <w:tcPr>
                  <w:tcW w:w="1110" w:type="dxa"/>
                  <w:vAlign w:val="center"/>
                </w:tcPr>
                <w:p>
                  <w:pPr>
                    <w:pStyle w:val="47"/>
                    <w:jc w:val="center"/>
                    <w:rPr>
                      <w:rFonts w:ascii="Times New Roman" w:cs="Times New Roman"/>
                      <w:color w:val="auto"/>
                      <w:sz w:val="21"/>
                      <w:szCs w:val="16"/>
                      <w:highlight w:val="none"/>
                    </w:rPr>
                  </w:pPr>
                  <w:r>
                    <w:rPr>
                      <w:rStyle w:val="46"/>
                      <w:rFonts w:hint="eastAsia" w:ascii="Times New Roman" w:cs="Times New Roman"/>
                      <w:color w:val="auto"/>
                      <w:kern w:val="2"/>
                      <w:highlight w:val="none"/>
                    </w:rPr>
                    <w:t>1小时</w:t>
                  </w:r>
                </w:p>
              </w:tc>
              <w:tc>
                <w:tcPr>
                  <w:tcW w:w="1230" w:type="dxa"/>
                  <w:vAlign w:val="center"/>
                </w:tcPr>
                <w:p>
                  <w:pPr>
                    <w:pStyle w:val="47"/>
                    <w:jc w:val="center"/>
                    <w:rPr>
                      <w:rFonts w:ascii="Times New Roman" w:cs="Times New Roman"/>
                      <w:color w:val="auto"/>
                      <w:sz w:val="21"/>
                      <w:szCs w:val="16"/>
                      <w:highlight w:val="none"/>
                    </w:rPr>
                  </w:pPr>
                  <w:r>
                    <w:rPr>
                      <w:rFonts w:ascii="Times New Roman" w:cs="Times New Roman"/>
                      <w:color w:val="auto"/>
                      <w:sz w:val="21"/>
                      <w:szCs w:val="16"/>
                      <w:highlight w:val="none"/>
                    </w:rPr>
                    <w:t>2</w:t>
                  </w:r>
                </w:p>
              </w:tc>
              <w:tc>
                <w:tcPr>
                  <w:tcW w:w="1080" w:type="dxa"/>
                  <w:vAlign w:val="center"/>
                </w:tcPr>
                <w:p>
                  <w:pPr>
                    <w:pStyle w:val="47"/>
                    <w:jc w:val="center"/>
                    <w:rPr>
                      <w:rFonts w:ascii="Times New Roman" w:cs="Times New Roman"/>
                      <w:color w:val="auto"/>
                      <w:sz w:val="21"/>
                      <w:szCs w:val="16"/>
                      <w:highlight w:val="none"/>
                    </w:rPr>
                  </w:pPr>
                  <w:r>
                    <w:rPr>
                      <w:rFonts w:ascii="Times New Roman" w:cs="Times New Roman"/>
                      <w:color w:val="auto"/>
                      <w:sz w:val="21"/>
                      <w:szCs w:val="16"/>
                      <w:highlight w:val="none"/>
                    </w:rPr>
                    <w:t>/</w:t>
                  </w:r>
                </w:p>
              </w:tc>
              <w:tc>
                <w:tcPr>
                  <w:tcW w:w="1155" w:type="dxa"/>
                  <w:vAlign w:val="center"/>
                </w:tcPr>
                <w:p>
                  <w:pPr>
                    <w:pStyle w:val="47"/>
                    <w:jc w:val="center"/>
                    <w:rPr>
                      <w:rFonts w:ascii="Times New Roman" w:cs="Times New Roman"/>
                      <w:color w:val="auto"/>
                      <w:sz w:val="21"/>
                      <w:szCs w:val="16"/>
                      <w:highlight w:val="none"/>
                    </w:rPr>
                  </w:pPr>
                  <w:r>
                    <w:rPr>
                      <w:rFonts w:ascii="Times New Roman" w:cs="Times New Roman"/>
                      <w:color w:val="auto"/>
                      <w:sz w:val="21"/>
                      <w:szCs w:val="16"/>
                      <w:highlight w:val="none"/>
                    </w:rPr>
                    <w:t>2</w:t>
                  </w:r>
                </w:p>
              </w:tc>
              <w:tc>
                <w:tcPr>
                  <w:tcW w:w="2861" w:type="dxa"/>
                  <w:vAlign w:val="center"/>
                </w:tcPr>
                <w:p>
                  <w:pPr>
                    <w:pStyle w:val="47"/>
                    <w:jc w:val="center"/>
                    <w:rPr>
                      <w:rFonts w:ascii="Times New Roman" w:cs="Times New Roman"/>
                      <w:color w:val="auto"/>
                      <w:sz w:val="21"/>
                      <w:szCs w:val="16"/>
                      <w:highlight w:val="none"/>
                    </w:rPr>
                  </w:pPr>
                  <w:r>
                    <w:rPr>
                      <w:rFonts w:ascii="Times New Roman" w:cs="Times New Roman"/>
                      <w:color w:val="auto"/>
                      <w:sz w:val="21"/>
                      <w:szCs w:val="16"/>
                      <w:highlight w:val="none"/>
                    </w:rPr>
                    <w:t>《大气污染物综合排放标准详解》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1335" w:type="dxa"/>
                  <w:vAlign w:val="center"/>
                </w:tcPr>
                <w:p>
                  <w:pPr>
                    <w:autoSpaceDE w:val="0"/>
                    <w:autoSpaceDN w:val="0"/>
                    <w:adjustRightInd w:val="0"/>
                    <w:jc w:val="center"/>
                    <w:rPr>
                      <w:color w:val="auto"/>
                      <w:szCs w:val="16"/>
                      <w:highlight w:val="none"/>
                    </w:rPr>
                  </w:pPr>
                  <w:r>
                    <w:rPr>
                      <w:color w:val="auto"/>
                      <w:szCs w:val="16"/>
                      <w:highlight w:val="none"/>
                    </w:rPr>
                    <w:t>TSP</w:t>
                  </w:r>
                </w:p>
              </w:tc>
              <w:tc>
                <w:tcPr>
                  <w:tcW w:w="1110" w:type="dxa"/>
                  <w:vAlign w:val="center"/>
                </w:tcPr>
                <w:p>
                  <w:pPr>
                    <w:autoSpaceDE w:val="0"/>
                    <w:autoSpaceDN w:val="0"/>
                    <w:adjustRightInd w:val="0"/>
                    <w:jc w:val="center"/>
                    <w:rPr>
                      <w:rStyle w:val="46"/>
                      <w:color w:val="auto"/>
                      <w:highlight w:val="none"/>
                    </w:rPr>
                  </w:pPr>
                  <w:r>
                    <w:rPr>
                      <w:color w:val="auto"/>
                      <w:szCs w:val="16"/>
                      <w:highlight w:val="none"/>
                    </w:rPr>
                    <w:t>24小时</w:t>
                  </w:r>
                </w:p>
              </w:tc>
              <w:tc>
                <w:tcPr>
                  <w:tcW w:w="1230" w:type="dxa"/>
                  <w:vAlign w:val="center"/>
                </w:tcPr>
                <w:p>
                  <w:pPr>
                    <w:autoSpaceDE w:val="0"/>
                    <w:autoSpaceDN w:val="0"/>
                    <w:adjustRightInd w:val="0"/>
                    <w:jc w:val="center"/>
                    <w:rPr>
                      <w:color w:val="auto"/>
                      <w:szCs w:val="16"/>
                      <w:highlight w:val="none"/>
                    </w:rPr>
                  </w:pPr>
                  <w:r>
                    <w:rPr>
                      <w:color w:val="auto"/>
                      <w:szCs w:val="16"/>
                      <w:highlight w:val="none"/>
                    </w:rPr>
                    <w:t>0.3</w:t>
                  </w:r>
                </w:p>
              </w:tc>
              <w:tc>
                <w:tcPr>
                  <w:tcW w:w="1080" w:type="dxa"/>
                  <w:vAlign w:val="center"/>
                </w:tcPr>
                <w:p>
                  <w:pPr>
                    <w:autoSpaceDE w:val="0"/>
                    <w:autoSpaceDN w:val="0"/>
                    <w:adjustRightInd w:val="0"/>
                    <w:jc w:val="center"/>
                    <w:rPr>
                      <w:color w:val="auto"/>
                      <w:szCs w:val="16"/>
                      <w:highlight w:val="none"/>
                    </w:rPr>
                  </w:pPr>
                  <w:r>
                    <w:rPr>
                      <w:color w:val="auto"/>
                      <w:szCs w:val="16"/>
                      <w:highlight w:val="none"/>
                    </w:rPr>
                    <w:t>3</w:t>
                  </w:r>
                </w:p>
              </w:tc>
              <w:tc>
                <w:tcPr>
                  <w:tcW w:w="1155" w:type="dxa"/>
                  <w:vAlign w:val="center"/>
                </w:tcPr>
                <w:p>
                  <w:pPr>
                    <w:autoSpaceDE w:val="0"/>
                    <w:autoSpaceDN w:val="0"/>
                    <w:adjustRightInd w:val="0"/>
                    <w:jc w:val="center"/>
                    <w:rPr>
                      <w:color w:val="auto"/>
                      <w:szCs w:val="16"/>
                      <w:highlight w:val="none"/>
                    </w:rPr>
                  </w:pPr>
                  <w:r>
                    <w:rPr>
                      <w:color w:val="auto"/>
                      <w:szCs w:val="16"/>
                      <w:highlight w:val="none"/>
                    </w:rPr>
                    <w:t>0.9</w:t>
                  </w:r>
                </w:p>
              </w:tc>
              <w:tc>
                <w:tcPr>
                  <w:tcW w:w="2861" w:type="dxa"/>
                  <w:vAlign w:val="center"/>
                </w:tcPr>
                <w:p>
                  <w:pPr>
                    <w:autoSpaceDE w:val="0"/>
                    <w:autoSpaceDN w:val="0"/>
                    <w:adjustRightInd w:val="0"/>
                    <w:jc w:val="center"/>
                    <w:rPr>
                      <w:color w:val="auto"/>
                      <w:szCs w:val="16"/>
                      <w:highlight w:val="none"/>
                    </w:rPr>
                  </w:pPr>
                  <w:r>
                    <w:rPr>
                      <w:color w:val="auto"/>
                      <w:szCs w:val="16"/>
                      <w:highlight w:val="none"/>
                    </w:rPr>
                    <w:t>《环境空气质量标准》</w:t>
                  </w:r>
                  <w:r>
                    <w:rPr>
                      <w:rFonts w:hint="eastAsia"/>
                      <w:color w:val="auto"/>
                      <w:szCs w:val="16"/>
                      <w:highlight w:val="none"/>
                    </w:rPr>
                    <w:t>（</w:t>
                  </w:r>
                  <w:r>
                    <w:rPr>
                      <w:color w:val="auto"/>
                      <w:szCs w:val="16"/>
                      <w:highlight w:val="none"/>
                    </w:rPr>
                    <w:t>GB3095-2012</w:t>
                  </w:r>
                  <w:r>
                    <w:rPr>
                      <w:rFonts w:hint="eastAsia"/>
                      <w:color w:val="auto"/>
                      <w:szCs w:val="16"/>
                      <w:highlight w:val="none"/>
                    </w:rPr>
                    <w:t>）</w:t>
                  </w:r>
                </w:p>
              </w:tc>
            </w:tr>
          </w:tbl>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lang w:val="zh-CN"/>
              </w:rPr>
              <w:t>估算模型参数表</w:t>
            </w:r>
          </w:p>
          <w:tbl>
            <w:tblPr>
              <w:tblStyle w:val="40"/>
              <w:tblW w:w="8784"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2627"/>
              <w:gridCol w:w="2370"/>
              <w:gridCol w:w="3787"/>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98" w:hRule="atLeast"/>
                <w:jc w:val="center"/>
              </w:trPr>
              <w:tc>
                <w:tcPr>
                  <w:tcW w:w="4997" w:type="dxa"/>
                  <w:gridSpan w:val="2"/>
                  <w:tcBorders>
                    <w:tl2br w:val="nil"/>
                    <w:tr2bl w:val="nil"/>
                  </w:tcBorders>
                  <w:vAlign w:val="center"/>
                </w:tcPr>
                <w:p>
                  <w:pPr>
                    <w:spacing w:line="360" w:lineRule="auto"/>
                    <w:jc w:val="center"/>
                    <w:rPr>
                      <w:b/>
                      <w:color w:val="auto"/>
                      <w:szCs w:val="21"/>
                      <w:highlight w:val="none"/>
                      <w:lang w:val="zh-CN"/>
                    </w:rPr>
                  </w:pPr>
                  <w:r>
                    <w:rPr>
                      <w:b/>
                      <w:color w:val="auto"/>
                      <w:szCs w:val="21"/>
                      <w:highlight w:val="none"/>
                      <w:lang w:val="zh-CN"/>
                    </w:rPr>
                    <w:t>参数</w:t>
                  </w:r>
                </w:p>
              </w:tc>
              <w:tc>
                <w:tcPr>
                  <w:tcW w:w="3787" w:type="dxa"/>
                  <w:tcBorders>
                    <w:tl2br w:val="nil"/>
                    <w:tr2bl w:val="nil"/>
                  </w:tcBorders>
                  <w:vAlign w:val="center"/>
                </w:tcPr>
                <w:p>
                  <w:pPr>
                    <w:spacing w:line="360" w:lineRule="auto"/>
                    <w:jc w:val="center"/>
                    <w:rPr>
                      <w:b/>
                      <w:color w:val="auto"/>
                      <w:szCs w:val="21"/>
                      <w:highlight w:val="none"/>
                      <w:lang w:val="zh-CN"/>
                    </w:rPr>
                  </w:pPr>
                  <w:r>
                    <w:rPr>
                      <w:b/>
                      <w:color w:val="auto"/>
                      <w:szCs w:val="21"/>
                      <w:highlight w:val="none"/>
                      <w:lang w:val="zh-CN"/>
                    </w:rPr>
                    <w:t>取值</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restart"/>
                  <w:tcBorders>
                    <w:tl2br w:val="nil"/>
                    <w:tr2bl w:val="nil"/>
                  </w:tcBorders>
                  <w:vAlign w:val="center"/>
                </w:tcPr>
                <w:p>
                  <w:pPr>
                    <w:spacing w:line="360" w:lineRule="auto"/>
                    <w:jc w:val="center"/>
                    <w:rPr>
                      <w:color w:val="auto"/>
                      <w:szCs w:val="21"/>
                      <w:highlight w:val="none"/>
                    </w:rPr>
                  </w:pPr>
                  <w:r>
                    <w:rPr>
                      <w:color w:val="auto"/>
                      <w:szCs w:val="21"/>
                      <w:highlight w:val="none"/>
                      <w:lang w:val="zh-CN"/>
                    </w:rPr>
                    <w:t>城市</w:t>
                  </w:r>
                  <w:r>
                    <w:rPr>
                      <w:color w:val="auto"/>
                      <w:szCs w:val="21"/>
                      <w:highlight w:val="none"/>
                    </w:rPr>
                    <w:t>/农村选项</w:t>
                  </w:r>
                </w:p>
              </w:tc>
              <w:tc>
                <w:tcPr>
                  <w:tcW w:w="2370" w:type="dxa"/>
                  <w:tcBorders>
                    <w:tl2br w:val="nil"/>
                    <w:tr2bl w:val="nil"/>
                  </w:tcBorders>
                  <w:vAlign w:val="center"/>
                </w:tcPr>
                <w:p>
                  <w:pPr>
                    <w:spacing w:line="360" w:lineRule="auto"/>
                    <w:jc w:val="center"/>
                    <w:rPr>
                      <w:color w:val="auto"/>
                      <w:szCs w:val="21"/>
                      <w:highlight w:val="none"/>
                    </w:rPr>
                  </w:pPr>
                  <w:r>
                    <w:rPr>
                      <w:color w:val="auto"/>
                      <w:szCs w:val="21"/>
                      <w:highlight w:val="none"/>
                      <w:lang w:val="zh-CN"/>
                    </w:rPr>
                    <w:t>城市</w:t>
                  </w:r>
                  <w:r>
                    <w:rPr>
                      <w:color w:val="auto"/>
                      <w:szCs w:val="21"/>
                      <w:highlight w:val="none"/>
                    </w:rPr>
                    <w:t>/农村</w:t>
                  </w:r>
                </w:p>
              </w:tc>
              <w:tc>
                <w:tcPr>
                  <w:tcW w:w="3787" w:type="dxa"/>
                  <w:tcBorders>
                    <w:tl2br w:val="nil"/>
                    <w:tr2bl w:val="nil"/>
                  </w:tcBorders>
                  <w:vAlign w:val="center"/>
                </w:tcPr>
                <w:p>
                  <w:pPr>
                    <w:spacing w:line="360" w:lineRule="auto"/>
                    <w:jc w:val="center"/>
                    <w:rPr>
                      <w:color w:val="auto"/>
                      <w:szCs w:val="21"/>
                      <w:highlight w:val="none"/>
                      <w:lang w:val="zh-CN"/>
                    </w:rPr>
                  </w:pPr>
                  <w:r>
                    <w:rPr>
                      <w:rFonts w:hint="eastAsia"/>
                      <w:color w:val="auto"/>
                      <w:szCs w:val="21"/>
                      <w:highlight w:val="none"/>
                      <w:lang w:val="zh-CN"/>
                    </w:rPr>
                    <w:t>城市</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continue"/>
                  <w:tcBorders>
                    <w:tl2br w:val="nil"/>
                    <w:tr2bl w:val="nil"/>
                  </w:tcBorders>
                  <w:vAlign w:val="center"/>
                </w:tcPr>
                <w:p>
                  <w:pPr>
                    <w:spacing w:line="360" w:lineRule="auto"/>
                    <w:jc w:val="center"/>
                    <w:rPr>
                      <w:color w:val="auto"/>
                      <w:szCs w:val="21"/>
                      <w:highlight w:val="none"/>
                      <w:lang w:val="zh-CN"/>
                    </w:rPr>
                  </w:pPr>
                </w:p>
              </w:tc>
              <w:tc>
                <w:tcPr>
                  <w:tcW w:w="2370" w:type="dxa"/>
                  <w:tcBorders>
                    <w:tl2br w:val="nil"/>
                    <w:tr2bl w:val="nil"/>
                  </w:tcBorders>
                  <w:vAlign w:val="center"/>
                </w:tcPr>
                <w:p>
                  <w:pPr>
                    <w:spacing w:line="360" w:lineRule="auto"/>
                    <w:jc w:val="center"/>
                    <w:rPr>
                      <w:color w:val="auto"/>
                      <w:szCs w:val="21"/>
                      <w:highlight w:val="none"/>
                      <w:lang w:val="zh-CN"/>
                    </w:rPr>
                  </w:pPr>
                  <w:r>
                    <w:rPr>
                      <w:color w:val="auto"/>
                      <w:szCs w:val="21"/>
                      <w:highlight w:val="none"/>
                      <w:lang w:val="zh-CN"/>
                    </w:rPr>
                    <w:t>人口数（城市选项时）</w:t>
                  </w:r>
                </w:p>
              </w:tc>
              <w:tc>
                <w:tcPr>
                  <w:tcW w:w="3787" w:type="dxa"/>
                  <w:tcBorders>
                    <w:tl2br w:val="nil"/>
                    <w:tr2bl w:val="nil"/>
                  </w:tcBorders>
                  <w:vAlign w:val="center"/>
                </w:tcPr>
                <w:p>
                  <w:pPr>
                    <w:spacing w:line="360" w:lineRule="auto"/>
                    <w:jc w:val="center"/>
                    <w:rPr>
                      <w:color w:val="auto"/>
                      <w:szCs w:val="21"/>
                      <w:highlight w:val="none"/>
                    </w:rPr>
                  </w:pPr>
                  <w:r>
                    <w:rPr>
                      <w:rFonts w:hint="eastAsia"/>
                      <w:color w:val="auto"/>
                      <w:szCs w:val="21"/>
                      <w:highlight w:val="none"/>
                    </w:rPr>
                    <w:t>70万</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spacing w:line="360" w:lineRule="auto"/>
                    <w:jc w:val="center"/>
                    <w:rPr>
                      <w:color w:val="auto"/>
                      <w:szCs w:val="21"/>
                      <w:highlight w:val="none"/>
                      <w:lang w:val="zh-CN"/>
                    </w:rPr>
                  </w:pPr>
                  <w:r>
                    <w:rPr>
                      <w:color w:val="auto"/>
                      <w:szCs w:val="21"/>
                      <w:highlight w:val="none"/>
                      <w:lang w:val="zh-CN"/>
                    </w:rPr>
                    <w:t>最高环境温度</w:t>
                  </w:r>
                  <w:r>
                    <w:rPr>
                      <w:color w:val="auto"/>
                      <w:szCs w:val="21"/>
                      <w:highlight w:val="none"/>
                    </w:rPr>
                    <w:t>/℃</w:t>
                  </w:r>
                </w:p>
              </w:tc>
              <w:tc>
                <w:tcPr>
                  <w:tcW w:w="3787" w:type="dxa"/>
                  <w:tcBorders>
                    <w:tl2br w:val="nil"/>
                    <w:tr2bl w:val="nil"/>
                  </w:tcBorders>
                  <w:vAlign w:val="center"/>
                </w:tcPr>
                <w:p>
                  <w:pPr>
                    <w:spacing w:line="360" w:lineRule="auto"/>
                    <w:jc w:val="center"/>
                    <w:rPr>
                      <w:rFonts w:hint="default"/>
                      <w:color w:val="auto"/>
                      <w:szCs w:val="21"/>
                      <w:highlight w:val="none"/>
                      <w:lang w:val="en-US"/>
                    </w:rPr>
                  </w:pPr>
                  <w:r>
                    <w:rPr>
                      <w:rFonts w:hint="eastAsia"/>
                      <w:color w:val="auto"/>
                      <w:szCs w:val="21"/>
                      <w:highlight w:val="none"/>
                      <w:lang w:val="en-US" w:eastAsia="zh-CN"/>
                    </w:rPr>
                    <w:t>39.4</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spacing w:line="360" w:lineRule="auto"/>
                    <w:jc w:val="center"/>
                    <w:rPr>
                      <w:color w:val="auto"/>
                      <w:szCs w:val="21"/>
                      <w:highlight w:val="none"/>
                      <w:lang w:val="zh-CN"/>
                    </w:rPr>
                  </w:pPr>
                  <w:r>
                    <w:rPr>
                      <w:color w:val="auto"/>
                      <w:szCs w:val="21"/>
                      <w:highlight w:val="none"/>
                      <w:lang w:val="zh-CN"/>
                    </w:rPr>
                    <w:t>最低环境温度</w:t>
                  </w:r>
                  <w:r>
                    <w:rPr>
                      <w:color w:val="auto"/>
                      <w:szCs w:val="21"/>
                      <w:highlight w:val="none"/>
                    </w:rPr>
                    <w:t>/℃</w:t>
                  </w:r>
                </w:p>
              </w:tc>
              <w:tc>
                <w:tcPr>
                  <w:tcW w:w="3787" w:type="dxa"/>
                  <w:tcBorders>
                    <w:tl2br w:val="nil"/>
                    <w:tr2bl w:val="nil"/>
                  </w:tcBorders>
                  <w:vAlign w:val="center"/>
                </w:tcPr>
                <w:p>
                  <w:pPr>
                    <w:spacing w:line="360" w:lineRule="auto"/>
                    <w:jc w:val="center"/>
                    <w:rPr>
                      <w:rFonts w:hint="default"/>
                      <w:color w:val="auto"/>
                      <w:szCs w:val="21"/>
                      <w:highlight w:val="none"/>
                      <w:lang w:val="en-US"/>
                    </w:rPr>
                  </w:pPr>
                  <w:r>
                    <w:rPr>
                      <w:rFonts w:hint="eastAsia"/>
                      <w:color w:val="auto"/>
                      <w:szCs w:val="21"/>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spacing w:line="360" w:lineRule="auto"/>
                    <w:jc w:val="center"/>
                    <w:rPr>
                      <w:color w:val="auto"/>
                      <w:szCs w:val="21"/>
                      <w:highlight w:val="none"/>
                      <w:lang w:val="zh-CN"/>
                    </w:rPr>
                  </w:pPr>
                  <w:r>
                    <w:rPr>
                      <w:color w:val="auto"/>
                      <w:szCs w:val="21"/>
                      <w:highlight w:val="none"/>
                      <w:lang w:val="zh-CN"/>
                    </w:rPr>
                    <w:t>土地利用类型</w:t>
                  </w:r>
                </w:p>
              </w:tc>
              <w:tc>
                <w:tcPr>
                  <w:tcW w:w="3787" w:type="dxa"/>
                  <w:tcBorders>
                    <w:tl2br w:val="nil"/>
                    <w:tr2bl w:val="nil"/>
                  </w:tcBorders>
                  <w:vAlign w:val="center"/>
                </w:tcPr>
                <w:p>
                  <w:pPr>
                    <w:spacing w:line="360" w:lineRule="auto"/>
                    <w:jc w:val="center"/>
                    <w:rPr>
                      <w:color w:val="auto"/>
                      <w:szCs w:val="21"/>
                      <w:highlight w:val="none"/>
                    </w:rPr>
                  </w:pPr>
                  <w:r>
                    <w:rPr>
                      <w:rFonts w:hint="eastAsia"/>
                      <w:color w:val="auto"/>
                      <w:szCs w:val="21"/>
                      <w:highlight w:val="none"/>
                    </w:rPr>
                    <w:t>城市</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spacing w:line="360" w:lineRule="auto"/>
                    <w:jc w:val="center"/>
                    <w:rPr>
                      <w:color w:val="auto"/>
                      <w:szCs w:val="21"/>
                      <w:highlight w:val="none"/>
                      <w:lang w:val="zh-CN"/>
                    </w:rPr>
                  </w:pPr>
                  <w:r>
                    <w:rPr>
                      <w:color w:val="auto"/>
                      <w:szCs w:val="21"/>
                      <w:highlight w:val="none"/>
                      <w:lang w:val="zh-CN"/>
                    </w:rPr>
                    <w:t>区域湿度条件</w:t>
                  </w:r>
                </w:p>
              </w:tc>
              <w:tc>
                <w:tcPr>
                  <w:tcW w:w="3787" w:type="dxa"/>
                  <w:tcBorders>
                    <w:tl2br w:val="nil"/>
                    <w:tr2bl w:val="nil"/>
                  </w:tcBorders>
                  <w:vAlign w:val="center"/>
                </w:tcPr>
                <w:p>
                  <w:pPr>
                    <w:spacing w:line="360" w:lineRule="auto"/>
                    <w:jc w:val="center"/>
                    <w:rPr>
                      <w:color w:val="auto"/>
                      <w:szCs w:val="21"/>
                      <w:highlight w:val="none"/>
                    </w:rPr>
                  </w:pPr>
                  <w:r>
                    <w:rPr>
                      <w:color w:val="auto"/>
                      <w:szCs w:val="21"/>
                      <w:highlight w:val="none"/>
                    </w:rPr>
                    <w:t>潮湿</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restart"/>
                  <w:tcBorders>
                    <w:tl2br w:val="nil"/>
                    <w:tr2bl w:val="nil"/>
                  </w:tcBorders>
                  <w:vAlign w:val="center"/>
                </w:tcPr>
                <w:p>
                  <w:pPr>
                    <w:spacing w:line="360" w:lineRule="auto"/>
                    <w:jc w:val="center"/>
                    <w:rPr>
                      <w:color w:val="auto"/>
                      <w:szCs w:val="21"/>
                      <w:highlight w:val="none"/>
                      <w:lang w:val="zh-CN"/>
                    </w:rPr>
                  </w:pPr>
                  <w:r>
                    <w:rPr>
                      <w:color w:val="auto"/>
                      <w:szCs w:val="21"/>
                      <w:highlight w:val="none"/>
                      <w:lang w:val="zh-CN"/>
                    </w:rPr>
                    <w:t>是否考虑地形</w:t>
                  </w:r>
                </w:p>
              </w:tc>
              <w:tc>
                <w:tcPr>
                  <w:tcW w:w="2370" w:type="dxa"/>
                  <w:tcBorders>
                    <w:tl2br w:val="nil"/>
                    <w:tr2bl w:val="nil"/>
                  </w:tcBorders>
                  <w:vAlign w:val="center"/>
                </w:tcPr>
                <w:p>
                  <w:pPr>
                    <w:spacing w:line="360" w:lineRule="auto"/>
                    <w:jc w:val="center"/>
                    <w:rPr>
                      <w:color w:val="auto"/>
                      <w:szCs w:val="21"/>
                      <w:highlight w:val="none"/>
                      <w:lang w:val="zh-CN"/>
                    </w:rPr>
                  </w:pPr>
                  <w:r>
                    <w:rPr>
                      <w:color w:val="auto"/>
                      <w:szCs w:val="21"/>
                      <w:highlight w:val="none"/>
                      <w:lang w:val="zh-CN"/>
                    </w:rPr>
                    <w:t>考虑地形</w:t>
                  </w:r>
                </w:p>
              </w:tc>
              <w:tc>
                <w:tcPr>
                  <w:tcW w:w="3787" w:type="dxa"/>
                  <w:tcBorders>
                    <w:tl2br w:val="nil"/>
                    <w:tr2bl w:val="nil"/>
                  </w:tcBorders>
                  <w:vAlign w:val="center"/>
                </w:tcPr>
                <w:p>
                  <w:pPr>
                    <w:spacing w:line="360" w:lineRule="auto"/>
                    <w:jc w:val="center"/>
                    <w:rPr>
                      <w:color w:val="auto"/>
                      <w:szCs w:val="21"/>
                      <w:highlight w:val="none"/>
                      <w:lang w:val="zh-CN"/>
                    </w:rPr>
                  </w:pPr>
                  <w:r>
                    <w:rPr>
                      <w:color w:val="auto"/>
                      <w:szCs w:val="21"/>
                      <w:highlight w:val="none"/>
                      <w:lang w:val="zh-CN"/>
                    </w:rPr>
                    <w:sym w:font="Wingdings 2" w:char="00A3"/>
                  </w:r>
                  <w:r>
                    <w:rPr>
                      <w:color w:val="auto"/>
                      <w:szCs w:val="21"/>
                      <w:highlight w:val="none"/>
                      <w:lang w:val="zh-CN"/>
                    </w:rPr>
                    <w:t>是</w:t>
                  </w:r>
                  <w:r>
                    <w:rPr>
                      <w:color w:val="auto"/>
                      <w:szCs w:val="21"/>
                      <w:highlight w:val="none"/>
                    </w:rPr>
                    <w:t xml:space="preserve">   </w:t>
                  </w:r>
                  <w:r>
                    <w:rPr>
                      <w:color w:val="auto"/>
                      <w:szCs w:val="21"/>
                      <w:highlight w:val="none"/>
                      <w:lang w:val="zh-CN"/>
                    </w:rPr>
                    <w:sym w:font="Wingdings 2" w:char="0052"/>
                  </w:r>
                  <w:r>
                    <w:rPr>
                      <w:color w:val="auto"/>
                      <w:szCs w:val="21"/>
                      <w:highlight w:val="none"/>
                      <w:lang w:val="zh-CN"/>
                    </w:rPr>
                    <w:t>否</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continue"/>
                  <w:tcBorders>
                    <w:tl2br w:val="nil"/>
                    <w:tr2bl w:val="nil"/>
                  </w:tcBorders>
                  <w:vAlign w:val="center"/>
                </w:tcPr>
                <w:p>
                  <w:pPr>
                    <w:spacing w:line="360" w:lineRule="auto"/>
                    <w:jc w:val="center"/>
                    <w:rPr>
                      <w:color w:val="auto"/>
                      <w:szCs w:val="21"/>
                      <w:highlight w:val="none"/>
                      <w:lang w:val="zh-CN"/>
                    </w:rPr>
                  </w:pPr>
                </w:p>
              </w:tc>
              <w:tc>
                <w:tcPr>
                  <w:tcW w:w="2370" w:type="dxa"/>
                  <w:tcBorders>
                    <w:tl2br w:val="nil"/>
                    <w:tr2bl w:val="nil"/>
                  </w:tcBorders>
                  <w:vAlign w:val="center"/>
                </w:tcPr>
                <w:p>
                  <w:pPr>
                    <w:spacing w:line="360" w:lineRule="auto"/>
                    <w:jc w:val="center"/>
                    <w:rPr>
                      <w:color w:val="auto"/>
                      <w:szCs w:val="21"/>
                      <w:highlight w:val="none"/>
                    </w:rPr>
                  </w:pPr>
                  <w:r>
                    <w:rPr>
                      <w:color w:val="auto"/>
                      <w:szCs w:val="21"/>
                      <w:highlight w:val="none"/>
                      <w:lang w:val="zh-CN"/>
                    </w:rPr>
                    <w:t>地形数据分辨率</w:t>
                  </w:r>
                  <w:r>
                    <w:rPr>
                      <w:color w:val="auto"/>
                      <w:szCs w:val="21"/>
                      <w:highlight w:val="none"/>
                    </w:rPr>
                    <w:t>/m</w:t>
                  </w:r>
                </w:p>
              </w:tc>
              <w:tc>
                <w:tcPr>
                  <w:tcW w:w="3787" w:type="dxa"/>
                  <w:tcBorders>
                    <w:tl2br w:val="nil"/>
                    <w:tr2bl w:val="nil"/>
                  </w:tcBorders>
                  <w:vAlign w:val="center"/>
                </w:tcPr>
                <w:p>
                  <w:pPr>
                    <w:spacing w:line="360" w:lineRule="auto"/>
                    <w:jc w:val="center"/>
                    <w:rPr>
                      <w:color w:val="auto"/>
                      <w:szCs w:val="21"/>
                      <w:highlight w:val="none"/>
                    </w:rPr>
                  </w:pPr>
                  <w:r>
                    <w:rPr>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restart"/>
                  <w:tcBorders>
                    <w:tl2br w:val="nil"/>
                    <w:tr2bl w:val="nil"/>
                  </w:tcBorders>
                  <w:vAlign w:val="center"/>
                </w:tcPr>
                <w:p>
                  <w:pPr>
                    <w:spacing w:line="360" w:lineRule="auto"/>
                    <w:jc w:val="center"/>
                    <w:rPr>
                      <w:color w:val="auto"/>
                      <w:szCs w:val="21"/>
                      <w:highlight w:val="none"/>
                    </w:rPr>
                  </w:pPr>
                  <w:r>
                    <w:rPr>
                      <w:color w:val="auto"/>
                      <w:szCs w:val="21"/>
                      <w:highlight w:val="none"/>
                    </w:rPr>
                    <w:t>是否考虑岸线熏烟</w:t>
                  </w:r>
                </w:p>
              </w:tc>
              <w:tc>
                <w:tcPr>
                  <w:tcW w:w="2370" w:type="dxa"/>
                  <w:tcBorders>
                    <w:tl2br w:val="nil"/>
                    <w:tr2bl w:val="nil"/>
                  </w:tcBorders>
                  <w:vAlign w:val="center"/>
                </w:tcPr>
                <w:p>
                  <w:pPr>
                    <w:spacing w:line="360" w:lineRule="auto"/>
                    <w:jc w:val="center"/>
                    <w:rPr>
                      <w:color w:val="auto"/>
                      <w:szCs w:val="21"/>
                      <w:highlight w:val="none"/>
                      <w:lang w:val="zh-CN"/>
                    </w:rPr>
                  </w:pPr>
                  <w:r>
                    <w:rPr>
                      <w:color w:val="auto"/>
                      <w:szCs w:val="21"/>
                      <w:highlight w:val="none"/>
                      <w:lang w:val="zh-CN"/>
                    </w:rPr>
                    <w:t>考虑岸线熏烟</w:t>
                  </w:r>
                </w:p>
              </w:tc>
              <w:tc>
                <w:tcPr>
                  <w:tcW w:w="3787" w:type="dxa"/>
                  <w:tcBorders>
                    <w:tl2br w:val="nil"/>
                    <w:tr2bl w:val="nil"/>
                  </w:tcBorders>
                  <w:vAlign w:val="center"/>
                </w:tcPr>
                <w:p>
                  <w:pPr>
                    <w:spacing w:line="360" w:lineRule="auto"/>
                    <w:jc w:val="center"/>
                    <w:rPr>
                      <w:color w:val="auto"/>
                      <w:szCs w:val="21"/>
                      <w:highlight w:val="none"/>
                      <w:lang w:val="zh-CN"/>
                    </w:rPr>
                  </w:pPr>
                  <w:r>
                    <w:rPr>
                      <w:color w:val="auto"/>
                      <w:szCs w:val="21"/>
                      <w:highlight w:val="none"/>
                      <w:lang w:val="zh-CN"/>
                    </w:rPr>
                    <w:sym w:font="Wingdings 2" w:char="00A3"/>
                  </w:r>
                  <w:r>
                    <w:rPr>
                      <w:color w:val="auto"/>
                      <w:szCs w:val="21"/>
                      <w:highlight w:val="none"/>
                      <w:lang w:val="zh-CN"/>
                    </w:rPr>
                    <w:t>是</w:t>
                  </w:r>
                  <w:r>
                    <w:rPr>
                      <w:color w:val="auto"/>
                      <w:szCs w:val="21"/>
                      <w:highlight w:val="none"/>
                    </w:rPr>
                    <w:t xml:space="preserve">   </w:t>
                  </w:r>
                  <w:r>
                    <w:rPr>
                      <w:color w:val="auto"/>
                      <w:szCs w:val="21"/>
                      <w:highlight w:val="none"/>
                      <w:lang w:val="zh-CN"/>
                    </w:rPr>
                    <w:sym w:font="Wingdings 2" w:char="0052"/>
                  </w:r>
                  <w:r>
                    <w:rPr>
                      <w:color w:val="auto"/>
                      <w:szCs w:val="21"/>
                      <w:highlight w:val="none"/>
                      <w:lang w:val="zh-CN"/>
                    </w:rPr>
                    <w:t>否</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continue"/>
                  <w:tcBorders>
                    <w:tl2br w:val="nil"/>
                    <w:tr2bl w:val="nil"/>
                  </w:tcBorders>
                  <w:vAlign w:val="center"/>
                </w:tcPr>
                <w:p>
                  <w:pPr>
                    <w:spacing w:line="360" w:lineRule="auto"/>
                    <w:jc w:val="center"/>
                    <w:rPr>
                      <w:color w:val="auto"/>
                      <w:szCs w:val="21"/>
                      <w:highlight w:val="none"/>
                      <w:lang w:val="zh-CN"/>
                    </w:rPr>
                  </w:pPr>
                </w:p>
              </w:tc>
              <w:tc>
                <w:tcPr>
                  <w:tcW w:w="2370" w:type="dxa"/>
                  <w:tcBorders>
                    <w:tl2br w:val="nil"/>
                    <w:tr2bl w:val="nil"/>
                  </w:tcBorders>
                  <w:vAlign w:val="center"/>
                </w:tcPr>
                <w:p>
                  <w:pPr>
                    <w:spacing w:line="360" w:lineRule="auto"/>
                    <w:jc w:val="center"/>
                    <w:rPr>
                      <w:color w:val="auto"/>
                      <w:szCs w:val="21"/>
                      <w:highlight w:val="none"/>
                    </w:rPr>
                  </w:pPr>
                  <w:r>
                    <w:rPr>
                      <w:color w:val="auto"/>
                      <w:szCs w:val="21"/>
                      <w:highlight w:val="none"/>
                      <w:lang w:val="zh-CN"/>
                    </w:rPr>
                    <w:t>岸线距离</w:t>
                  </w:r>
                  <w:r>
                    <w:rPr>
                      <w:color w:val="auto"/>
                      <w:szCs w:val="21"/>
                      <w:highlight w:val="none"/>
                    </w:rPr>
                    <w:t>/km</w:t>
                  </w:r>
                </w:p>
              </w:tc>
              <w:tc>
                <w:tcPr>
                  <w:tcW w:w="3787" w:type="dxa"/>
                  <w:tcBorders>
                    <w:tl2br w:val="nil"/>
                    <w:tr2bl w:val="nil"/>
                  </w:tcBorders>
                  <w:vAlign w:val="center"/>
                </w:tcPr>
                <w:p>
                  <w:pPr>
                    <w:spacing w:line="360" w:lineRule="auto"/>
                    <w:jc w:val="center"/>
                    <w:rPr>
                      <w:color w:val="auto"/>
                      <w:szCs w:val="21"/>
                      <w:highlight w:val="none"/>
                    </w:rPr>
                  </w:pPr>
                  <w:r>
                    <w:rPr>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continue"/>
                  <w:tcBorders>
                    <w:tl2br w:val="nil"/>
                    <w:tr2bl w:val="nil"/>
                  </w:tcBorders>
                  <w:vAlign w:val="center"/>
                </w:tcPr>
                <w:p>
                  <w:pPr>
                    <w:spacing w:line="360" w:lineRule="auto"/>
                    <w:jc w:val="center"/>
                    <w:rPr>
                      <w:color w:val="auto"/>
                      <w:szCs w:val="21"/>
                      <w:highlight w:val="none"/>
                      <w:lang w:val="zh-CN"/>
                    </w:rPr>
                  </w:pPr>
                </w:p>
              </w:tc>
              <w:tc>
                <w:tcPr>
                  <w:tcW w:w="2370" w:type="dxa"/>
                  <w:tcBorders>
                    <w:tl2br w:val="nil"/>
                    <w:tr2bl w:val="nil"/>
                  </w:tcBorders>
                  <w:vAlign w:val="center"/>
                </w:tcPr>
                <w:p>
                  <w:pPr>
                    <w:spacing w:line="360" w:lineRule="auto"/>
                    <w:jc w:val="center"/>
                    <w:rPr>
                      <w:color w:val="auto"/>
                      <w:szCs w:val="21"/>
                      <w:highlight w:val="none"/>
                    </w:rPr>
                  </w:pPr>
                  <w:r>
                    <w:rPr>
                      <w:color w:val="auto"/>
                      <w:szCs w:val="21"/>
                      <w:highlight w:val="none"/>
                    </w:rPr>
                    <w:t>岸线方向/°</w:t>
                  </w:r>
                </w:p>
              </w:tc>
              <w:tc>
                <w:tcPr>
                  <w:tcW w:w="3787" w:type="dxa"/>
                  <w:tcBorders>
                    <w:tl2br w:val="nil"/>
                    <w:tr2bl w:val="nil"/>
                  </w:tcBorders>
                  <w:vAlign w:val="center"/>
                </w:tcPr>
                <w:p>
                  <w:pPr>
                    <w:spacing w:line="360" w:lineRule="auto"/>
                    <w:jc w:val="center"/>
                    <w:rPr>
                      <w:color w:val="auto"/>
                      <w:szCs w:val="21"/>
                      <w:highlight w:val="none"/>
                    </w:rPr>
                  </w:pPr>
                  <w:r>
                    <w:rPr>
                      <w:color w:val="auto"/>
                      <w:szCs w:val="21"/>
                      <w:highlight w:val="none"/>
                    </w:rPr>
                    <w:t>/</w:t>
                  </w:r>
                </w:p>
              </w:tc>
            </w:tr>
          </w:tbl>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本项目点源参数表</w:t>
            </w:r>
          </w:p>
          <w:tbl>
            <w:tblPr>
              <w:tblStyle w:val="40"/>
              <w:tblW w:w="93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765"/>
              <w:gridCol w:w="509"/>
              <w:gridCol w:w="572"/>
              <w:gridCol w:w="884"/>
              <w:gridCol w:w="856"/>
              <w:gridCol w:w="960"/>
              <w:gridCol w:w="900"/>
              <w:gridCol w:w="705"/>
              <w:gridCol w:w="840"/>
              <w:gridCol w:w="720"/>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blHeader/>
                <w:jc w:val="center"/>
              </w:trPr>
              <w:tc>
                <w:tcPr>
                  <w:tcW w:w="646" w:type="dxa"/>
                  <w:vMerge w:val="restart"/>
                  <w:tcBorders>
                    <w:tl2br w:val="nil"/>
                    <w:tr2bl w:val="nil"/>
                  </w:tcBorders>
                  <w:vAlign w:val="center"/>
                </w:tcPr>
                <w:p>
                  <w:pPr>
                    <w:autoSpaceDE w:val="0"/>
                    <w:autoSpaceDN w:val="0"/>
                    <w:jc w:val="center"/>
                    <w:rPr>
                      <w:b/>
                      <w:color w:val="auto"/>
                      <w:szCs w:val="21"/>
                      <w:highlight w:val="none"/>
                    </w:rPr>
                  </w:pPr>
                  <w:r>
                    <w:rPr>
                      <w:b/>
                      <w:color w:val="auto"/>
                      <w:szCs w:val="21"/>
                      <w:highlight w:val="none"/>
                    </w:rPr>
                    <w:t>排气筒编号</w:t>
                  </w:r>
                </w:p>
              </w:tc>
              <w:tc>
                <w:tcPr>
                  <w:tcW w:w="765" w:type="dxa"/>
                  <w:vMerge w:val="restart"/>
                  <w:tcBorders>
                    <w:tl2br w:val="nil"/>
                    <w:tr2bl w:val="nil"/>
                  </w:tcBorders>
                  <w:vAlign w:val="center"/>
                </w:tcPr>
                <w:p>
                  <w:pPr>
                    <w:autoSpaceDE w:val="0"/>
                    <w:autoSpaceDN w:val="0"/>
                    <w:jc w:val="center"/>
                    <w:rPr>
                      <w:color w:val="auto"/>
                      <w:szCs w:val="21"/>
                      <w:highlight w:val="none"/>
                    </w:rPr>
                  </w:pPr>
                  <w:r>
                    <w:rPr>
                      <w:b/>
                      <w:color w:val="auto"/>
                      <w:szCs w:val="21"/>
                      <w:highlight w:val="none"/>
                    </w:rPr>
                    <w:t>污染物</w:t>
                  </w:r>
                </w:p>
              </w:tc>
              <w:tc>
                <w:tcPr>
                  <w:tcW w:w="1081" w:type="dxa"/>
                  <w:gridSpan w:val="2"/>
                  <w:tcBorders>
                    <w:tl2br w:val="nil"/>
                    <w:tr2bl w:val="nil"/>
                  </w:tcBorders>
                  <w:vAlign w:val="center"/>
                </w:tcPr>
                <w:p>
                  <w:pPr>
                    <w:autoSpaceDE w:val="0"/>
                    <w:autoSpaceDN w:val="0"/>
                    <w:jc w:val="center"/>
                    <w:rPr>
                      <w:b/>
                      <w:color w:val="auto"/>
                      <w:szCs w:val="21"/>
                      <w:highlight w:val="none"/>
                    </w:rPr>
                  </w:pPr>
                  <w:r>
                    <w:rPr>
                      <w:b/>
                      <w:color w:val="auto"/>
                      <w:szCs w:val="21"/>
                      <w:highlight w:val="none"/>
                    </w:rPr>
                    <w:t>排气筒底部中心坐标/m</w:t>
                  </w:r>
                </w:p>
              </w:tc>
              <w:tc>
                <w:tcPr>
                  <w:tcW w:w="884" w:type="dxa"/>
                  <w:vMerge w:val="restart"/>
                  <w:tcBorders>
                    <w:tl2br w:val="nil"/>
                    <w:tr2bl w:val="nil"/>
                  </w:tcBorders>
                  <w:vAlign w:val="center"/>
                </w:tcPr>
                <w:p>
                  <w:pPr>
                    <w:autoSpaceDE w:val="0"/>
                    <w:autoSpaceDN w:val="0"/>
                    <w:jc w:val="center"/>
                    <w:rPr>
                      <w:color w:val="auto"/>
                      <w:szCs w:val="21"/>
                      <w:highlight w:val="none"/>
                    </w:rPr>
                  </w:pPr>
                  <w:r>
                    <w:rPr>
                      <w:b/>
                      <w:bCs/>
                      <w:color w:val="auto"/>
                      <w:szCs w:val="21"/>
                      <w:highlight w:val="none"/>
                    </w:rPr>
                    <w:t>排气筒底部海拔高度/m</w:t>
                  </w:r>
                </w:p>
              </w:tc>
              <w:tc>
                <w:tcPr>
                  <w:tcW w:w="856" w:type="dxa"/>
                  <w:vMerge w:val="restart"/>
                  <w:tcBorders>
                    <w:tl2br w:val="nil"/>
                    <w:tr2bl w:val="nil"/>
                  </w:tcBorders>
                  <w:vAlign w:val="center"/>
                </w:tcPr>
                <w:p>
                  <w:pPr>
                    <w:jc w:val="center"/>
                    <w:rPr>
                      <w:color w:val="auto"/>
                      <w:szCs w:val="21"/>
                      <w:highlight w:val="none"/>
                    </w:rPr>
                  </w:pPr>
                  <w:r>
                    <w:rPr>
                      <w:b/>
                      <w:bCs/>
                      <w:color w:val="auto"/>
                      <w:szCs w:val="21"/>
                      <w:highlight w:val="none"/>
                    </w:rPr>
                    <w:t>排气筒高度（m）</w:t>
                  </w:r>
                </w:p>
              </w:tc>
              <w:tc>
                <w:tcPr>
                  <w:tcW w:w="960" w:type="dxa"/>
                  <w:vMerge w:val="restart"/>
                  <w:tcBorders>
                    <w:tl2br w:val="nil"/>
                    <w:tr2bl w:val="nil"/>
                  </w:tcBorders>
                  <w:vAlign w:val="center"/>
                </w:tcPr>
                <w:p>
                  <w:pPr>
                    <w:autoSpaceDE w:val="0"/>
                    <w:autoSpaceDN w:val="0"/>
                    <w:jc w:val="center"/>
                    <w:rPr>
                      <w:color w:val="auto"/>
                      <w:szCs w:val="21"/>
                      <w:highlight w:val="none"/>
                    </w:rPr>
                  </w:pPr>
                  <w:r>
                    <w:rPr>
                      <w:b/>
                      <w:bCs/>
                      <w:color w:val="auto"/>
                      <w:szCs w:val="21"/>
                      <w:highlight w:val="none"/>
                    </w:rPr>
                    <w:t>排气筒出口内径（m）</w:t>
                  </w:r>
                </w:p>
              </w:tc>
              <w:tc>
                <w:tcPr>
                  <w:tcW w:w="900" w:type="dxa"/>
                  <w:vMerge w:val="restart"/>
                  <w:tcBorders>
                    <w:tl2br w:val="nil"/>
                    <w:tr2bl w:val="nil"/>
                  </w:tcBorders>
                  <w:vAlign w:val="center"/>
                </w:tcPr>
                <w:p>
                  <w:pPr>
                    <w:autoSpaceDE w:val="0"/>
                    <w:autoSpaceDN w:val="0"/>
                    <w:jc w:val="center"/>
                    <w:rPr>
                      <w:b/>
                      <w:color w:val="auto"/>
                      <w:szCs w:val="21"/>
                      <w:highlight w:val="none"/>
                    </w:rPr>
                  </w:pPr>
                  <w:r>
                    <w:rPr>
                      <w:b/>
                      <w:color w:val="auto"/>
                      <w:szCs w:val="21"/>
                      <w:highlight w:val="none"/>
                    </w:rPr>
                    <w:t>烟气流速</w:t>
                  </w:r>
                </w:p>
                <w:p>
                  <w:pPr>
                    <w:autoSpaceDE w:val="0"/>
                    <w:autoSpaceDN w:val="0"/>
                    <w:jc w:val="center"/>
                    <w:rPr>
                      <w:b/>
                      <w:color w:val="auto"/>
                      <w:szCs w:val="21"/>
                      <w:highlight w:val="none"/>
                    </w:rPr>
                  </w:pPr>
                  <w:r>
                    <w:rPr>
                      <w:b/>
                      <w:color w:val="auto"/>
                      <w:szCs w:val="21"/>
                      <w:highlight w:val="none"/>
                    </w:rPr>
                    <w:t>/（m/s）</w:t>
                  </w:r>
                </w:p>
              </w:tc>
              <w:tc>
                <w:tcPr>
                  <w:tcW w:w="705" w:type="dxa"/>
                  <w:vMerge w:val="restart"/>
                  <w:tcBorders>
                    <w:tl2br w:val="nil"/>
                    <w:tr2bl w:val="nil"/>
                  </w:tcBorders>
                  <w:vAlign w:val="center"/>
                </w:tcPr>
                <w:p>
                  <w:pPr>
                    <w:autoSpaceDE w:val="0"/>
                    <w:autoSpaceDN w:val="0"/>
                    <w:jc w:val="center"/>
                    <w:rPr>
                      <w:b/>
                      <w:color w:val="auto"/>
                      <w:szCs w:val="21"/>
                      <w:highlight w:val="none"/>
                    </w:rPr>
                  </w:pPr>
                  <w:r>
                    <w:rPr>
                      <w:b/>
                      <w:color w:val="auto"/>
                      <w:szCs w:val="21"/>
                      <w:highlight w:val="none"/>
                    </w:rPr>
                    <w:t>烟气温度/℃</w:t>
                  </w:r>
                </w:p>
              </w:tc>
              <w:tc>
                <w:tcPr>
                  <w:tcW w:w="840" w:type="dxa"/>
                  <w:vMerge w:val="restart"/>
                  <w:tcBorders>
                    <w:tl2br w:val="nil"/>
                    <w:tr2bl w:val="nil"/>
                  </w:tcBorders>
                  <w:vAlign w:val="center"/>
                </w:tcPr>
                <w:p>
                  <w:pPr>
                    <w:autoSpaceDE w:val="0"/>
                    <w:autoSpaceDN w:val="0"/>
                    <w:jc w:val="center"/>
                    <w:rPr>
                      <w:b/>
                      <w:color w:val="auto"/>
                      <w:szCs w:val="21"/>
                      <w:highlight w:val="none"/>
                    </w:rPr>
                  </w:pPr>
                  <w:r>
                    <w:rPr>
                      <w:b/>
                      <w:color w:val="auto"/>
                      <w:szCs w:val="21"/>
                      <w:highlight w:val="none"/>
                    </w:rPr>
                    <w:t>年排放小时数/h</w:t>
                  </w:r>
                </w:p>
              </w:tc>
              <w:tc>
                <w:tcPr>
                  <w:tcW w:w="720" w:type="dxa"/>
                  <w:vMerge w:val="restart"/>
                  <w:tcBorders>
                    <w:tl2br w:val="nil"/>
                    <w:tr2bl w:val="nil"/>
                  </w:tcBorders>
                  <w:vAlign w:val="center"/>
                </w:tcPr>
                <w:p>
                  <w:pPr>
                    <w:autoSpaceDE w:val="0"/>
                    <w:autoSpaceDN w:val="0"/>
                    <w:jc w:val="center"/>
                    <w:rPr>
                      <w:b/>
                      <w:color w:val="auto"/>
                      <w:szCs w:val="21"/>
                      <w:highlight w:val="none"/>
                    </w:rPr>
                  </w:pPr>
                  <w:r>
                    <w:rPr>
                      <w:b/>
                      <w:color w:val="auto"/>
                      <w:szCs w:val="21"/>
                      <w:highlight w:val="none"/>
                    </w:rPr>
                    <w:t>排放工况</w:t>
                  </w:r>
                </w:p>
              </w:tc>
              <w:tc>
                <w:tcPr>
                  <w:tcW w:w="945" w:type="dxa"/>
                  <w:vMerge w:val="restart"/>
                  <w:tcBorders>
                    <w:tl2br w:val="nil"/>
                    <w:tr2bl w:val="nil"/>
                  </w:tcBorders>
                  <w:vAlign w:val="center"/>
                </w:tcPr>
                <w:p>
                  <w:pPr>
                    <w:autoSpaceDE w:val="0"/>
                    <w:autoSpaceDN w:val="0"/>
                    <w:jc w:val="center"/>
                    <w:rPr>
                      <w:b/>
                      <w:color w:val="auto"/>
                      <w:szCs w:val="21"/>
                      <w:highlight w:val="none"/>
                    </w:rPr>
                  </w:pPr>
                  <w:r>
                    <w:rPr>
                      <w:b/>
                      <w:color w:val="auto"/>
                      <w:szCs w:val="21"/>
                      <w:highlight w:val="none"/>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646" w:type="dxa"/>
                  <w:vMerge w:val="continue"/>
                  <w:tcBorders>
                    <w:tl2br w:val="nil"/>
                    <w:tr2bl w:val="nil"/>
                  </w:tcBorders>
                  <w:vAlign w:val="center"/>
                </w:tcPr>
                <w:p>
                  <w:pPr>
                    <w:autoSpaceDE w:val="0"/>
                    <w:autoSpaceDN w:val="0"/>
                    <w:jc w:val="center"/>
                    <w:rPr>
                      <w:color w:val="auto"/>
                      <w:szCs w:val="21"/>
                      <w:highlight w:val="none"/>
                    </w:rPr>
                  </w:pPr>
                </w:p>
              </w:tc>
              <w:tc>
                <w:tcPr>
                  <w:tcW w:w="765" w:type="dxa"/>
                  <w:vMerge w:val="continue"/>
                  <w:tcBorders>
                    <w:tl2br w:val="nil"/>
                    <w:tr2bl w:val="nil"/>
                  </w:tcBorders>
                  <w:vAlign w:val="center"/>
                </w:tcPr>
                <w:p>
                  <w:pPr>
                    <w:autoSpaceDE w:val="0"/>
                    <w:autoSpaceDN w:val="0"/>
                    <w:jc w:val="center"/>
                    <w:rPr>
                      <w:color w:val="auto"/>
                      <w:szCs w:val="21"/>
                      <w:highlight w:val="none"/>
                    </w:rPr>
                  </w:pPr>
                </w:p>
              </w:tc>
              <w:tc>
                <w:tcPr>
                  <w:tcW w:w="509" w:type="dxa"/>
                  <w:tcBorders>
                    <w:tl2br w:val="nil"/>
                    <w:tr2bl w:val="nil"/>
                  </w:tcBorders>
                  <w:vAlign w:val="center"/>
                </w:tcPr>
                <w:p>
                  <w:pPr>
                    <w:autoSpaceDE w:val="0"/>
                    <w:autoSpaceDN w:val="0"/>
                    <w:jc w:val="center"/>
                    <w:rPr>
                      <w:color w:val="auto"/>
                      <w:szCs w:val="21"/>
                      <w:highlight w:val="none"/>
                    </w:rPr>
                  </w:pPr>
                  <w:r>
                    <w:rPr>
                      <w:color w:val="auto"/>
                      <w:szCs w:val="21"/>
                      <w:highlight w:val="none"/>
                    </w:rPr>
                    <w:t>X</w:t>
                  </w:r>
                </w:p>
              </w:tc>
              <w:tc>
                <w:tcPr>
                  <w:tcW w:w="572" w:type="dxa"/>
                  <w:tcBorders>
                    <w:tl2br w:val="nil"/>
                    <w:tr2bl w:val="nil"/>
                  </w:tcBorders>
                  <w:vAlign w:val="center"/>
                </w:tcPr>
                <w:p>
                  <w:pPr>
                    <w:autoSpaceDE w:val="0"/>
                    <w:autoSpaceDN w:val="0"/>
                    <w:jc w:val="center"/>
                    <w:rPr>
                      <w:color w:val="auto"/>
                      <w:szCs w:val="21"/>
                      <w:highlight w:val="none"/>
                    </w:rPr>
                  </w:pPr>
                  <w:r>
                    <w:rPr>
                      <w:color w:val="auto"/>
                      <w:szCs w:val="21"/>
                      <w:highlight w:val="none"/>
                    </w:rPr>
                    <w:t>Y</w:t>
                  </w:r>
                </w:p>
              </w:tc>
              <w:tc>
                <w:tcPr>
                  <w:tcW w:w="884" w:type="dxa"/>
                  <w:vMerge w:val="continue"/>
                  <w:tcBorders>
                    <w:tl2br w:val="nil"/>
                    <w:tr2bl w:val="nil"/>
                  </w:tcBorders>
                  <w:vAlign w:val="center"/>
                </w:tcPr>
                <w:p>
                  <w:pPr>
                    <w:autoSpaceDE w:val="0"/>
                    <w:autoSpaceDN w:val="0"/>
                    <w:jc w:val="center"/>
                    <w:rPr>
                      <w:color w:val="auto"/>
                      <w:szCs w:val="21"/>
                      <w:highlight w:val="none"/>
                    </w:rPr>
                  </w:pPr>
                </w:p>
              </w:tc>
              <w:tc>
                <w:tcPr>
                  <w:tcW w:w="856" w:type="dxa"/>
                  <w:vMerge w:val="continue"/>
                  <w:tcBorders>
                    <w:tl2br w:val="nil"/>
                    <w:tr2bl w:val="nil"/>
                  </w:tcBorders>
                  <w:vAlign w:val="center"/>
                </w:tcPr>
                <w:p>
                  <w:pPr>
                    <w:autoSpaceDE w:val="0"/>
                    <w:autoSpaceDN w:val="0"/>
                    <w:jc w:val="center"/>
                    <w:rPr>
                      <w:color w:val="auto"/>
                      <w:szCs w:val="21"/>
                      <w:highlight w:val="none"/>
                    </w:rPr>
                  </w:pPr>
                </w:p>
              </w:tc>
              <w:tc>
                <w:tcPr>
                  <w:tcW w:w="960" w:type="dxa"/>
                  <w:vMerge w:val="continue"/>
                  <w:tcBorders>
                    <w:tl2br w:val="nil"/>
                    <w:tr2bl w:val="nil"/>
                  </w:tcBorders>
                  <w:vAlign w:val="center"/>
                </w:tcPr>
                <w:p>
                  <w:pPr>
                    <w:autoSpaceDE w:val="0"/>
                    <w:autoSpaceDN w:val="0"/>
                    <w:jc w:val="center"/>
                    <w:rPr>
                      <w:color w:val="auto"/>
                      <w:szCs w:val="21"/>
                      <w:highlight w:val="none"/>
                    </w:rPr>
                  </w:pPr>
                </w:p>
              </w:tc>
              <w:tc>
                <w:tcPr>
                  <w:tcW w:w="900" w:type="dxa"/>
                  <w:vMerge w:val="continue"/>
                  <w:tcBorders>
                    <w:tl2br w:val="nil"/>
                    <w:tr2bl w:val="nil"/>
                  </w:tcBorders>
                  <w:vAlign w:val="center"/>
                </w:tcPr>
                <w:p>
                  <w:pPr>
                    <w:autoSpaceDE w:val="0"/>
                    <w:autoSpaceDN w:val="0"/>
                    <w:jc w:val="center"/>
                    <w:rPr>
                      <w:color w:val="auto"/>
                      <w:szCs w:val="21"/>
                      <w:highlight w:val="none"/>
                    </w:rPr>
                  </w:pPr>
                </w:p>
              </w:tc>
              <w:tc>
                <w:tcPr>
                  <w:tcW w:w="705" w:type="dxa"/>
                  <w:vMerge w:val="continue"/>
                  <w:tcBorders>
                    <w:tl2br w:val="nil"/>
                    <w:tr2bl w:val="nil"/>
                  </w:tcBorders>
                  <w:vAlign w:val="center"/>
                </w:tcPr>
                <w:p>
                  <w:pPr>
                    <w:autoSpaceDE w:val="0"/>
                    <w:autoSpaceDN w:val="0"/>
                    <w:jc w:val="center"/>
                    <w:rPr>
                      <w:color w:val="auto"/>
                      <w:szCs w:val="21"/>
                      <w:highlight w:val="none"/>
                    </w:rPr>
                  </w:pPr>
                </w:p>
              </w:tc>
              <w:tc>
                <w:tcPr>
                  <w:tcW w:w="840" w:type="dxa"/>
                  <w:vMerge w:val="continue"/>
                  <w:tcBorders>
                    <w:tl2br w:val="nil"/>
                    <w:tr2bl w:val="nil"/>
                  </w:tcBorders>
                  <w:vAlign w:val="center"/>
                </w:tcPr>
                <w:p>
                  <w:pPr>
                    <w:autoSpaceDE w:val="0"/>
                    <w:autoSpaceDN w:val="0"/>
                    <w:jc w:val="center"/>
                    <w:rPr>
                      <w:color w:val="auto"/>
                      <w:szCs w:val="21"/>
                      <w:highlight w:val="none"/>
                    </w:rPr>
                  </w:pPr>
                </w:p>
              </w:tc>
              <w:tc>
                <w:tcPr>
                  <w:tcW w:w="720" w:type="dxa"/>
                  <w:vMerge w:val="continue"/>
                  <w:tcBorders>
                    <w:tl2br w:val="nil"/>
                    <w:tr2bl w:val="nil"/>
                  </w:tcBorders>
                  <w:vAlign w:val="center"/>
                </w:tcPr>
                <w:p>
                  <w:pPr>
                    <w:autoSpaceDE w:val="0"/>
                    <w:autoSpaceDN w:val="0"/>
                    <w:jc w:val="center"/>
                    <w:rPr>
                      <w:color w:val="auto"/>
                      <w:szCs w:val="21"/>
                      <w:highlight w:val="none"/>
                    </w:rPr>
                  </w:pPr>
                </w:p>
              </w:tc>
              <w:tc>
                <w:tcPr>
                  <w:tcW w:w="945" w:type="dxa"/>
                  <w:vMerge w:val="continue"/>
                  <w:tcBorders>
                    <w:tl2br w:val="nil"/>
                    <w:tr2bl w:val="nil"/>
                  </w:tcBorders>
                  <w:vAlign w:val="center"/>
                </w:tcPr>
                <w:p>
                  <w:pPr>
                    <w:autoSpaceDE w:val="0"/>
                    <w:autoSpaceDN w:val="0"/>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646" w:type="dxa"/>
                  <w:tcBorders>
                    <w:tl2br w:val="nil"/>
                    <w:tr2bl w:val="nil"/>
                  </w:tcBorders>
                  <w:vAlign w:val="center"/>
                </w:tcPr>
                <w:p>
                  <w:pPr>
                    <w:widowControl/>
                    <w:adjustRightInd w:val="0"/>
                    <w:snapToGrid w:val="0"/>
                    <w:jc w:val="center"/>
                    <w:rPr>
                      <w:color w:val="auto"/>
                      <w:szCs w:val="21"/>
                      <w:highlight w:val="none"/>
                    </w:rPr>
                  </w:pPr>
                  <w:r>
                    <w:rPr>
                      <w:color w:val="auto"/>
                      <w:szCs w:val="21"/>
                      <w:highlight w:val="none"/>
                    </w:rPr>
                    <w:t>G1</w:t>
                  </w:r>
                </w:p>
              </w:tc>
              <w:tc>
                <w:tcPr>
                  <w:tcW w:w="765" w:type="dxa"/>
                  <w:tcBorders>
                    <w:tl2br w:val="nil"/>
                    <w:tr2bl w:val="nil"/>
                  </w:tcBorders>
                  <w:vAlign w:val="center"/>
                </w:tcPr>
                <w:p>
                  <w:pPr>
                    <w:adjustRightInd w:val="0"/>
                    <w:snapToGrid w:val="0"/>
                    <w:jc w:val="center"/>
                    <w:rPr>
                      <w:color w:val="auto"/>
                      <w:szCs w:val="21"/>
                      <w:highlight w:val="none"/>
                    </w:rPr>
                  </w:pPr>
                  <w:r>
                    <w:rPr>
                      <w:color w:val="auto"/>
                      <w:szCs w:val="21"/>
                      <w:highlight w:val="none"/>
                    </w:rPr>
                    <w:t>非甲烷总烃</w:t>
                  </w:r>
                </w:p>
              </w:tc>
              <w:tc>
                <w:tcPr>
                  <w:tcW w:w="509" w:type="dxa"/>
                  <w:tcBorders>
                    <w:tl2br w:val="nil"/>
                    <w:tr2bl w:val="nil"/>
                  </w:tcBorders>
                  <w:vAlign w:val="center"/>
                </w:tcPr>
                <w:p>
                  <w:pPr>
                    <w:widowControl/>
                    <w:adjustRightInd w:val="0"/>
                    <w:snapToGrid w:val="0"/>
                    <w:jc w:val="center"/>
                    <w:rPr>
                      <w:color w:val="auto"/>
                      <w:szCs w:val="21"/>
                      <w:highlight w:val="none"/>
                    </w:rPr>
                  </w:pPr>
                  <w:r>
                    <w:rPr>
                      <w:rFonts w:hint="eastAsia"/>
                      <w:color w:val="auto"/>
                      <w:szCs w:val="21"/>
                      <w:highlight w:val="none"/>
                    </w:rPr>
                    <w:t>-1</w:t>
                  </w:r>
                </w:p>
              </w:tc>
              <w:tc>
                <w:tcPr>
                  <w:tcW w:w="572" w:type="dxa"/>
                  <w:tcBorders>
                    <w:tl2br w:val="nil"/>
                    <w:tr2bl w:val="nil"/>
                  </w:tcBorders>
                  <w:vAlign w:val="center"/>
                </w:tcPr>
                <w:p>
                  <w:pPr>
                    <w:widowControl/>
                    <w:adjustRightInd w:val="0"/>
                    <w:snapToGrid w:val="0"/>
                    <w:jc w:val="center"/>
                    <w:rPr>
                      <w:color w:val="auto"/>
                      <w:szCs w:val="21"/>
                      <w:highlight w:val="none"/>
                    </w:rPr>
                  </w:pPr>
                  <w:r>
                    <w:rPr>
                      <w:rFonts w:hint="eastAsia"/>
                      <w:color w:val="auto"/>
                      <w:szCs w:val="21"/>
                      <w:highlight w:val="none"/>
                    </w:rPr>
                    <w:t>-22</w:t>
                  </w:r>
                </w:p>
              </w:tc>
              <w:tc>
                <w:tcPr>
                  <w:tcW w:w="884" w:type="dxa"/>
                  <w:tcBorders>
                    <w:tl2br w:val="nil"/>
                    <w:tr2bl w:val="nil"/>
                  </w:tcBorders>
                  <w:vAlign w:val="center"/>
                </w:tcPr>
                <w:p>
                  <w:pPr>
                    <w:autoSpaceDE w:val="0"/>
                    <w:autoSpaceDN w:val="0"/>
                    <w:jc w:val="center"/>
                    <w:rPr>
                      <w:rFonts w:eastAsia="仿宋_GB2312"/>
                      <w:color w:val="auto"/>
                      <w:szCs w:val="21"/>
                      <w:highlight w:val="none"/>
                    </w:rPr>
                  </w:pPr>
                  <w:r>
                    <w:rPr>
                      <w:rFonts w:hint="eastAsia"/>
                      <w:color w:val="auto"/>
                      <w:szCs w:val="21"/>
                      <w:highlight w:val="none"/>
                    </w:rPr>
                    <w:t>12</w:t>
                  </w:r>
                </w:p>
              </w:tc>
              <w:tc>
                <w:tcPr>
                  <w:tcW w:w="856" w:type="dxa"/>
                  <w:tcBorders>
                    <w:tl2br w:val="nil"/>
                    <w:tr2bl w:val="nil"/>
                  </w:tcBorders>
                  <w:vAlign w:val="center"/>
                </w:tcPr>
                <w:p>
                  <w:pPr>
                    <w:autoSpaceDE w:val="0"/>
                    <w:autoSpaceDN w:val="0"/>
                    <w:jc w:val="center"/>
                    <w:rPr>
                      <w:rFonts w:eastAsia="仿宋_GB2312"/>
                      <w:color w:val="auto"/>
                      <w:szCs w:val="21"/>
                      <w:highlight w:val="none"/>
                    </w:rPr>
                  </w:pPr>
                  <w:r>
                    <w:rPr>
                      <w:color w:val="auto"/>
                      <w:szCs w:val="21"/>
                      <w:highlight w:val="none"/>
                    </w:rPr>
                    <w:t>15</w:t>
                  </w:r>
                </w:p>
              </w:tc>
              <w:tc>
                <w:tcPr>
                  <w:tcW w:w="960" w:type="dxa"/>
                  <w:tcBorders>
                    <w:tl2br w:val="nil"/>
                    <w:tr2bl w:val="nil"/>
                  </w:tcBorders>
                  <w:vAlign w:val="center"/>
                </w:tcPr>
                <w:p>
                  <w:pPr>
                    <w:autoSpaceDE w:val="0"/>
                    <w:autoSpaceDN w:val="0"/>
                    <w:jc w:val="center"/>
                    <w:rPr>
                      <w:rFonts w:hint="eastAsia" w:eastAsia="宋体"/>
                      <w:color w:val="auto"/>
                      <w:szCs w:val="21"/>
                      <w:highlight w:val="none"/>
                      <w:lang w:val="en-US" w:eastAsia="zh-CN"/>
                    </w:rPr>
                  </w:pPr>
                  <w:r>
                    <w:rPr>
                      <w:rFonts w:hint="eastAsia"/>
                      <w:color w:val="auto"/>
                      <w:szCs w:val="21"/>
                      <w:highlight w:val="none"/>
                    </w:rPr>
                    <w:t>0.4</w:t>
                  </w:r>
                  <w:r>
                    <w:rPr>
                      <w:rFonts w:hint="eastAsia"/>
                      <w:color w:val="auto"/>
                      <w:szCs w:val="21"/>
                      <w:highlight w:val="none"/>
                      <w:lang w:val="en-US" w:eastAsia="zh-CN"/>
                    </w:rPr>
                    <w:t>5</w:t>
                  </w:r>
                </w:p>
              </w:tc>
              <w:tc>
                <w:tcPr>
                  <w:tcW w:w="900" w:type="dxa"/>
                  <w:tcBorders>
                    <w:tl2br w:val="nil"/>
                    <w:tr2bl w:val="nil"/>
                  </w:tcBorders>
                  <w:vAlign w:val="center"/>
                </w:tcPr>
                <w:p>
                  <w:pPr>
                    <w:autoSpaceDE w:val="0"/>
                    <w:autoSpaceDN w:val="0"/>
                    <w:jc w:val="center"/>
                    <w:rPr>
                      <w:rFonts w:hint="default" w:eastAsia="宋体"/>
                      <w:color w:val="auto"/>
                      <w:szCs w:val="21"/>
                      <w:highlight w:val="none"/>
                      <w:lang w:val="en-US" w:eastAsia="zh-CN"/>
                    </w:rPr>
                  </w:pPr>
                  <w:r>
                    <w:rPr>
                      <w:rStyle w:val="46"/>
                      <w:rFonts w:hint="eastAsia"/>
                      <w:color w:val="auto"/>
                      <w:highlight w:val="none"/>
                      <w:lang w:val="en-US" w:eastAsia="zh-CN"/>
                    </w:rPr>
                    <w:t>14.3</w:t>
                  </w:r>
                </w:p>
              </w:tc>
              <w:tc>
                <w:tcPr>
                  <w:tcW w:w="705" w:type="dxa"/>
                  <w:tcBorders>
                    <w:tl2br w:val="nil"/>
                    <w:tr2bl w:val="nil"/>
                  </w:tcBorders>
                  <w:vAlign w:val="center"/>
                </w:tcPr>
                <w:p>
                  <w:pPr>
                    <w:autoSpaceDE w:val="0"/>
                    <w:autoSpaceDN w:val="0"/>
                    <w:jc w:val="center"/>
                    <w:rPr>
                      <w:color w:val="auto"/>
                      <w:szCs w:val="21"/>
                      <w:highlight w:val="none"/>
                    </w:rPr>
                  </w:pPr>
                  <w:r>
                    <w:rPr>
                      <w:color w:val="auto"/>
                      <w:szCs w:val="21"/>
                      <w:highlight w:val="none"/>
                    </w:rPr>
                    <w:t>25</w:t>
                  </w:r>
                </w:p>
              </w:tc>
              <w:tc>
                <w:tcPr>
                  <w:tcW w:w="840" w:type="dxa"/>
                  <w:tcBorders>
                    <w:tl2br w:val="nil"/>
                    <w:tr2bl w:val="nil"/>
                  </w:tcBorders>
                  <w:vAlign w:val="center"/>
                </w:tcPr>
                <w:p>
                  <w:pPr>
                    <w:autoSpaceDE w:val="0"/>
                    <w:autoSpaceDN w:val="0"/>
                    <w:jc w:val="center"/>
                    <w:rPr>
                      <w:color w:val="auto"/>
                      <w:szCs w:val="21"/>
                      <w:highlight w:val="none"/>
                    </w:rPr>
                  </w:pPr>
                  <w:r>
                    <w:rPr>
                      <w:color w:val="auto"/>
                      <w:szCs w:val="21"/>
                      <w:highlight w:val="none"/>
                    </w:rPr>
                    <w:t>2400</w:t>
                  </w:r>
                </w:p>
              </w:tc>
              <w:tc>
                <w:tcPr>
                  <w:tcW w:w="720" w:type="dxa"/>
                  <w:tcBorders>
                    <w:tl2br w:val="nil"/>
                    <w:tr2bl w:val="nil"/>
                  </w:tcBorders>
                  <w:vAlign w:val="center"/>
                </w:tcPr>
                <w:p>
                  <w:pPr>
                    <w:autoSpaceDE w:val="0"/>
                    <w:autoSpaceDN w:val="0"/>
                    <w:jc w:val="center"/>
                    <w:rPr>
                      <w:color w:val="auto"/>
                      <w:szCs w:val="21"/>
                      <w:highlight w:val="none"/>
                    </w:rPr>
                  </w:pPr>
                  <w:r>
                    <w:rPr>
                      <w:color w:val="auto"/>
                      <w:szCs w:val="21"/>
                      <w:highlight w:val="none"/>
                    </w:rPr>
                    <w:t>正常</w:t>
                  </w:r>
                </w:p>
              </w:tc>
              <w:tc>
                <w:tcPr>
                  <w:tcW w:w="945" w:type="dxa"/>
                  <w:tcBorders>
                    <w:tl2br w:val="nil"/>
                    <w:tr2bl w:val="nil"/>
                  </w:tcBorders>
                  <w:vAlign w:val="center"/>
                </w:tcPr>
                <w:p>
                  <w:pPr>
                    <w:autoSpaceDE w:val="0"/>
                    <w:autoSpaceDN w:val="0"/>
                    <w:jc w:val="center"/>
                    <w:rPr>
                      <w:rFonts w:hint="default" w:eastAsia="宋体"/>
                      <w:bCs/>
                      <w:color w:val="auto"/>
                      <w:szCs w:val="21"/>
                      <w:highlight w:val="none"/>
                      <w:lang w:val="en-US" w:eastAsia="zh-CN"/>
                    </w:rPr>
                  </w:pPr>
                  <w:r>
                    <w:rPr>
                      <w:rFonts w:hint="eastAsia"/>
                      <w:color w:val="auto"/>
                      <w:kern w:val="0"/>
                      <w:szCs w:val="21"/>
                      <w:highlight w:val="none"/>
                      <w:lang w:val="en-US" w:eastAsia="zh-CN"/>
                    </w:rPr>
                    <w:t>0.069</w:t>
                  </w:r>
                </w:p>
              </w:tc>
            </w:tr>
          </w:tbl>
          <w:p>
            <w:pPr>
              <w:pStyle w:val="138"/>
              <w:numPr>
                <w:ilvl w:val="0"/>
                <w:numId w:val="0"/>
              </w:numPr>
              <w:tabs>
                <w:tab w:val="left" w:pos="420"/>
              </w:tabs>
              <w:spacing w:line="360" w:lineRule="auto"/>
              <w:ind w:left="471" w:leftChars="0"/>
              <w:jc w:val="both"/>
              <w:rPr>
                <w:rFonts w:eastAsia="宋体" w:cs="Times New Roman"/>
                <w:b/>
                <w:color w:val="auto"/>
                <w:sz w:val="21"/>
                <w:szCs w:val="21"/>
                <w:highlight w:val="none"/>
              </w:rPr>
            </w:pPr>
          </w:p>
          <w:p>
            <w:pPr>
              <w:pStyle w:val="138"/>
              <w:numPr>
                <w:ilvl w:val="0"/>
                <w:numId w:val="0"/>
              </w:numPr>
              <w:tabs>
                <w:tab w:val="left" w:pos="420"/>
              </w:tabs>
              <w:spacing w:line="360" w:lineRule="auto"/>
              <w:ind w:left="471" w:leftChars="0"/>
              <w:jc w:val="both"/>
              <w:rPr>
                <w:rFonts w:eastAsia="宋体" w:cs="Times New Roman"/>
                <w:b/>
                <w:color w:val="auto"/>
                <w:sz w:val="21"/>
                <w:szCs w:val="21"/>
                <w:highlight w:val="none"/>
              </w:rPr>
            </w:pPr>
          </w:p>
          <w:p>
            <w:pPr>
              <w:pStyle w:val="138"/>
              <w:numPr>
                <w:ilvl w:val="0"/>
                <w:numId w:val="0"/>
              </w:numPr>
              <w:tabs>
                <w:tab w:val="left" w:pos="420"/>
              </w:tabs>
              <w:spacing w:line="360" w:lineRule="auto"/>
              <w:ind w:left="471" w:leftChars="0"/>
              <w:jc w:val="both"/>
              <w:rPr>
                <w:rFonts w:eastAsia="宋体" w:cs="Times New Roman"/>
                <w:b/>
                <w:color w:val="auto"/>
                <w:sz w:val="21"/>
                <w:szCs w:val="21"/>
                <w:highlight w:val="none"/>
              </w:rPr>
            </w:pP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项目面源参数表</w:t>
            </w:r>
          </w:p>
          <w:tbl>
            <w:tblPr>
              <w:tblStyle w:val="40"/>
              <w:tblW w:w="92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5"/>
              <w:gridCol w:w="683"/>
              <w:gridCol w:w="590"/>
              <w:gridCol w:w="548"/>
              <w:gridCol w:w="1061"/>
              <w:gridCol w:w="904"/>
              <w:gridCol w:w="860"/>
              <w:gridCol w:w="675"/>
              <w:gridCol w:w="865"/>
              <w:gridCol w:w="900"/>
              <w:gridCol w:w="765"/>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blHeader/>
                <w:jc w:val="center"/>
              </w:trPr>
              <w:tc>
                <w:tcPr>
                  <w:tcW w:w="525" w:type="dxa"/>
                  <w:vMerge w:val="restart"/>
                  <w:tcBorders>
                    <w:tl2br w:val="nil"/>
                    <w:tr2bl w:val="nil"/>
                  </w:tcBorders>
                  <w:vAlign w:val="center"/>
                </w:tcPr>
                <w:p>
                  <w:pPr>
                    <w:jc w:val="center"/>
                    <w:rPr>
                      <w:b/>
                      <w:color w:val="auto"/>
                      <w:szCs w:val="21"/>
                      <w:highlight w:val="none"/>
                    </w:rPr>
                  </w:pPr>
                  <w:r>
                    <w:rPr>
                      <w:b/>
                      <w:color w:val="auto"/>
                      <w:szCs w:val="21"/>
                      <w:highlight w:val="none"/>
                    </w:rPr>
                    <w:t>污染源</w:t>
                  </w:r>
                </w:p>
              </w:tc>
              <w:tc>
                <w:tcPr>
                  <w:tcW w:w="683" w:type="dxa"/>
                  <w:vMerge w:val="restart"/>
                  <w:tcBorders>
                    <w:tl2br w:val="nil"/>
                    <w:tr2bl w:val="nil"/>
                  </w:tcBorders>
                  <w:vAlign w:val="center"/>
                </w:tcPr>
                <w:p>
                  <w:pPr>
                    <w:jc w:val="center"/>
                    <w:rPr>
                      <w:b/>
                      <w:color w:val="auto"/>
                      <w:szCs w:val="21"/>
                      <w:highlight w:val="none"/>
                    </w:rPr>
                  </w:pPr>
                  <w:r>
                    <w:rPr>
                      <w:b/>
                      <w:color w:val="auto"/>
                      <w:szCs w:val="21"/>
                      <w:highlight w:val="none"/>
                    </w:rPr>
                    <w:t>污染物</w:t>
                  </w:r>
                </w:p>
              </w:tc>
              <w:tc>
                <w:tcPr>
                  <w:tcW w:w="1138" w:type="dxa"/>
                  <w:gridSpan w:val="2"/>
                  <w:tcBorders>
                    <w:tl2br w:val="nil"/>
                    <w:tr2bl w:val="nil"/>
                  </w:tcBorders>
                  <w:vAlign w:val="center"/>
                </w:tcPr>
                <w:p>
                  <w:pPr>
                    <w:autoSpaceDE w:val="0"/>
                    <w:autoSpaceDN w:val="0"/>
                    <w:jc w:val="center"/>
                    <w:rPr>
                      <w:b/>
                      <w:color w:val="auto"/>
                      <w:szCs w:val="21"/>
                      <w:highlight w:val="none"/>
                    </w:rPr>
                  </w:pPr>
                  <w:r>
                    <w:rPr>
                      <w:rFonts w:hint="eastAsia"/>
                      <w:b/>
                      <w:color w:val="auto"/>
                      <w:szCs w:val="21"/>
                      <w:highlight w:val="none"/>
                    </w:rPr>
                    <w:t>面源起点坐标/m</w:t>
                  </w:r>
                </w:p>
              </w:tc>
              <w:tc>
                <w:tcPr>
                  <w:tcW w:w="1061" w:type="dxa"/>
                  <w:vMerge w:val="restart"/>
                  <w:tcBorders>
                    <w:tl2br w:val="nil"/>
                    <w:tr2bl w:val="nil"/>
                  </w:tcBorders>
                  <w:vAlign w:val="center"/>
                </w:tcPr>
                <w:p>
                  <w:pPr>
                    <w:jc w:val="center"/>
                    <w:rPr>
                      <w:b/>
                      <w:color w:val="auto"/>
                      <w:szCs w:val="21"/>
                      <w:highlight w:val="none"/>
                    </w:rPr>
                  </w:pPr>
                  <w:r>
                    <w:rPr>
                      <w:rFonts w:hint="eastAsia"/>
                      <w:b/>
                      <w:color w:val="auto"/>
                      <w:szCs w:val="21"/>
                      <w:highlight w:val="none"/>
                    </w:rPr>
                    <w:t>面源海拔高度/m</w:t>
                  </w:r>
                </w:p>
              </w:tc>
              <w:tc>
                <w:tcPr>
                  <w:tcW w:w="904" w:type="dxa"/>
                  <w:vMerge w:val="restart"/>
                  <w:tcBorders>
                    <w:tl2br w:val="nil"/>
                    <w:tr2bl w:val="nil"/>
                  </w:tcBorders>
                  <w:vAlign w:val="center"/>
                </w:tcPr>
                <w:p>
                  <w:pPr>
                    <w:jc w:val="center"/>
                    <w:rPr>
                      <w:b/>
                      <w:color w:val="auto"/>
                      <w:szCs w:val="21"/>
                      <w:highlight w:val="none"/>
                    </w:rPr>
                  </w:pPr>
                  <w:r>
                    <w:rPr>
                      <w:b/>
                      <w:color w:val="auto"/>
                      <w:szCs w:val="21"/>
                      <w:highlight w:val="none"/>
                    </w:rPr>
                    <w:t>面源长度/m</w:t>
                  </w:r>
                </w:p>
              </w:tc>
              <w:tc>
                <w:tcPr>
                  <w:tcW w:w="860" w:type="dxa"/>
                  <w:vMerge w:val="restart"/>
                  <w:tcBorders>
                    <w:tl2br w:val="nil"/>
                    <w:tr2bl w:val="nil"/>
                  </w:tcBorders>
                  <w:vAlign w:val="center"/>
                </w:tcPr>
                <w:p>
                  <w:pPr>
                    <w:jc w:val="center"/>
                    <w:rPr>
                      <w:b/>
                      <w:color w:val="auto"/>
                      <w:szCs w:val="21"/>
                      <w:highlight w:val="none"/>
                    </w:rPr>
                  </w:pPr>
                  <w:r>
                    <w:rPr>
                      <w:b/>
                      <w:color w:val="auto"/>
                      <w:szCs w:val="21"/>
                      <w:highlight w:val="none"/>
                    </w:rPr>
                    <w:t>面源宽度/m</w:t>
                  </w:r>
                </w:p>
              </w:tc>
              <w:tc>
                <w:tcPr>
                  <w:tcW w:w="675" w:type="dxa"/>
                  <w:vMerge w:val="restart"/>
                  <w:tcBorders>
                    <w:tl2br w:val="nil"/>
                    <w:tr2bl w:val="nil"/>
                  </w:tcBorders>
                  <w:vAlign w:val="center"/>
                </w:tcPr>
                <w:p>
                  <w:pPr>
                    <w:jc w:val="center"/>
                    <w:rPr>
                      <w:b/>
                      <w:color w:val="auto"/>
                      <w:szCs w:val="21"/>
                      <w:highlight w:val="none"/>
                    </w:rPr>
                  </w:pPr>
                  <w:r>
                    <w:rPr>
                      <w:rFonts w:hint="eastAsia"/>
                      <w:b/>
                      <w:color w:val="auto"/>
                      <w:szCs w:val="21"/>
                      <w:highlight w:val="none"/>
                    </w:rPr>
                    <w:t>与正北向夹角/</w:t>
                  </w:r>
                  <w:r>
                    <w:rPr>
                      <w:b/>
                      <w:color w:val="auto"/>
                      <w:szCs w:val="21"/>
                      <w:highlight w:val="none"/>
                    </w:rPr>
                    <w:t>°</w:t>
                  </w:r>
                </w:p>
              </w:tc>
              <w:tc>
                <w:tcPr>
                  <w:tcW w:w="865" w:type="dxa"/>
                  <w:vMerge w:val="restart"/>
                  <w:tcBorders>
                    <w:tl2br w:val="nil"/>
                    <w:tr2bl w:val="nil"/>
                  </w:tcBorders>
                  <w:vAlign w:val="center"/>
                </w:tcPr>
                <w:p>
                  <w:pPr>
                    <w:jc w:val="center"/>
                    <w:rPr>
                      <w:color w:val="auto"/>
                      <w:highlight w:val="none"/>
                    </w:rPr>
                  </w:pPr>
                  <w:r>
                    <w:rPr>
                      <w:b/>
                      <w:color w:val="auto"/>
                      <w:szCs w:val="21"/>
                      <w:highlight w:val="none"/>
                    </w:rPr>
                    <w:t>面源</w:t>
                  </w:r>
                  <w:r>
                    <w:rPr>
                      <w:rFonts w:hint="eastAsia"/>
                      <w:b/>
                      <w:color w:val="auto"/>
                      <w:szCs w:val="21"/>
                      <w:highlight w:val="none"/>
                    </w:rPr>
                    <w:t>有效排放</w:t>
                  </w:r>
                  <w:r>
                    <w:rPr>
                      <w:b/>
                      <w:color w:val="auto"/>
                      <w:szCs w:val="21"/>
                      <w:highlight w:val="none"/>
                    </w:rPr>
                    <w:t>高度/m</w:t>
                  </w:r>
                </w:p>
              </w:tc>
              <w:tc>
                <w:tcPr>
                  <w:tcW w:w="900" w:type="dxa"/>
                  <w:vMerge w:val="restart"/>
                  <w:tcBorders>
                    <w:tl2br w:val="nil"/>
                    <w:tr2bl w:val="nil"/>
                  </w:tcBorders>
                  <w:vAlign w:val="center"/>
                </w:tcPr>
                <w:p>
                  <w:pPr>
                    <w:jc w:val="center"/>
                    <w:rPr>
                      <w:b/>
                      <w:color w:val="auto"/>
                      <w:szCs w:val="21"/>
                      <w:highlight w:val="none"/>
                    </w:rPr>
                  </w:pPr>
                  <w:r>
                    <w:rPr>
                      <w:rFonts w:hint="eastAsia"/>
                      <w:b/>
                      <w:color w:val="auto"/>
                      <w:szCs w:val="21"/>
                      <w:highlight w:val="none"/>
                    </w:rPr>
                    <w:t>年排放小时数/h</w:t>
                  </w:r>
                </w:p>
              </w:tc>
              <w:tc>
                <w:tcPr>
                  <w:tcW w:w="765" w:type="dxa"/>
                  <w:vMerge w:val="restart"/>
                  <w:tcBorders>
                    <w:tl2br w:val="nil"/>
                    <w:tr2bl w:val="nil"/>
                  </w:tcBorders>
                  <w:vAlign w:val="center"/>
                </w:tcPr>
                <w:p>
                  <w:pPr>
                    <w:jc w:val="center"/>
                    <w:rPr>
                      <w:b/>
                      <w:color w:val="auto"/>
                      <w:szCs w:val="21"/>
                      <w:highlight w:val="none"/>
                    </w:rPr>
                  </w:pPr>
                  <w:r>
                    <w:rPr>
                      <w:rFonts w:hint="eastAsia"/>
                      <w:b/>
                      <w:color w:val="auto"/>
                      <w:szCs w:val="21"/>
                      <w:highlight w:val="none"/>
                    </w:rPr>
                    <w:t>排放工况</w:t>
                  </w:r>
                </w:p>
              </w:tc>
              <w:tc>
                <w:tcPr>
                  <w:tcW w:w="825" w:type="dxa"/>
                  <w:vMerge w:val="restart"/>
                  <w:tcBorders>
                    <w:tl2br w:val="nil"/>
                    <w:tr2bl w:val="nil"/>
                  </w:tcBorders>
                  <w:vAlign w:val="center"/>
                </w:tcPr>
                <w:p>
                  <w:pPr>
                    <w:jc w:val="center"/>
                    <w:rPr>
                      <w:b/>
                      <w:color w:val="auto"/>
                      <w:szCs w:val="21"/>
                      <w:highlight w:val="none"/>
                    </w:rPr>
                  </w:pPr>
                  <w:r>
                    <w:rPr>
                      <w:b/>
                      <w:color w:val="auto"/>
                      <w:szCs w:val="21"/>
                      <w:highlight w:val="none"/>
                    </w:rPr>
                    <w:t>排放</w:t>
                  </w:r>
                  <w:r>
                    <w:rPr>
                      <w:rFonts w:hint="eastAsia"/>
                      <w:b/>
                      <w:color w:val="auto"/>
                      <w:szCs w:val="21"/>
                      <w:highlight w:val="none"/>
                    </w:rPr>
                    <w:t>速率</w:t>
                  </w:r>
                  <w:r>
                    <w:rPr>
                      <w:b/>
                      <w:color w:val="auto"/>
                      <w:szCs w:val="21"/>
                      <w:highlight w:val="none"/>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525" w:type="dxa"/>
                  <w:vMerge w:val="continue"/>
                  <w:tcBorders>
                    <w:tl2br w:val="nil"/>
                    <w:tr2bl w:val="nil"/>
                  </w:tcBorders>
                  <w:vAlign w:val="center"/>
                </w:tcPr>
                <w:p>
                  <w:pPr>
                    <w:jc w:val="center"/>
                    <w:rPr>
                      <w:color w:val="auto"/>
                      <w:highlight w:val="none"/>
                    </w:rPr>
                  </w:pPr>
                </w:p>
              </w:tc>
              <w:tc>
                <w:tcPr>
                  <w:tcW w:w="683" w:type="dxa"/>
                  <w:vMerge w:val="continue"/>
                  <w:tcBorders>
                    <w:tl2br w:val="nil"/>
                    <w:tr2bl w:val="nil"/>
                  </w:tcBorders>
                  <w:vAlign w:val="center"/>
                </w:tcPr>
                <w:p>
                  <w:pPr>
                    <w:jc w:val="center"/>
                    <w:rPr>
                      <w:color w:val="auto"/>
                      <w:highlight w:val="none"/>
                    </w:rPr>
                  </w:pPr>
                </w:p>
              </w:tc>
              <w:tc>
                <w:tcPr>
                  <w:tcW w:w="590" w:type="dxa"/>
                  <w:tcBorders>
                    <w:tl2br w:val="nil"/>
                    <w:tr2bl w:val="nil"/>
                  </w:tcBorders>
                  <w:vAlign w:val="center"/>
                </w:tcPr>
                <w:p>
                  <w:pPr>
                    <w:autoSpaceDE w:val="0"/>
                    <w:autoSpaceDN w:val="0"/>
                    <w:jc w:val="center"/>
                    <w:rPr>
                      <w:color w:val="auto"/>
                      <w:highlight w:val="none"/>
                    </w:rPr>
                  </w:pPr>
                  <w:r>
                    <w:rPr>
                      <w:rFonts w:hint="eastAsia"/>
                      <w:color w:val="auto"/>
                      <w:highlight w:val="none"/>
                    </w:rPr>
                    <w:t>X</w:t>
                  </w:r>
                </w:p>
              </w:tc>
              <w:tc>
                <w:tcPr>
                  <w:tcW w:w="548" w:type="dxa"/>
                  <w:tcBorders>
                    <w:tl2br w:val="nil"/>
                    <w:tr2bl w:val="nil"/>
                  </w:tcBorders>
                  <w:vAlign w:val="center"/>
                </w:tcPr>
                <w:p>
                  <w:pPr>
                    <w:autoSpaceDE w:val="0"/>
                    <w:autoSpaceDN w:val="0"/>
                    <w:jc w:val="center"/>
                    <w:rPr>
                      <w:color w:val="auto"/>
                      <w:highlight w:val="none"/>
                    </w:rPr>
                  </w:pPr>
                  <w:r>
                    <w:rPr>
                      <w:rFonts w:hint="eastAsia"/>
                      <w:color w:val="auto"/>
                      <w:highlight w:val="none"/>
                    </w:rPr>
                    <w:t>Y</w:t>
                  </w:r>
                </w:p>
              </w:tc>
              <w:tc>
                <w:tcPr>
                  <w:tcW w:w="1061" w:type="dxa"/>
                  <w:vMerge w:val="continue"/>
                  <w:tcBorders>
                    <w:tl2br w:val="nil"/>
                    <w:tr2bl w:val="nil"/>
                  </w:tcBorders>
                  <w:vAlign w:val="center"/>
                </w:tcPr>
                <w:p>
                  <w:pPr>
                    <w:jc w:val="center"/>
                    <w:rPr>
                      <w:color w:val="auto"/>
                      <w:highlight w:val="none"/>
                    </w:rPr>
                  </w:pPr>
                </w:p>
              </w:tc>
              <w:tc>
                <w:tcPr>
                  <w:tcW w:w="904" w:type="dxa"/>
                  <w:vMerge w:val="continue"/>
                  <w:tcBorders>
                    <w:tl2br w:val="nil"/>
                    <w:tr2bl w:val="nil"/>
                  </w:tcBorders>
                  <w:vAlign w:val="center"/>
                </w:tcPr>
                <w:p>
                  <w:pPr>
                    <w:jc w:val="center"/>
                    <w:rPr>
                      <w:color w:val="auto"/>
                      <w:highlight w:val="none"/>
                    </w:rPr>
                  </w:pPr>
                </w:p>
              </w:tc>
              <w:tc>
                <w:tcPr>
                  <w:tcW w:w="860" w:type="dxa"/>
                  <w:vMerge w:val="continue"/>
                  <w:tcBorders>
                    <w:tl2br w:val="nil"/>
                    <w:tr2bl w:val="nil"/>
                  </w:tcBorders>
                  <w:vAlign w:val="center"/>
                </w:tcPr>
                <w:p>
                  <w:pPr>
                    <w:jc w:val="center"/>
                    <w:rPr>
                      <w:color w:val="auto"/>
                      <w:highlight w:val="none"/>
                    </w:rPr>
                  </w:pPr>
                </w:p>
              </w:tc>
              <w:tc>
                <w:tcPr>
                  <w:tcW w:w="675" w:type="dxa"/>
                  <w:vMerge w:val="continue"/>
                  <w:tcBorders>
                    <w:tl2br w:val="nil"/>
                    <w:tr2bl w:val="nil"/>
                  </w:tcBorders>
                  <w:vAlign w:val="center"/>
                </w:tcPr>
                <w:p>
                  <w:pPr>
                    <w:jc w:val="center"/>
                    <w:rPr>
                      <w:color w:val="auto"/>
                      <w:highlight w:val="none"/>
                    </w:rPr>
                  </w:pPr>
                </w:p>
              </w:tc>
              <w:tc>
                <w:tcPr>
                  <w:tcW w:w="865" w:type="dxa"/>
                  <w:vMerge w:val="continue"/>
                  <w:tcBorders>
                    <w:tl2br w:val="nil"/>
                    <w:tr2bl w:val="nil"/>
                  </w:tcBorders>
                  <w:vAlign w:val="center"/>
                </w:tcPr>
                <w:p>
                  <w:pPr>
                    <w:jc w:val="center"/>
                    <w:rPr>
                      <w:color w:val="auto"/>
                      <w:highlight w:val="none"/>
                    </w:rPr>
                  </w:pPr>
                </w:p>
              </w:tc>
              <w:tc>
                <w:tcPr>
                  <w:tcW w:w="900" w:type="dxa"/>
                  <w:vMerge w:val="continue"/>
                  <w:tcBorders>
                    <w:tl2br w:val="nil"/>
                    <w:tr2bl w:val="nil"/>
                  </w:tcBorders>
                  <w:vAlign w:val="center"/>
                </w:tcPr>
                <w:p>
                  <w:pPr>
                    <w:jc w:val="center"/>
                    <w:rPr>
                      <w:color w:val="auto"/>
                      <w:highlight w:val="none"/>
                    </w:rPr>
                  </w:pPr>
                </w:p>
              </w:tc>
              <w:tc>
                <w:tcPr>
                  <w:tcW w:w="765" w:type="dxa"/>
                  <w:vMerge w:val="continue"/>
                  <w:tcBorders>
                    <w:tl2br w:val="nil"/>
                    <w:tr2bl w:val="nil"/>
                  </w:tcBorders>
                  <w:vAlign w:val="center"/>
                </w:tcPr>
                <w:p>
                  <w:pPr>
                    <w:jc w:val="center"/>
                    <w:rPr>
                      <w:color w:val="auto"/>
                      <w:highlight w:val="none"/>
                    </w:rPr>
                  </w:pPr>
                </w:p>
              </w:tc>
              <w:tc>
                <w:tcPr>
                  <w:tcW w:w="825" w:type="dxa"/>
                  <w:vMerge w:val="continue"/>
                  <w:tcBorders>
                    <w:tl2br w:val="nil"/>
                    <w:tr2bl w:val="nil"/>
                  </w:tcBorders>
                  <w:vAlign w:val="center"/>
                </w:tcPr>
                <w:p>
                  <w:pPr>
                    <w:jc w:val="center"/>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25" w:type="dxa"/>
                  <w:vMerge w:val="restart"/>
                  <w:tcBorders>
                    <w:tl2br w:val="nil"/>
                    <w:tr2bl w:val="nil"/>
                  </w:tcBorders>
                  <w:vAlign w:val="center"/>
                </w:tcPr>
                <w:p>
                  <w:pPr>
                    <w:widowControl/>
                    <w:adjustRightInd w:val="0"/>
                    <w:snapToGrid w:val="0"/>
                    <w:jc w:val="center"/>
                    <w:rPr>
                      <w:bCs/>
                      <w:color w:val="auto"/>
                      <w:szCs w:val="21"/>
                      <w:highlight w:val="none"/>
                    </w:rPr>
                  </w:pPr>
                  <w:r>
                    <w:rPr>
                      <w:rFonts w:hint="eastAsia"/>
                      <w:color w:val="auto"/>
                      <w:szCs w:val="21"/>
                      <w:highlight w:val="none"/>
                    </w:rPr>
                    <w:t>生产车间</w:t>
                  </w:r>
                </w:p>
              </w:tc>
              <w:tc>
                <w:tcPr>
                  <w:tcW w:w="683" w:type="dxa"/>
                  <w:tcBorders>
                    <w:tl2br w:val="nil"/>
                    <w:tr2bl w:val="nil"/>
                  </w:tcBorders>
                  <w:vAlign w:val="center"/>
                </w:tcPr>
                <w:p>
                  <w:pPr>
                    <w:pStyle w:val="47"/>
                    <w:jc w:val="center"/>
                    <w:rPr>
                      <w:color w:val="auto"/>
                      <w:sz w:val="21"/>
                      <w:szCs w:val="21"/>
                      <w:highlight w:val="none"/>
                    </w:rPr>
                  </w:pPr>
                  <w:r>
                    <w:rPr>
                      <w:rFonts w:ascii="Times New Roman" w:cs="Times New Roman"/>
                      <w:color w:val="auto"/>
                      <w:sz w:val="21"/>
                      <w:szCs w:val="21"/>
                      <w:highlight w:val="none"/>
                    </w:rPr>
                    <w:t>非甲烷总烃</w:t>
                  </w:r>
                </w:p>
              </w:tc>
              <w:tc>
                <w:tcPr>
                  <w:tcW w:w="590" w:type="dxa"/>
                  <w:vMerge w:val="restart"/>
                  <w:tcBorders>
                    <w:tl2br w:val="nil"/>
                    <w:tr2bl w:val="nil"/>
                  </w:tcBorders>
                  <w:vAlign w:val="center"/>
                </w:tcPr>
                <w:p>
                  <w:pPr>
                    <w:widowControl/>
                    <w:adjustRightInd w:val="0"/>
                    <w:snapToGrid w:val="0"/>
                    <w:jc w:val="center"/>
                    <w:rPr>
                      <w:color w:val="auto"/>
                      <w:szCs w:val="21"/>
                      <w:highlight w:val="none"/>
                    </w:rPr>
                  </w:pPr>
                  <w:r>
                    <w:rPr>
                      <w:rFonts w:hint="eastAsia"/>
                      <w:color w:val="auto"/>
                      <w:szCs w:val="21"/>
                      <w:highlight w:val="none"/>
                    </w:rPr>
                    <w:t>-13</w:t>
                  </w:r>
                </w:p>
              </w:tc>
              <w:tc>
                <w:tcPr>
                  <w:tcW w:w="548" w:type="dxa"/>
                  <w:vMerge w:val="restart"/>
                  <w:tcBorders>
                    <w:tl2br w:val="nil"/>
                    <w:tr2bl w:val="nil"/>
                  </w:tcBorders>
                  <w:vAlign w:val="center"/>
                </w:tcPr>
                <w:p>
                  <w:pPr>
                    <w:widowControl/>
                    <w:adjustRightInd w:val="0"/>
                    <w:snapToGrid w:val="0"/>
                    <w:jc w:val="center"/>
                    <w:rPr>
                      <w:color w:val="auto"/>
                      <w:szCs w:val="21"/>
                      <w:highlight w:val="none"/>
                    </w:rPr>
                  </w:pPr>
                  <w:r>
                    <w:rPr>
                      <w:color w:val="auto"/>
                      <w:szCs w:val="21"/>
                      <w:highlight w:val="none"/>
                    </w:rPr>
                    <w:t>-</w:t>
                  </w:r>
                  <w:r>
                    <w:rPr>
                      <w:rFonts w:hint="eastAsia"/>
                      <w:color w:val="auto"/>
                      <w:szCs w:val="21"/>
                      <w:highlight w:val="none"/>
                    </w:rPr>
                    <w:t>23</w:t>
                  </w:r>
                </w:p>
              </w:tc>
              <w:tc>
                <w:tcPr>
                  <w:tcW w:w="1061" w:type="dxa"/>
                  <w:vMerge w:val="restart"/>
                  <w:tcBorders>
                    <w:tl2br w:val="nil"/>
                    <w:tr2bl w:val="nil"/>
                  </w:tcBorders>
                  <w:vAlign w:val="center"/>
                </w:tcPr>
                <w:p>
                  <w:pPr>
                    <w:jc w:val="center"/>
                    <w:rPr>
                      <w:color w:val="auto"/>
                      <w:szCs w:val="21"/>
                      <w:highlight w:val="none"/>
                    </w:rPr>
                  </w:pPr>
                  <w:r>
                    <w:rPr>
                      <w:rFonts w:hint="eastAsia"/>
                      <w:color w:val="auto"/>
                      <w:szCs w:val="21"/>
                      <w:highlight w:val="none"/>
                    </w:rPr>
                    <w:t>12</w:t>
                  </w:r>
                </w:p>
              </w:tc>
              <w:tc>
                <w:tcPr>
                  <w:tcW w:w="904" w:type="dxa"/>
                  <w:vMerge w:val="restart"/>
                  <w:tcBorders>
                    <w:tl2br w:val="nil"/>
                    <w:tr2bl w:val="nil"/>
                  </w:tcBorders>
                  <w:vAlign w:val="center"/>
                </w:tcPr>
                <w:p>
                  <w:pPr>
                    <w:jc w:val="center"/>
                    <w:rPr>
                      <w:color w:val="auto"/>
                      <w:highlight w:val="none"/>
                    </w:rPr>
                  </w:pPr>
                  <w:r>
                    <w:rPr>
                      <w:rFonts w:hint="eastAsia"/>
                      <w:color w:val="auto"/>
                      <w:highlight w:val="none"/>
                    </w:rPr>
                    <w:t>30</w:t>
                  </w:r>
                </w:p>
              </w:tc>
              <w:tc>
                <w:tcPr>
                  <w:tcW w:w="860" w:type="dxa"/>
                  <w:vMerge w:val="restart"/>
                  <w:tcBorders>
                    <w:tl2br w:val="nil"/>
                    <w:tr2bl w:val="nil"/>
                  </w:tcBorders>
                  <w:vAlign w:val="center"/>
                </w:tcPr>
                <w:p>
                  <w:pPr>
                    <w:pStyle w:val="155"/>
                    <w:tabs>
                      <w:tab w:val="left" w:pos="-2848"/>
                    </w:tabs>
                    <w:rPr>
                      <w:color w:val="auto"/>
                      <w:szCs w:val="21"/>
                      <w:highlight w:val="none"/>
                    </w:rPr>
                  </w:pPr>
                  <w:r>
                    <w:rPr>
                      <w:rFonts w:hint="eastAsia"/>
                      <w:color w:val="auto"/>
                      <w:szCs w:val="21"/>
                      <w:highlight w:val="none"/>
                    </w:rPr>
                    <w:t>27</w:t>
                  </w:r>
                </w:p>
              </w:tc>
              <w:tc>
                <w:tcPr>
                  <w:tcW w:w="675" w:type="dxa"/>
                  <w:vMerge w:val="restart"/>
                  <w:tcBorders>
                    <w:tl2br w:val="nil"/>
                    <w:tr2bl w:val="nil"/>
                  </w:tcBorders>
                  <w:vAlign w:val="center"/>
                </w:tcPr>
                <w:p>
                  <w:pPr>
                    <w:jc w:val="center"/>
                    <w:rPr>
                      <w:color w:val="auto"/>
                      <w:szCs w:val="21"/>
                      <w:highlight w:val="none"/>
                    </w:rPr>
                  </w:pPr>
                  <w:r>
                    <w:rPr>
                      <w:rFonts w:hint="eastAsia"/>
                      <w:color w:val="auto"/>
                      <w:szCs w:val="21"/>
                      <w:highlight w:val="none"/>
                    </w:rPr>
                    <w:t>0</w:t>
                  </w:r>
                </w:p>
              </w:tc>
              <w:tc>
                <w:tcPr>
                  <w:tcW w:w="865" w:type="dxa"/>
                  <w:vMerge w:val="restart"/>
                  <w:tcBorders>
                    <w:tl2br w:val="nil"/>
                    <w:tr2bl w:val="nil"/>
                  </w:tcBorders>
                  <w:vAlign w:val="center"/>
                </w:tcPr>
                <w:p>
                  <w:pPr>
                    <w:jc w:val="center"/>
                    <w:rPr>
                      <w:rFonts w:eastAsia="仿宋_GB2312"/>
                      <w:color w:val="auto"/>
                      <w:highlight w:val="none"/>
                    </w:rPr>
                  </w:pPr>
                  <w:r>
                    <w:rPr>
                      <w:rFonts w:hint="eastAsia"/>
                      <w:color w:val="auto"/>
                      <w:szCs w:val="21"/>
                      <w:highlight w:val="none"/>
                    </w:rPr>
                    <w:t>3</w:t>
                  </w:r>
                </w:p>
              </w:tc>
              <w:tc>
                <w:tcPr>
                  <w:tcW w:w="900" w:type="dxa"/>
                  <w:vMerge w:val="restart"/>
                  <w:tcBorders>
                    <w:tl2br w:val="nil"/>
                    <w:tr2bl w:val="nil"/>
                  </w:tcBorders>
                  <w:vAlign w:val="center"/>
                </w:tcPr>
                <w:p>
                  <w:pPr>
                    <w:autoSpaceDE w:val="0"/>
                    <w:autoSpaceDN w:val="0"/>
                    <w:jc w:val="center"/>
                    <w:rPr>
                      <w:color w:val="auto"/>
                      <w:szCs w:val="21"/>
                      <w:highlight w:val="none"/>
                    </w:rPr>
                  </w:pPr>
                  <w:r>
                    <w:rPr>
                      <w:rFonts w:hint="eastAsia"/>
                      <w:color w:val="auto"/>
                      <w:szCs w:val="21"/>
                      <w:highlight w:val="none"/>
                    </w:rPr>
                    <w:t>2400</w:t>
                  </w:r>
                </w:p>
              </w:tc>
              <w:tc>
                <w:tcPr>
                  <w:tcW w:w="765" w:type="dxa"/>
                  <w:vMerge w:val="restart"/>
                  <w:tcBorders>
                    <w:tl2br w:val="nil"/>
                    <w:tr2bl w:val="nil"/>
                  </w:tcBorders>
                  <w:vAlign w:val="center"/>
                </w:tcPr>
                <w:p>
                  <w:pPr>
                    <w:autoSpaceDE w:val="0"/>
                    <w:autoSpaceDN w:val="0"/>
                    <w:jc w:val="center"/>
                    <w:rPr>
                      <w:color w:val="auto"/>
                      <w:szCs w:val="21"/>
                      <w:highlight w:val="none"/>
                    </w:rPr>
                  </w:pPr>
                  <w:r>
                    <w:rPr>
                      <w:rFonts w:hint="eastAsia"/>
                      <w:color w:val="auto"/>
                      <w:szCs w:val="21"/>
                      <w:highlight w:val="none"/>
                    </w:rPr>
                    <w:t>正常</w:t>
                  </w:r>
                </w:p>
              </w:tc>
              <w:tc>
                <w:tcPr>
                  <w:tcW w:w="825" w:type="dxa"/>
                  <w:tcBorders>
                    <w:tl2br w:val="nil"/>
                    <w:tr2bl w:val="nil"/>
                  </w:tcBorders>
                  <w:vAlign w:val="center"/>
                </w:tcPr>
                <w:p>
                  <w:pPr>
                    <w:autoSpaceDE w:val="0"/>
                    <w:autoSpaceDN w:val="0"/>
                    <w:jc w:val="center"/>
                    <w:rPr>
                      <w:rFonts w:hint="default" w:eastAsia="宋体"/>
                      <w:color w:val="auto"/>
                      <w:szCs w:val="21"/>
                      <w:highlight w:val="none"/>
                      <w:lang w:val="en-US" w:eastAsia="zh-CN"/>
                    </w:rPr>
                  </w:pPr>
                  <w:r>
                    <w:rPr>
                      <w:rFonts w:hint="eastAsia"/>
                      <w:color w:val="auto"/>
                      <w:szCs w:val="21"/>
                      <w:highlight w:val="no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525" w:type="dxa"/>
                  <w:vMerge w:val="continue"/>
                  <w:tcBorders>
                    <w:tl2br w:val="nil"/>
                    <w:tr2bl w:val="nil"/>
                  </w:tcBorders>
                  <w:vAlign w:val="center"/>
                </w:tcPr>
                <w:p>
                  <w:pPr>
                    <w:widowControl/>
                    <w:adjustRightInd w:val="0"/>
                    <w:snapToGrid w:val="0"/>
                    <w:jc w:val="center"/>
                    <w:rPr>
                      <w:color w:val="auto"/>
                      <w:szCs w:val="21"/>
                      <w:highlight w:val="none"/>
                    </w:rPr>
                  </w:pPr>
                </w:p>
              </w:tc>
              <w:tc>
                <w:tcPr>
                  <w:tcW w:w="683" w:type="dxa"/>
                  <w:tcBorders>
                    <w:tl2br w:val="nil"/>
                    <w:tr2bl w:val="nil"/>
                  </w:tcBorders>
                  <w:vAlign w:val="center"/>
                </w:tcPr>
                <w:p>
                  <w:pPr>
                    <w:pStyle w:val="47"/>
                    <w:jc w:val="center"/>
                    <w:rPr>
                      <w:color w:val="auto"/>
                      <w:sz w:val="21"/>
                      <w:szCs w:val="21"/>
                      <w:highlight w:val="none"/>
                    </w:rPr>
                  </w:pPr>
                  <w:r>
                    <w:rPr>
                      <w:rFonts w:ascii="Times New Roman" w:cs="Times New Roman"/>
                      <w:color w:val="auto"/>
                      <w:sz w:val="21"/>
                      <w:szCs w:val="21"/>
                      <w:highlight w:val="none"/>
                    </w:rPr>
                    <w:t>TSP</w:t>
                  </w:r>
                </w:p>
              </w:tc>
              <w:tc>
                <w:tcPr>
                  <w:tcW w:w="590" w:type="dxa"/>
                  <w:vMerge w:val="continue"/>
                  <w:tcBorders>
                    <w:tl2br w:val="nil"/>
                    <w:tr2bl w:val="nil"/>
                  </w:tcBorders>
                  <w:vAlign w:val="center"/>
                </w:tcPr>
                <w:p>
                  <w:pPr>
                    <w:widowControl/>
                    <w:adjustRightInd w:val="0"/>
                    <w:snapToGrid w:val="0"/>
                    <w:jc w:val="center"/>
                    <w:rPr>
                      <w:color w:val="auto"/>
                      <w:szCs w:val="21"/>
                      <w:highlight w:val="none"/>
                    </w:rPr>
                  </w:pPr>
                </w:p>
              </w:tc>
              <w:tc>
                <w:tcPr>
                  <w:tcW w:w="548" w:type="dxa"/>
                  <w:vMerge w:val="continue"/>
                  <w:tcBorders>
                    <w:tl2br w:val="nil"/>
                    <w:tr2bl w:val="nil"/>
                  </w:tcBorders>
                  <w:vAlign w:val="center"/>
                </w:tcPr>
                <w:p>
                  <w:pPr>
                    <w:widowControl/>
                    <w:adjustRightInd w:val="0"/>
                    <w:snapToGrid w:val="0"/>
                    <w:jc w:val="center"/>
                    <w:rPr>
                      <w:color w:val="auto"/>
                      <w:szCs w:val="21"/>
                      <w:highlight w:val="none"/>
                    </w:rPr>
                  </w:pPr>
                </w:p>
              </w:tc>
              <w:tc>
                <w:tcPr>
                  <w:tcW w:w="1061" w:type="dxa"/>
                  <w:vMerge w:val="continue"/>
                  <w:tcBorders>
                    <w:tl2br w:val="nil"/>
                    <w:tr2bl w:val="nil"/>
                  </w:tcBorders>
                  <w:vAlign w:val="center"/>
                </w:tcPr>
                <w:p>
                  <w:pPr>
                    <w:jc w:val="center"/>
                    <w:rPr>
                      <w:color w:val="auto"/>
                      <w:szCs w:val="21"/>
                      <w:highlight w:val="none"/>
                    </w:rPr>
                  </w:pPr>
                </w:p>
              </w:tc>
              <w:tc>
                <w:tcPr>
                  <w:tcW w:w="904" w:type="dxa"/>
                  <w:vMerge w:val="continue"/>
                  <w:tcBorders>
                    <w:tl2br w:val="nil"/>
                    <w:tr2bl w:val="nil"/>
                  </w:tcBorders>
                  <w:vAlign w:val="center"/>
                </w:tcPr>
                <w:p>
                  <w:pPr>
                    <w:jc w:val="center"/>
                    <w:rPr>
                      <w:color w:val="auto"/>
                      <w:szCs w:val="21"/>
                      <w:highlight w:val="none"/>
                    </w:rPr>
                  </w:pPr>
                </w:p>
              </w:tc>
              <w:tc>
                <w:tcPr>
                  <w:tcW w:w="860" w:type="dxa"/>
                  <w:vMerge w:val="continue"/>
                  <w:tcBorders>
                    <w:tl2br w:val="nil"/>
                    <w:tr2bl w:val="nil"/>
                  </w:tcBorders>
                  <w:vAlign w:val="center"/>
                </w:tcPr>
                <w:p>
                  <w:pPr>
                    <w:pStyle w:val="155"/>
                    <w:tabs>
                      <w:tab w:val="left" w:pos="-2848"/>
                    </w:tabs>
                    <w:rPr>
                      <w:color w:val="auto"/>
                      <w:szCs w:val="21"/>
                      <w:highlight w:val="none"/>
                    </w:rPr>
                  </w:pPr>
                </w:p>
              </w:tc>
              <w:tc>
                <w:tcPr>
                  <w:tcW w:w="675" w:type="dxa"/>
                  <w:vMerge w:val="continue"/>
                  <w:tcBorders>
                    <w:tl2br w:val="nil"/>
                    <w:tr2bl w:val="nil"/>
                  </w:tcBorders>
                  <w:vAlign w:val="center"/>
                </w:tcPr>
                <w:p>
                  <w:pPr>
                    <w:jc w:val="center"/>
                    <w:rPr>
                      <w:color w:val="auto"/>
                      <w:szCs w:val="21"/>
                      <w:highlight w:val="none"/>
                    </w:rPr>
                  </w:pPr>
                </w:p>
              </w:tc>
              <w:tc>
                <w:tcPr>
                  <w:tcW w:w="865" w:type="dxa"/>
                  <w:vMerge w:val="continue"/>
                  <w:tcBorders>
                    <w:tl2br w:val="nil"/>
                    <w:tr2bl w:val="nil"/>
                  </w:tcBorders>
                  <w:vAlign w:val="center"/>
                </w:tcPr>
                <w:p>
                  <w:pPr>
                    <w:jc w:val="center"/>
                    <w:rPr>
                      <w:color w:val="auto"/>
                      <w:szCs w:val="21"/>
                      <w:highlight w:val="none"/>
                    </w:rPr>
                  </w:pPr>
                </w:p>
              </w:tc>
              <w:tc>
                <w:tcPr>
                  <w:tcW w:w="900" w:type="dxa"/>
                  <w:vMerge w:val="continue"/>
                  <w:tcBorders>
                    <w:tl2br w:val="nil"/>
                    <w:tr2bl w:val="nil"/>
                  </w:tcBorders>
                  <w:vAlign w:val="center"/>
                </w:tcPr>
                <w:p>
                  <w:pPr>
                    <w:autoSpaceDE w:val="0"/>
                    <w:autoSpaceDN w:val="0"/>
                    <w:jc w:val="center"/>
                    <w:rPr>
                      <w:color w:val="auto"/>
                      <w:szCs w:val="21"/>
                      <w:highlight w:val="none"/>
                    </w:rPr>
                  </w:pPr>
                </w:p>
              </w:tc>
              <w:tc>
                <w:tcPr>
                  <w:tcW w:w="765" w:type="dxa"/>
                  <w:vMerge w:val="continue"/>
                  <w:tcBorders>
                    <w:tl2br w:val="nil"/>
                    <w:tr2bl w:val="nil"/>
                  </w:tcBorders>
                  <w:vAlign w:val="center"/>
                </w:tcPr>
                <w:p>
                  <w:pPr>
                    <w:autoSpaceDE w:val="0"/>
                    <w:autoSpaceDN w:val="0"/>
                    <w:jc w:val="center"/>
                    <w:rPr>
                      <w:color w:val="auto"/>
                      <w:szCs w:val="21"/>
                      <w:highlight w:val="none"/>
                    </w:rPr>
                  </w:pPr>
                </w:p>
              </w:tc>
              <w:tc>
                <w:tcPr>
                  <w:tcW w:w="825" w:type="dxa"/>
                  <w:tcBorders>
                    <w:tl2br w:val="nil"/>
                    <w:tr2bl w:val="nil"/>
                  </w:tcBorders>
                  <w:vAlign w:val="center"/>
                </w:tcPr>
                <w:p>
                  <w:pPr>
                    <w:autoSpaceDE w:val="0"/>
                    <w:autoSpaceDN w:val="0"/>
                    <w:jc w:val="center"/>
                    <w:rPr>
                      <w:rFonts w:hint="eastAsia" w:eastAsia="宋体"/>
                      <w:color w:val="auto"/>
                      <w:szCs w:val="21"/>
                      <w:highlight w:val="none"/>
                      <w:lang w:eastAsia="zh-CN"/>
                    </w:rPr>
                  </w:pPr>
                  <w:r>
                    <w:rPr>
                      <w:rFonts w:hint="eastAsia"/>
                      <w:color w:val="auto"/>
                      <w:szCs w:val="21"/>
                      <w:highlight w:val="none"/>
                    </w:rPr>
                    <w:t>0.00</w:t>
                  </w:r>
                  <w:r>
                    <w:rPr>
                      <w:rFonts w:hint="eastAsia"/>
                      <w:color w:val="auto"/>
                      <w:szCs w:val="21"/>
                      <w:highlight w:val="none"/>
                      <w:lang w:val="en-US" w:eastAsia="zh-CN"/>
                    </w:rPr>
                    <w:t>2</w:t>
                  </w:r>
                </w:p>
              </w:tc>
            </w:tr>
          </w:tbl>
          <w:p>
            <w:pPr>
              <w:pStyle w:val="138"/>
              <w:tabs>
                <w:tab w:val="left" w:pos="420"/>
              </w:tabs>
              <w:spacing w:line="360" w:lineRule="auto"/>
              <w:ind w:left="471" w:firstLine="0"/>
              <w:jc w:val="both"/>
              <w:rPr>
                <w:rFonts w:eastAsia="宋体" w:cs="Times New Roman"/>
                <w:b/>
                <w:bCs/>
                <w:color w:val="auto"/>
                <w:sz w:val="21"/>
                <w:szCs w:val="21"/>
                <w:highlight w:val="none"/>
              </w:rPr>
            </w:pPr>
            <w:r>
              <w:rPr>
                <w:rFonts w:hint="eastAsia" w:eastAsia="宋体" w:cs="Times New Roman"/>
                <w:b/>
                <w:bCs/>
                <w:color w:val="auto"/>
                <w:sz w:val="21"/>
                <w:szCs w:val="21"/>
                <w:highlight w:val="none"/>
              </w:rPr>
              <w:t>说明：面源有效排放高度以车间窗户离地面的高度来取值。</w:t>
            </w:r>
          </w:p>
          <w:p>
            <w:pPr>
              <w:widowControl/>
              <w:tabs>
                <w:tab w:val="left" w:pos="360"/>
                <w:tab w:val="left" w:pos="420"/>
              </w:tabs>
              <w:adjustRightInd w:val="0"/>
              <w:snapToGrid w:val="0"/>
              <w:spacing w:line="360" w:lineRule="auto"/>
              <w:ind w:left="471"/>
              <w:rPr>
                <w:rFonts w:eastAsia="宋体" w:cs="Times New Roman"/>
                <w:color w:val="auto"/>
                <w:highlight w:val="none"/>
              </w:rPr>
            </w:pPr>
            <w:r>
              <w:rPr>
                <w:color w:val="auto"/>
                <w:kern w:val="0"/>
                <w:sz w:val="24"/>
                <w:szCs w:val="20"/>
                <w:highlight w:val="none"/>
              </w:rPr>
              <w:t>本项目筛选气象、筛选方案</w:t>
            </w:r>
            <w:r>
              <w:rPr>
                <w:rFonts w:hint="eastAsia"/>
                <w:color w:val="auto"/>
                <w:kern w:val="0"/>
                <w:sz w:val="24"/>
                <w:szCs w:val="20"/>
                <w:highlight w:val="none"/>
              </w:rPr>
              <w:t>参数</w:t>
            </w:r>
            <w:r>
              <w:rPr>
                <w:color w:val="auto"/>
                <w:kern w:val="0"/>
                <w:sz w:val="24"/>
                <w:szCs w:val="20"/>
                <w:highlight w:val="none"/>
              </w:rPr>
              <w:t>输入截图</w:t>
            </w:r>
            <w:r>
              <w:rPr>
                <w:rFonts w:hint="eastAsia"/>
                <w:color w:val="auto"/>
                <w:kern w:val="0"/>
                <w:sz w:val="24"/>
                <w:szCs w:val="20"/>
                <w:highlight w:val="none"/>
              </w:rPr>
              <w:t>如下：</w:t>
            </w:r>
          </w:p>
          <w:p>
            <w:pPr>
              <w:pStyle w:val="138"/>
              <w:tabs>
                <w:tab w:val="left" w:pos="420"/>
              </w:tabs>
              <w:ind w:left="471" w:firstLine="0"/>
              <w:rPr>
                <w:color w:val="auto"/>
                <w:highlight w:val="none"/>
              </w:rPr>
            </w:pPr>
            <w:r>
              <w:rPr>
                <w:color w:val="auto"/>
                <w:highlight w:val="none"/>
              </w:rPr>
              <w:drawing>
                <wp:inline distT="0" distB="0" distL="114300" distR="114300">
                  <wp:extent cx="4878070" cy="3834130"/>
                  <wp:effectExtent l="9525" t="9525" r="27305" b="23495"/>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37"/>
                          <a:stretch>
                            <a:fillRect/>
                          </a:stretch>
                        </pic:blipFill>
                        <pic:spPr>
                          <a:xfrm>
                            <a:off x="0" y="0"/>
                            <a:ext cx="4878070" cy="3834130"/>
                          </a:xfrm>
                          <a:prstGeom prst="rect">
                            <a:avLst/>
                          </a:prstGeom>
                          <a:noFill/>
                          <a:ln>
                            <a:solidFill>
                              <a:schemeClr val="tx1"/>
                            </a:solidFill>
                          </a:ln>
                        </pic:spPr>
                      </pic:pic>
                    </a:graphicData>
                  </a:graphic>
                </wp:inline>
              </w:drawing>
            </w:r>
          </w:p>
          <w:p>
            <w:pPr>
              <w:pStyle w:val="138"/>
              <w:tabs>
                <w:tab w:val="left" w:pos="420"/>
              </w:tabs>
              <w:ind w:left="471" w:firstLine="0"/>
              <w:rPr>
                <w:rFonts w:hint="eastAsia" w:eastAsia="宋体" w:cs="Times New Roman"/>
                <w:b/>
                <w:bCs/>
                <w:color w:val="auto"/>
                <w:sz w:val="21"/>
                <w:szCs w:val="21"/>
                <w:highlight w:val="none"/>
              </w:rPr>
            </w:pPr>
            <w:r>
              <w:rPr>
                <w:rFonts w:hint="eastAsia" w:eastAsia="宋体" w:cs="Times New Roman"/>
                <w:b/>
                <w:bCs/>
                <w:color w:val="auto"/>
                <w:sz w:val="21"/>
                <w:szCs w:val="21"/>
                <w:highlight w:val="none"/>
              </w:rPr>
              <w:t>图1 项目</w:t>
            </w:r>
            <w:r>
              <w:rPr>
                <w:rFonts w:eastAsia="宋体" w:cs="Times New Roman"/>
                <w:b/>
                <w:bCs/>
                <w:color w:val="auto"/>
                <w:sz w:val="21"/>
                <w:szCs w:val="21"/>
                <w:highlight w:val="none"/>
              </w:rPr>
              <w:t>筛选气象</w:t>
            </w:r>
            <w:r>
              <w:rPr>
                <w:rFonts w:hint="eastAsia" w:eastAsia="宋体" w:cs="Times New Roman"/>
                <w:b/>
                <w:bCs/>
                <w:color w:val="auto"/>
                <w:sz w:val="21"/>
                <w:szCs w:val="21"/>
                <w:highlight w:val="none"/>
              </w:rPr>
              <w:t>截图</w:t>
            </w:r>
          </w:p>
          <w:p>
            <w:pPr>
              <w:pStyle w:val="138"/>
              <w:tabs>
                <w:tab w:val="left" w:pos="420"/>
              </w:tabs>
              <w:ind w:left="471" w:firstLine="0"/>
              <w:rPr>
                <w:rFonts w:hint="eastAsia" w:eastAsia="宋体" w:cs="Times New Roman"/>
                <w:b/>
                <w:bCs/>
                <w:color w:val="auto"/>
                <w:sz w:val="21"/>
                <w:szCs w:val="21"/>
                <w:highlight w:val="none"/>
              </w:rPr>
            </w:pPr>
          </w:p>
          <w:p>
            <w:pPr>
              <w:pStyle w:val="138"/>
              <w:tabs>
                <w:tab w:val="left" w:pos="420"/>
              </w:tabs>
              <w:ind w:left="471" w:firstLine="0"/>
              <w:rPr>
                <w:rFonts w:hint="eastAsia" w:eastAsia="宋体" w:cs="Times New Roman"/>
                <w:b/>
                <w:bCs/>
                <w:color w:val="auto"/>
                <w:sz w:val="21"/>
                <w:szCs w:val="21"/>
                <w:highlight w:val="none"/>
              </w:rPr>
            </w:pPr>
          </w:p>
          <w:p>
            <w:pPr>
              <w:pStyle w:val="138"/>
              <w:tabs>
                <w:tab w:val="left" w:pos="420"/>
              </w:tabs>
              <w:ind w:left="471" w:firstLine="0"/>
              <w:rPr>
                <w:rFonts w:hint="eastAsia" w:eastAsia="宋体" w:cs="Times New Roman"/>
                <w:b/>
                <w:bCs/>
                <w:color w:val="auto"/>
                <w:sz w:val="21"/>
                <w:szCs w:val="21"/>
                <w:highlight w:val="none"/>
              </w:rPr>
            </w:pPr>
          </w:p>
          <w:p>
            <w:pPr>
              <w:pStyle w:val="138"/>
              <w:tabs>
                <w:tab w:val="left" w:pos="420"/>
              </w:tabs>
              <w:ind w:left="471" w:firstLine="0"/>
              <w:rPr>
                <w:rFonts w:hint="eastAsia" w:eastAsia="宋体" w:cs="Times New Roman"/>
                <w:b/>
                <w:bCs/>
                <w:color w:val="auto"/>
                <w:sz w:val="21"/>
                <w:szCs w:val="21"/>
                <w:highlight w:val="none"/>
              </w:rPr>
            </w:pPr>
          </w:p>
          <w:p>
            <w:pPr>
              <w:pStyle w:val="138"/>
              <w:tabs>
                <w:tab w:val="left" w:pos="420"/>
              </w:tabs>
              <w:ind w:left="471" w:firstLine="0"/>
              <w:rPr>
                <w:rFonts w:hint="eastAsia" w:eastAsia="宋体" w:cs="Times New Roman"/>
                <w:b/>
                <w:bCs/>
                <w:color w:val="auto"/>
                <w:sz w:val="21"/>
                <w:szCs w:val="21"/>
                <w:highlight w:val="none"/>
              </w:rPr>
            </w:pPr>
          </w:p>
          <w:p>
            <w:pPr>
              <w:pStyle w:val="138"/>
              <w:tabs>
                <w:tab w:val="left" w:pos="420"/>
              </w:tabs>
              <w:ind w:left="471" w:firstLine="0"/>
              <w:rPr>
                <w:rFonts w:hint="eastAsia" w:eastAsia="宋体" w:cs="Times New Roman"/>
                <w:b/>
                <w:bCs/>
                <w:color w:val="auto"/>
                <w:sz w:val="21"/>
                <w:szCs w:val="21"/>
                <w:highlight w:val="none"/>
              </w:rPr>
            </w:pPr>
          </w:p>
          <w:p>
            <w:pPr>
              <w:pStyle w:val="138"/>
              <w:tabs>
                <w:tab w:val="left" w:pos="420"/>
              </w:tabs>
              <w:ind w:left="471" w:firstLine="0"/>
              <w:rPr>
                <w:rFonts w:hint="eastAsia" w:eastAsia="宋体" w:cs="Times New Roman"/>
                <w:b/>
                <w:bCs/>
                <w:color w:val="auto"/>
                <w:sz w:val="21"/>
                <w:szCs w:val="21"/>
                <w:highlight w:val="none"/>
              </w:rPr>
            </w:pPr>
          </w:p>
          <w:p>
            <w:pPr>
              <w:pStyle w:val="138"/>
              <w:tabs>
                <w:tab w:val="left" w:pos="420"/>
              </w:tabs>
              <w:ind w:left="471" w:firstLine="0"/>
              <w:rPr>
                <w:rFonts w:hint="eastAsia" w:eastAsia="宋体" w:cs="Times New Roman"/>
                <w:b/>
                <w:bCs/>
                <w:color w:val="auto"/>
                <w:sz w:val="21"/>
                <w:szCs w:val="21"/>
                <w:highlight w:val="none"/>
              </w:rPr>
            </w:pPr>
          </w:p>
          <w:p>
            <w:pPr>
              <w:pStyle w:val="138"/>
              <w:tabs>
                <w:tab w:val="left" w:pos="420"/>
              </w:tabs>
              <w:ind w:left="471" w:firstLine="0"/>
              <w:rPr>
                <w:rFonts w:hint="eastAsia" w:eastAsia="宋体" w:cs="Times New Roman"/>
                <w:b/>
                <w:bCs/>
                <w:color w:val="auto"/>
                <w:sz w:val="21"/>
                <w:szCs w:val="21"/>
                <w:highlight w:val="none"/>
              </w:rPr>
            </w:pPr>
          </w:p>
          <w:p>
            <w:pPr>
              <w:pStyle w:val="138"/>
              <w:tabs>
                <w:tab w:val="left" w:pos="420"/>
              </w:tabs>
              <w:ind w:left="471" w:firstLine="0"/>
              <w:rPr>
                <w:rFonts w:hint="eastAsia" w:eastAsia="宋体" w:cs="Times New Roman"/>
                <w:b/>
                <w:bCs/>
                <w:color w:val="auto"/>
                <w:sz w:val="21"/>
                <w:szCs w:val="21"/>
                <w:highlight w:val="none"/>
              </w:rPr>
            </w:pPr>
          </w:p>
          <w:p>
            <w:pPr>
              <w:pStyle w:val="138"/>
              <w:tabs>
                <w:tab w:val="left" w:pos="420"/>
              </w:tabs>
              <w:ind w:left="471" w:firstLine="0"/>
              <w:rPr>
                <w:rFonts w:hint="eastAsia" w:eastAsia="宋体" w:cs="Times New Roman"/>
                <w:b/>
                <w:bCs/>
                <w:color w:val="auto"/>
                <w:sz w:val="21"/>
                <w:szCs w:val="21"/>
                <w:highlight w:val="none"/>
              </w:rPr>
            </w:pPr>
          </w:p>
          <w:p>
            <w:pPr>
              <w:pStyle w:val="138"/>
              <w:tabs>
                <w:tab w:val="left" w:pos="420"/>
              </w:tabs>
              <w:ind w:left="471" w:firstLine="0"/>
              <w:rPr>
                <w:rFonts w:hint="eastAsia" w:eastAsia="宋体" w:cs="Times New Roman"/>
                <w:b/>
                <w:bCs/>
                <w:color w:val="auto"/>
                <w:sz w:val="21"/>
                <w:szCs w:val="21"/>
                <w:highlight w:val="none"/>
              </w:rPr>
            </w:pPr>
          </w:p>
          <w:p>
            <w:pPr>
              <w:pStyle w:val="138"/>
              <w:tabs>
                <w:tab w:val="left" w:pos="420"/>
              </w:tabs>
              <w:ind w:left="471" w:firstLine="0"/>
              <w:rPr>
                <w:rFonts w:hint="eastAsia" w:eastAsia="宋体" w:cs="Times New Roman"/>
                <w:b/>
                <w:bCs/>
                <w:color w:val="auto"/>
                <w:sz w:val="21"/>
                <w:szCs w:val="21"/>
                <w:highlight w:val="none"/>
              </w:rPr>
            </w:pPr>
          </w:p>
          <w:p>
            <w:pPr>
              <w:pStyle w:val="138"/>
              <w:tabs>
                <w:tab w:val="left" w:pos="420"/>
              </w:tabs>
              <w:ind w:left="471" w:firstLine="0"/>
              <w:rPr>
                <w:rFonts w:hint="eastAsia" w:eastAsia="宋体" w:cs="Times New Roman"/>
                <w:b/>
                <w:bCs/>
                <w:color w:val="auto"/>
                <w:sz w:val="21"/>
                <w:szCs w:val="21"/>
                <w:highlight w:val="none"/>
              </w:rPr>
            </w:pPr>
          </w:p>
          <w:p>
            <w:pPr>
              <w:pStyle w:val="138"/>
              <w:tabs>
                <w:tab w:val="left" w:pos="420"/>
              </w:tabs>
              <w:ind w:left="471" w:firstLine="0"/>
              <w:rPr>
                <w:rFonts w:hint="eastAsia" w:eastAsia="宋体" w:cs="Times New Roman"/>
                <w:b/>
                <w:bCs/>
                <w:color w:val="auto"/>
                <w:sz w:val="21"/>
                <w:szCs w:val="21"/>
                <w:highlight w:val="none"/>
              </w:rPr>
            </w:pPr>
          </w:p>
          <w:p>
            <w:pPr>
              <w:pStyle w:val="138"/>
              <w:tabs>
                <w:tab w:val="left" w:pos="420"/>
              </w:tabs>
              <w:ind w:left="471" w:firstLine="0"/>
              <w:rPr>
                <w:rFonts w:hint="eastAsia" w:eastAsia="宋体" w:cs="Times New Roman"/>
                <w:b/>
                <w:bCs/>
                <w:color w:val="auto"/>
                <w:sz w:val="21"/>
                <w:szCs w:val="21"/>
                <w:highlight w:val="none"/>
              </w:rPr>
            </w:pPr>
          </w:p>
          <w:p>
            <w:pPr>
              <w:pStyle w:val="138"/>
              <w:tabs>
                <w:tab w:val="left" w:pos="420"/>
              </w:tabs>
              <w:spacing w:line="360" w:lineRule="auto"/>
              <w:ind w:left="471" w:firstLine="0"/>
              <w:rPr>
                <w:rFonts w:eastAsia="宋体" w:cs="Times New Roman"/>
                <w:color w:val="auto"/>
                <w:highlight w:val="none"/>
              </w:rPr>
            </w:pPr>
            <w:r>
              <w:rPr>
                <w:color w:val="auto"/>
                <w:highlight w:val="none"/>
              </w:rPr>
              <w:drawing>
                <wp:inline distT="0" distB="0" distL="114300" distR="114300">
                  <wp:extent cx="4890770" cy="4279265"/>
                  <wp:effectExtent l="9525" t="9525" r="14605" b="16510"/>
                  <wp:docPr id="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5"/>
                          <pic:cNvPicPr>
                            <a:picLocks noChangeAspect="1"/>
                          </pic:cNvPicPr>
                        </pic:nvPicPr>
                        <pic:blipFill>
                          <a:blip r:embed="rId38"/>
                          <a:stretch>
                            <a:fillRect/>
                          </a:stretch>
                        </pic:blipFill>
                        <pic:spPr>
                          <a:xfrm>
                            <a:off x="0" y="0"/>
                            <a:ext cx="4890770" cy="4279265"/>
                          </a:xfrm>
                          <a:prstGeom prst="rect">
                            <a:avLst/>
                          </a:prstGeom>
                          <a:noFill/>
                          <a:ln>
                            <a:solidFill>
                              <a:schemeClr val="tx1"/>
                            </a:solidFill>
                          </a:ln>
                        </pic:spPr>
                      </pic:pic>
                    </a:graphicData>
                  </a:graphic>
                </wp:inline>
              </w:drawing>
            </w:r>
          </w:p>
          <w:p>
            <w:pPr>
              <w:pStyle w:val="138"/>
              <w:tabs>
                <w:tab w:val="left" w:pos="420"/>
              </w:tabs>
              <w:ind w:left="471" w:firstLine="0"/>
              <w:rPr>
                <w:rFonts w:eastAsia="宋体" w:cs="Times New Roman"/>
                <w:color w:val="auto"/>
                <w:sz w:val="21"/>
                <w:szCs w:val="21"/>
                <w:highlight w:val="none"/>
              </w:rPr>
            </w:pPr>
            <w:r>
              <w:rPr>
                <w:rFonts w:hint="eastAsia" w:eastAsia="宋体" w:cs="Times New Roman"/>
                <w:b/>
                <w:bCs/>
                <w:color w:val="auto"/>
                <w:sz w:val="21"/>
                <w:szCs w:val="21"/>
                <w:highlight w:val="none"/>
              </w:rPr>
              <w:t>图2 项目点源、面源</w:t>
            </w:r>
            <w:r>
              <w:rPr>
                <w:rFonts w:eastAsia="宋体" w:cs="Times New Roman"/>
                <w:b/>
                <w:bCs/>
                <w:color w:val="auto"/>
                <w:sz w:val="21"/>
                <w:szCs w:val="21"/>
                <w:highlight w:val="none"/>
              </w:rPr>
              <w:t>筛选</w:t>
            </w:r>
            <w:r>
              <w:rPr>
                <w:rFonts w:hint="eastAsia" w:eastAsia="宋体" w:cs="Times New Roman"/>
                <w:b/>
                <w:bCs/>
                <w:color w:val="auto"/>
                <w:sz w:val="21"/>
                <w:szCs w:val="21"/>
                <w:highlight w:val="none"/>
              </w:rPr>
              <w:t>方案截图</w:t>
            </w:r>
          </w:p>
          <w:p>
            <w:pPr>
              <w:pStyle w:val="138"/>
              <w:tabs>
                <w:tab w:val="left" w:pos="420"/>
              </w:tabs>
              <w:spacing w:line="312" w:lineRule="auto"/>
              <w:ind w:left="471" w:firstLine="0"/>
              <w:jc w:val="both"/>
              <w:rPr>
                <w:rFonts w:eastAsia="宋体" w:cs="Times New Roman"/>
                <w:color w:val="auto"/>
                <w:highlight w:val="none"/>
              </w:rPr>
            </w:pPr>
            <w:r>
              <w:rPr>
                <w:rFonts w:eastAsia="宋体" w:cs="Times New Roman"/>
                <w:color w:val="auto"/>
                <w:highlight w:val="none"/>
              </w:rPr>
              <w:t>本项目主要污染物估算模式计算结果如下：</w:t>
            </w:r>
          </w:p>
          <w:p>
            <w:pPr>
              <w:pStyle w:val="138"/>
              <w:tabs>
                <w:tab w:val="left" w:pos="420"/>
              </w:tabs>
              <w:spacing w:line="312" w:lineRule="auto"/>
              <w:ind w:left="471" w:firstLine="0"/>
              <w:rPr>
                <w:color w:val="auto"/>
                <w:highlight w:val="none"/>
              </w:rPr>
            </w:pPr>
            <w:r>
              <w:rPr>
                <w:color w:val="auto"/>
                <w:highlight w:val="none"/>
              </w:rPr>
              <w:drawing>
                <wp:inline distT="0" distB="0" distL="114300" distR="114300">
                  <wp:extent cx="5173980" cy="3684270"/>
                  <wp:effectExtent l="9525" t="9525" r="17145" b="20955"/>
                  <wp:docPr id="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5"/>
                          <pic:cNvPicPr>
                            <a:picLocks noChangeAspect="1"/>
                          </pic:cNvPicPr>
                        </pic:nvPicPr>
                        <pic:blipFill>
                          <a:blip r:embed="rId39"/>
                          <a:stretch>
                            <a:fillRect/>
                          </a:stretch>
                        </pic:blipFill>
                        <pic:spPr>
                          <a:xfrm>
                            <a:off x="0" y="0"/>
                            <a:ext cx="5173980" cy="3684270"/>
                          </a:xfrm>
                          <a:prstGeom prst="rect">
                            <a:avLst/>
                          </a:prstGeom>
                          <a:noFill/>
                          <a:ln>
                            <a:solidFill>
                              <a:schemeClr val="tx1"/>
                            </a:solidFill>
                          </a:ln>
                        </pic:spPr>
                      </pic:pic>
                    </a:graphicData>
                  </a:graphic>
                </wp:inline>
              </w:drawing>
            </w:r>
          </w:p>
          <w:p>
            <w:pPr>
              <w:pStyle w:val="138"/>
              <w:tabs>
                <w:tab w:val="left" w:pos="420"/>
              </w:tabs>
              <w:ind w:left="471" w:firstLine="0"/>
              <w:rPr>
                <w:rFonts w:eastAsia="宋体" w:cs="Times New Roman"/>
                <w:color w:val="auto"/>
                <w:sz w:val="21"/>
                <w:szCs w:val="21"/>
                <w:highlight w:val="none"/>
              </w:rPr>
            </w:pPr>
            <w:r>
              <w:rPr>
                <w:rFonts w:hint="eastAsia" w:eastAsia="宋体" w:cs="Times New Roman"/>
                <w:b/>
                <w:bCs/>
                <w:color w:val="auto"/>
                <w:sz w:val="21"/>
                <w:szCs w:val="21"/>
                <w:highlight w:val="none"/>
              </w:rPr>
              <w:t>图3 项目</w:t>
            </w:r>
            <w:r>
              <w:rPr>
                <w:rFonts w:eastAsia="宋体" w:cs="Times New Roman"/>
                <w:b/>
                <w:bCs/>
                <w:color w:val="auto"/>
                <w:sz w:val="21"/>
                <w:szCs w:val="21"/>
                <w:highlight w:val="none"/>
              </w:rPr>
              <w:t>筛选</w:t>
            </w:r>
            <w:r>
              <w:rPr>
                <w:rFonts w:hint="eastAsia" w:eastAsia="宋体" w:cs="Times New Roman"/>
                <w:b/>
                <w:bCs/>
                <w:color w:val="auto"/>
                <w:sz w:val="21"/>
                <w:szCs w:val="21"/>
                <w:highlight w:val="none"/>
              </w:rPr>
              <w:t>结果截图（1小时浓度占标率）</w:t>
            </w:r>
          </w:p>
          <w:p>
            <w:pPr>
              <w:pStyle w:val="138"/>
              <w:tabs>
                <w:tab w:val="left" w:pos="420"/>
              </w:tabs>
              <w:spacing w:line="312" w:lineRule="auto"/>
              <w:jc w:val="center"/>
              <w:rPr>
                <w:color w:val="auto"/>
                <w:highlight w:val="none"/>
              </w:rPr>
            </w:pPr>
            <w:r>
              <w:rPr>
                <w:color w:val="auto"/>
                <w:highlight w:val="none"/>
              </w:rPr>
              <w:drawing>
                <wp:inline distT="0" distB="0" distL="114300" distR="114300">
                  <wp:extent cx="5187315" cy="3685540"/>
                  <wp:effectExtent l="9525" t="9525" r="22860" b="19685"/>
                  <wp:docPr id="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6"/>
                          <pic:cNvPicPr>
                            <a:picLocks noChangeAspect="1"/>
                          </pic:cNvPicPr>
                        </pic:nvPicPr>
                        <pic:blipFill>
                          <a:blip r:embed="rId40"/>
                          <a:stretch>
                            <a:fillRect/>
                          </a:stretch>
                        </pic:blipFill>
                        <pic:spPr>
                          <a:xfrm>
                            <a:off x="0" y="0"/>
                            <a:ext cx="5187315" cy="3685540"/>
                          </a:xfrm>
                          <a:prstGeom prst="rect">
                            <a:avLst/>
                          </a:prstGeom>
                          <a:noFill/>
                          <a:ln>
                            <a:solidFill>
                              <a:schemeClr val="tx1"/>
                            </a:solidFill>
                          </a:ln>
                        </pic:spPr>
                      </pic:pic>
                    </a:graphicData>
                  </a:graphic>
                </wp:inline>
              </w:drawing>
            </w:r>
          </w:p>
          <w:p>
            <w:pPr>
              <w:pStyle w:val="138"/>
              <w:tabs>
                <w:tab w:val="left" w:pos="420"/>
              </w:tabs>
              <w:spacing w:line="312" w:lineRule="auto"/>
              <w:ind w:left="471" w:firstLine="0"/>
              <w:rPr>
                <w:color w:val="auto"/>
                <w:highlight w:val="none"/>
              </w:rPr>
            </w:pPr>
            <w:r>
              <w:rPr>
                <w:rFonts w:hint="eastAsia" w:eastAsia="宋体" w:cs="Times New Roman"/>
                <w:b/>
                <w:bCs/>
                <w:color w:val="auto"/>
                <w:sz w:val="21"/>
                <w:szCs w:val="21"/>
                <w:highlight w:val="none"/>
              </w:rPr>
              <w:t>图4 项目</w:t>
            </w:r>
            <w:r>
              <w:rPr>
                <w:rFonts w:eastAsia="宋体" w:cs="Times New Roman"/>
                <w:b/>
                <w:bCs/>
                <w:color w:val="auto"/>
                <w:sz w:val="21"/>
                <w:szCs w:val="21"/>
                <w:highlight w:val="none"/>
              </w:rPr>
              <w:t>筛选</w:t>
            </w:r>
            <w:r>
              <w:rPr>
                <w:rFonts w:hint="eastAsia" w:eastAsia="宋体" w:cs="Times New Roman"/>
                <w:b/>
                <w:bCs/>
                <w:color w:val="auto"/>
                <w:sz w:val="21"/>
                <w:szCs w:val="21"/>
                <w:highlight w:val="none"/>
              </w:rPr>
              <w:t>结果截图（1小时浓度）</w:t>
            </w:r>
          </w:p>
          <w:p>
            <w:pPr>
              <w:pStyle w:val="138"/>
              <w:numPr>
                <w:ilvl w:val="0"/>
                <w:numId w:val="5"/>
              </w:numPr>
              <w:tabs>
                <w:tab w:val="left" w:pos="420"/>
              </w:tabs>
              <w:spacing w:line="312"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估算模式最大地面浓度占标率计算结果</w:t>
            </w:r>
          </w:p>
          <w:tbl>
            <w:tblPr>
              <w:tblStyle w:val="40"/>
              <w:tblW w:w="9089"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967"/>
              <w:gridCol w:w="1354"/>
              <w:gridCol w:w="1529"/>
              <w:gridCol w:w="1128"/>
              <w:gridCol w:w="1305"/>
              <w:gridCol w:w="900"/>
              <w:gridCol w:w="1110"/>
              <w:gridCol w:w="796"/>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tblHeader/>
                <w:jc w:val="center"/>
              </w:trPr>
              <w:tc>
                <w:tcPr>
                  <w:tcW w:w="967" w:type="dxa"/>
                  <w:vMerge w:val="restart"/>
                  <w:tcBorders>
                    <w:tl2br w:val="nil"/>
                    <w:tr2bl w:val="nil"/>
                  </w:tcBorders>
                  <w:vAlign w:val="center"/>
                </w:tcPr>
                <w:p>
                  <w:pPr>
                    <w:jc w:val="center"/>
                    <w:rPr>
                      <w:b/>
                      <w:color w:val="auto"/>
                      <w:szCs w:val="21"/>
                      <w:highlight w:val="none"/>
                    </w:rPr>
                  </w:pPr>
                  <w:r>
                    <w:rPr>
                      <w:b/>
                      <w:color w:val="auto"/>
                      <w:szCs w:val="21"/>
                      <w:highlight w:val="none"/>
                    </w:rPr>
                    <w:t>类型</w:t>
                  </w:r>
                </w:p>
              </w:tc>
              <w:tc>
                <w:tcPr>
                  <w:tcW w:w="1354" w:type="dxa"/>
                  <w:vMerge w:val="restart"/>
                  <w:tcBorders>
                    <w:tl2br w:val="nil"/>
                    <w:tr2bl w:val="nil"/>
                  </w:tcBorders>
                  <w:vAlign w:val="center"/>
                </w:tcPr>
                <w:p>
                  <w:pPr>
                    <w:jc w:val="center"/>
                    <w:rPr>
                      <w:b/>
                      <w:color w:val="auto"/>
                      <w:szCs w:val="21"/>
                      <w:highlight w:val="none"/>
                    </w:rPr>
                  </w:pPr>
                  <w:r>
                    <w:rPr>
                      <w:b/>
                      <w:color w:val="auto"/>
                      <w:szCs w:val="21"/>
                      <w:highlight w:val="none"/>
                    </w:rPr>
                    <w:t>项目</w:t>
                  </w:r>
                </w:p>
              </w:tc>
              <w:tc>
                <w:tcPr>
                  <w:tcW w:w="1529" w:type="dxa"/>
                  <w:vMerge w:val="restart"/>
                  <w:tcBorders>
                    <w:tl2br w:val="nil"/>
                    <w:tr2bl w:val="nil"/>
                  </w:tcBorders>
                  <w:vAlign w:val="center"/>
                </w:tcPr>
                <w:p>
                  <w:pPr>
                    <w:jc w:val="center"/>
                    <w:rPr>
                      <w:b/>
                      <w:color w:val="auto"/>
                      <w:szCs w:val="21"/>
                      <w:highlight w:val="none"/>
                    </w:rPr>
                  </w:pPr>
                  <w:r>
                    <w:rPr>
                      <w:b/>
                      <w:color w:val="auto"/>
                      <w:szCs w:val="21"/>
                      <w:highlight w:val="none"/>
                    </w:rPr>
                    <w:t>污染物</w:t>
                  </w:r>
                </w:p>
              </w:tc>
              <w:tc>
                <w:tcPr>
                  <w:tcW w:w="4443" w:type="dxa"/>
                  <w:gridSpan w:val="4"/>
                  <w:tcBorders>
                    <w:tl2br w:val="nil"/>
                    <w:tr2bl w:val="nil"/>
                  </w:tcBorders>
                  <w:vAlign w:val="center"/>
                </w:tcPr>
                <w:p>
                  <w:pPr>
                    <w:autoSpaceDE w:val="0"/>
                    <w:autoSpaceDN w:val="0"/>
                    <w:jc w:val="center"/>
                    <w:rPr>
                      <w:b/>
                      <w:bCs/>
                      <w:color w:val="auto"/>
                      <w:szCs w:val="21"/>
                      <w:highlight w:val="none"/>
                    </w:rPr>
                  </w:pPr>
                  <w:r>
                    <w:rPr>
                      <w:b/>
                      <w:bCs/>
                      <w:color w:val="auto"/>
                      <w:szCs w:val="21"/>
                      <w:highlight w:val="none"/>
                    </w:rPr>
                    <w:t>计算结果</w:t>
                  </w:r>
                </w:p>
              </w:tc>
              <w:tc>
                <w:tcPr>
                  <w:tcW w:w="796" w:type="dxa"/>
                  <w:vMerge w:val="restart"/>
                  <w:tcBorders>
                    <w:tl2br w:val="nil"/>
                    <w:tr2bl w:val="nil"/>
                  </w:tcBorders>
                  <w:vAlign w:val="center"/>
                </w:tcPr>
                <w:p>
                  <w:pPr>
                    <w:autoSpaceDE w:val="0"/>
                    <w:autoSpaceDN w:val="0"/>
                    <w:jc w:val="center"/>
                    <w:rPr>
                      <w:b/>
                      <w:bCs/>
                      <w:color w:val="auto"/>
                      <w:szCs w:val="21"/>
                      <w:highlight w:val="none"/>
                    </w:rPr>
                  </w:pPr>
                  <w:r>
                    <w:rPr>
                      <w:b/>
                      <w:bCs/>
                      <w:color w:val="auto"/>
                      <w:szCs w:val="21"/>
                      <w:highlight w:val="none"/>
                    </w:rPr>
                    <w:t>评价等级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54" w:hRule="atLeast"/>
                <w:tblHeader/>
                <w:jc w:val="center"/>
              </w:trPr>
              <w:tc>
                <w:tcPr>
                  <w:tcW w:w="967" w:type="dxa"/>
                  <w:vMerge w:val="continue"/>
                  <w:tcBorders>
                    <w:tl2br w:val="nil"/>
                    <w:tr2bl w:val="nil"/>
                  </w:tcBorders>
                  <w:vAlign w:val="center"/>
                </w:tcPr>
                <w:p>
                  <w:pPr>
                    <w:jc w:val="center"/>
                    <w:rPr>
                      <w:b/>
                      <w:color w:val="auto"/>
                      <w:szCs w:val="21"/>
                      <w:highlight w:val="none"/>
                    </w:rPr>
                  </w:pPr>
                </w:p>
              </w:tc>
              <w:tc>
                <w:tcPr>
                  <w:tcW w:w="1354" w:type="dxa"/>
                  <w:vMerge w:val="continue"/>
                  <w:tcBorders>
                    <w:tl2br w:val="nil"/>
                    <w:tr2bl w:val="nil"/>
                  </w:tcBorders>
                  <w:vAlign w:val="center"/>
                </w:tcPr>
                <w:p>
                  <w:pPr>
                    <w:jc w:val="center"/>
                    <w:rPr>
                      <w:b/>
                      <w:color w:val="auto"/>
                      <w:szCs w:val="21"/>
                      <w:highlight w:val="none"/>
                    </w:rPr>
                  </w:pPr>
                </w:p>
              </w:tc>
              <w:tc>
                <w:tcPr>
                  <w:tcW w:w="1529" w:type="dxa"/>
                  <w:vMerge w:val="continue"/>
                  <w:tcBorders>
                    <w:tl2br w:val="nil"/>
                    <w:tr2bl w:val="nil"/>
                  </w:tcBorders>
                  <w:vAlign w:val="center"/>
                </w:tcPr>
                <w:p>
                  <w:pPr>
                    <w:jc w:val="center"/>
                    <w:rPr>
                      <w:b/>
                      <w:color w:val="auto"/>
                      <w:szCs w:val="21"/>
                      <w:highlight w:val="none"/>
                    </w:rPr>
                  </w:pPr>
                </w:p>
              </w:tc>
              <w:tc>
                <w:tcPr>
                  <w:tcW w:w="1128" w:type="dxa"/>
                  <w:tcBorders>
                    <w:tl2br w:val="nil"/>
                    <w:tr2bl w:val="nil"/>
                  </w:tcBorders>
                  <w:vAlign w:val="center"/>
                </w:tcPr>
                <w:p>
                  <w:pPr>
                    <w:autoSpaceDE w:val="0"/>
                    <w:autoSpaceDN w:val="0"/>
                    <w:jc w:val="center"/>
                    <w:rPr>
                      <w:b/>
                      <w:bCs/>
                      <w:color w:val="auto"/>
                      <w:szCs w:val="21"/>
                      <w:highlight w:val="none"/>
                      <w:shd w:val="clear" w:color="auto" w:fill="FFFFFF"/>
                    </w:rPr>
                  </w:pPr>
                  <w:r>
                    <w:rPr>
                      <w:b/>
                      <w:bCs/>
                      <w:color w:val="auto"/>
                      <w:position w:val="-6"/>
                      <w:szCs w:val="21"/>
                      <w:highlight w:val="none"/>
                      <w:shd w:val="clear" w:color="auto" w:fill="FFFFFF"/>
                    </w:rPr>
                    <w:object>
                      <v:shape id="_x0000_i1025" o:spt="75" type="#_x0000_t75" style="height:14.25pt;width:14.25pt;" o:ole="t" filled="f" o:preferrelative="t" stroked="f" coordsize="21600,21600">
                        <v:path/>
                        <v:fill on="f" focussize="0,0"/>
                        <v:stroke on="f"/>
                        <v:imagedata r:id="rId42" o:title=""/>
                        <o:lock v:ext="edit" aspectratio="t"/>
                        <w10:wrap type="none"/>
                        <w10:anchorlock/>
                      </v:shape>
                      <o:OLEObject Type="Embed" ProgID="Equation.3" ShapeID="_x0000_i1025" DrawAspect="Content" ObjectID="_1468075725" r:id="rId41">
                        <o:LockedField>false</o:LockedField>
                      </o:OLEObject>
                    </w:object>
                  </w:r>
                  <w:r>
                    <w:rPr>
                      <w:b/>
                      <w:bCs/>
                      <w:color w:val="auto"/>
                      <w:szCs w:val="21"/>
                      <w:highlight w:val="none"/>
                    </w:rPr>
                    <w:t>（%）</w:t>
                  </w:r>
                </w:p>
              </w:tc>
              <w:tc>
                <w:tcPr>
                  <w:tcW w:w="1305" w:type="dxa"/>
                  <w:tcBorders>
                    <w:tl2br w:val="nil"/>
                    <w:tr2bl w:val="nil"/>
                  </w:tcBorders>
                  <w:vAlign w:val="center"/>
                </w:tcPr>
                <w:p>
                  <w:pPr>
                    <w:autoSpaceDE w:val="0"/>
                    <w:autoSpaceDN w:val="0"/>
                    <w:jc w:val="center"/>
                    <w:rPr>
                      <w:b/>
                      <w:bCs/>
                      <w:color w:val="auto"/>
                      <w:kern w:val="0"/>
                      <w:szCs w:val="21"/>
                      <w:highlight w:val="none"/>
                    </w:rPr>
                  </w:pPr>
                  <w:r>
                    <w:rPr>
                      <w:b/>
                      <w:bCs/>
                      <w:color w:val="auto"/>
                      <w:kern w:val="0"/>
                      <w:szCs w:val="21"/>
                      <w:highlight w:val="none"/>
                    </w:rPr>
                    <w:t>预测浓度（mg/m</w:t>
                  </w:r>
                  <w:r>
                    <w:rPr>
                      <w:b/>
                      <w:bCs/>
                      <w:color w:val="auto"/>
                      <w:kern w:val="0"/>
                      <w:szCs w:val="21"/>
                      <w:highlight w:val="none"/>
                      <w:vertAlign w:val="superscript"/>
                    </w:rPr>
                    <w:t>3</w:t>
                  </w:r>
                  <w:r>
                    <w:rPr>
                      <w:b/>
                      <w:bCs/>
                      <w:color w:val="auto"/>
                      <w:kern w:val="0"/>
                      <w:szCs w:val="21"/>
                      <w:highlight w:val="none"/>
                    </w:rPr>
                    <w:t>）</w:t>
                  </w:r>
                </w:p>
              </w:tc>
              <w:tc>
                <w:tcPr>
                  <w:tcW w:w="900" w:type="dxa"/>
                  <w:tcBorders>
                    <w:right w:val="single" w:color="auto" w:sz="4" w:space="0"/>
                    <w:tl2br w:val="nil"/>
                    <w:tr2bl w:val="nil"/>
                  </w:tcBorders>
                  <w:vAlign w:val="center"/>
                </w:tcPr>
                <w:p>
                  <w:pPr>
                    <w:autoSpaceDE w:val="0"/>
                    <w:autoSpaceDN w:val="0"/>
                    <w:jc w:val="center"/>
                    <w:rPr>
                      <w:b/>
                      <w:bCs/>
                      <w:color w:val="auto"/>
                      <w:szCs w:val="21"/>
                      <w:highlight w:val="none"/>
                    </w:rPr>
                  </w:pPr>
                  <w:r>
                    <w:rPr>
                      <w:rFonts w:hint="eastAsia"/>
                      <w:b/>
                      <w:bCs/>
                      <w:color w:val="auto"/>
                      <w:szCs w:val="21"/>
                      <w:highlight w:val="none"/>
                    </w:rPr>
                    <w:t>离源距离</w:t>
                  </w:r>
                </w:p>
              </w:tc>
              <w:tc>
                <w:tcPr>
                  <w:tcW w:w="1110" w:type="dxa"/>
                  <w:tcBorders>
                    <w:left w:val="single" w:color="auto" w:sz="4" w:space="0"/>
                    <w:tl2br w:val="nil"/>
                    <w:tr2bl w:val="nil"/>
                  </w:tcBorders>
                  <w:vAlign w:val="center"/>
                </w:tcPr>
                <w:p>
                  <w:pPr>
                    <w:autoSpaceDE w:val="0"/>
                    <w:autoSpaceDN w:val="0"/>
                    <w:jc w:val="center"/>
                    <w:rPr>
                      <w:b/>
                      <w:bCs/>
                      <w:color w:val="auto"/>
                      <w:szCs w:val="21"/>
                      <w:highlight w:val="none"/>
                    </w:rPr>
                  </w:pPr>
                  <w:r>
                    <w:rPr>
                      <w:b/>
                      <w:bCs/>
                      <w:color w:val="auto"/>
                      <w:szCs w:val="21"/>
                      <w:highlight w:val="none"/>
                    </w:rPr>
                    <w:t>D10%（m）</w:t>
                  </w:r>
                </w:p>
              </w:tc>
              <w:tc>
                <w:tcPr>
                  <w:tcW w:w="796" w:type="dxa"/>
                  <w:vMerge w:val="continue"/>
                  <w:tcBorders>
                    <w:tl2br w:val="nil"/>
                    <w:tr2bl w:val="nil"/>
                  </w:tcBorders>
                  <w:vAlign w:val="center"/>
                </w:tcPr>
                <w:p>
                  <w:pPr>
                    <w:autoSpaceDE w:val="0"/>
                    <w:autoSpaceDN w:val="0"/>
                    <w:jc w:val="center"/>
                    <w:rPr>
                      <w:b/>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24" w:hRule="atLeast"/>
                <w:tblHeader/>
                <w:jc w:val="center"/>
              </w:trPr>
              <w:tc>
                <w:tcPr>
                  <w:tcW w:w="967" w:type="dxa"/>
                  <w:tcBorders>
                    <w:tl2br w:val="nil"/>
                    <w:tr2bl w:val="nil"/>
                  </w:tcBorders>
                  <w:vAlign w:val="center"/>
                </w:tcPr>
                <w:p>
                  <w:pPr>
                    <w:jc w:val="center"/>
                    <w:rPr>
                      <w:bCs/>
                      <w:color w:val="auto"/>
                      <w:szCs w:val="21"/>
                      <w:highlight w:val="none"/>
                    </w:rPr>
                  </w:pPr>
                  <w:r>
                    <w:rPr>
                      <w:bCs/>
                      <w:color w:val="auto"/>
                      <w:szCs w:val="21"/>
                      <w:highlight w:val="none"/>
                    </w:rPr>
                    <w:t>有组织</w:t>
                  </w:r>
                </w:p>
              </w:tc>
              <w:tc>
                <w:tcPr>
                  <w:tcW w:w="1354" w:type="dxa"/>
                  <w:tcBorders>
                    <w:tl2br w:val="nil"/>
                    <w:tr2bl w:val="nil"/>
                  </w:tcBorders>
                  <w:vAlign w:val="center"/>
                </w:tcPr>
                <w:p>
                  <w:pPr>
                    <w:widowControl/>
                    <w:adjustRightInd w:val="0"/>
                    <w:snapToGrid w:val="0"/>
                    <w:jc w:val="center"/>
                    <w:rPr>
                      <w:bCs/>
                      <w:color w:val="auto"/>
                      <w:szCs w:val="21"/>
                      <w:highlight w:val="none"/>
                    </w:rPr>
                  </w:pPr>
                  <w:r>
                    <w:rPr>
                      <w:color w:val="auto"/>
                      <w:szCs w:val="21"/>
                      <w:highlight w:val="none"/>
                    </w:rPr>
                    <w:t>G1</w:t>
                  </w:r>
                </w:p>
              </w:tc>
              <w:tc>
                <w:tcPr>
                  <w:tcW w:w="1529" w:type="dxa"/>
                  <w:tcBorders>
                    <w:tl2br w:val="nil"/>
                    <w:tr2bl w:val="nil"/>
                  </w:tcBorders>
                  <w:vAlign w:val="center"/>
                </w:tcPr>
                <w:p>
                  <w:pPr>
                    <w:adjustRightInd w:val="0"/>
                    <w:snapToGrid w:val="0"/>
                    <w:jc w:val="center"/>
                    <w:rPr>
                      <w:bCs/>
                      <w:color w:val="auto"/>
                      <w:szCs w:val="21"/>
                      <w:highlight w:val="none"/>
                    </w:rPr>
                  </w:pPr>
                  <w:r>
                    <w:rPr>
                      <w:color w:val="auto"/>
                      <w:szCs w:val="21"/>
                      <w:highlight w:val="none"/>
                    </w:rPr>
                    <w:t>非甲烷总烃</w:t>
                  </w:r>
                </w:p>
              </w:tc>
              <w:tc>
                <w:tcPr>
                  <w:tcW w:w="1128" w:type="dxa"/>
                  <w:tcBorders>
                    <w:tl2br w:val="nil"/>
                    <w:tr2bl w:val="nil"/>
                  </w:tcBorders>
                  <w:vAlign w:val="center"/>
                </w:tcPr>
                <w:p>
                  <w:pPr>
                    <w:autoSpaceDE w:val="0"/>
                    <w:autoSpaceDN w:val="0"/>
                    <w:jc w:val="center"/>
                    <w:rPr>
                      <w:rFonts w:hint="default" w:eastAsia="宋体"/>
                      <w:bCs/>
                      <w:color w:val="auto"/>
                      <w:position w:val="-6"/>
                      <w:szCs w:val="21"/>
                      <w:highlight w:val="none"/>
                      <w:shd w:val="clear" w:color="auto" w:fill="FFFFFF"/>
                      <w:lang w:val="en-US" w:eastAsia="zh-CN"/>
                    </w:rPr>
                  </w:pPr>
                  <w:r>
                    <w:rPr>
                      <w:rFonts w:hint="eastAsia"/>
                      <w:bCs/>
                      <w:color w:val="auto"/>
                      <w:position w:val="-6"/>
                      <w:szCs w:val="21"/>
                      <w:highlight w:val="none"/>
                      <w:shd w:val="clear" w:color="auto" w:fill="FFFFFF"/>
                      <w:lang w:val="en-US" w:eastAsia="zh-CN"/>
                    </w:rPr>
                    <w:t>0.08</w:t>
                  </w:r>
                </w:p>
              </w:tc>
              <w:tc>
                <w:tcPr>
                  <w:tcW w:w="1305" w:type="dxa"/>
                  <w:tcBorders>
                    <w:tl2br w:val="nil"/>
                    <w:tr2bl w:val="nil"/>
                  </w:tcBorders>
                  <w:vAlign w:val="center"/>
                </w:tcPr>
                <w:p>
                  <w:pPr>
                    <w:autoSpaceDE w:val="0"/>
                    <w:autoSpaceDN w:val="0"/>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0.0016</w:t>
                  </w:r>
                </w:p>
              </w:tc>
              <w:tc>
                <w:tcPr>
                  <w:tcW w:w="900" w:type="dxa"/>
                  <w:tcBorders>
                    <w:right w:val="single" w:color="auto" w:sz="4" w:space="0"/>
                    <w:tl2br w:val="nil"/>
                    <w:tr2bl w:val="nil"/>
                  </w:tcBorders>
                  <w:vAlign w:val="center"/>
                </w:tcPr>
                <w:p>
                  <w:pPr>
                    <w:adjustRightInd w:val="0"/>
                    <w:snapToGrid w:val="0"/>
                    <w:jc w:val="center"/>
                    <w:rPr>
                      <w:rFonts w:hint="default" w:eastAsia="宋体"/>
                      <w:bCs/>
                      <w:color w:val="auto"/>
                      <w:szCs w:val="21"/>
                      <w:highlight w:val="none"/>
                      <w:lang w:val="en-US" w:eastAsia="zh-CN"/>
                    </w:rPr>
                  </w:pPr>
                  <w:r>
                    <w:rPr>
                      <w:rFonts w:hint="eastAsia"/>
                      <w:bCs/>
                      <w:color w:val="auto"/>
                      <w:szCs w:val="21"/>
                      <w:highlight w:val="none"/>
                      <w:lang w:val="en-US" w:eastAsia="zh-CN"/>
                    </w:rPr>
                    <w:t>69</w:t>
                  </w:r>
                </w:p>
              </w:tc>
              <w:tc>
                <w:tcPr>
                  <w:tcW w:w="1110" w:type="dxa"/>
                  <w:tcBorders>
                    <w:left w:val="single" w:color="auto" w:sz="4" w:space="0"/>
                    <w:tl2br w:val="nil"/>
                    <w:tr2bl w:val="nil"/>
                  </w:tcBorders>
                  <w:vAlign w:val="center"/>
                </w:tcPr>
                <w:p>
                  <w:pPr>
                    <w:adjustRightInd w:val="0"/>
                    <w:snapToGrid w:val="0"/>
                    <w:jc w:val="center"/>
                    <w:rPr>
                      <w:color w:val="auto"/>
                      <w:szCs w:val="21"/>
                      <w:highlight w:val="none"/>
                    </w:rPr>
                  </w:pPr>
                  <w:r>
                    <w:rPr>
                      <w:color w:val="auto"/>
                      <w:szCs w:val="21"/>
                      <w:highlight w:val="none"/>
                    </w:rPr>
                    <w:t>/</w:t>
                  </w:r>
                </w:p>
              </w:tc>
              <w:tc>
                <w:tcPr>
                  <w:tcW w:w="796" w:type="dxa"/>
                  <w:tcBorders>
                    <w:tl2br w:val="nil"/>
                    <w:tr2bl w:val="nil"/>
                  </w:tcBorders>
                  <w:vAlign w:val="center"/>
                </w:tcPr>
                <w:p>
                  <w:pPr>
                    <w:autoSpaceDE w:val="0"/>
                    <w:autoSpaceDN w:val="0"/>
                    <w:jc w:val="center"/>
                    <w:rPr>
                      <w:bCs/>
                      <w:color w:val="auto"/>
                      <w:szCs w:val="21"/>
                      <w:highlight w:val="none"/>
                    </w:rPr>
                  </w:pPr>
                  <w:r>
                    <w:rPr>
                      <w:bCs/>
                      <w:color w:val="auto"/>
                      <w:szCs w:val="21"/>
                      <w:highlight w:val="none"/>
                    </w:rPr>
                    <w:t>三级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67" w:type="dxa"/>
                  <w:vMerge w:val="restart"/>
                  <w:tcBorders>
                    <w:tl2br w:val="nil"/>
                    <w:tr2bl w:val="nil"/>
                  </w:tcBorders>
                  <w:vAlign w:val="center"/>
                </w:tcPr>
                <w:p>
                  <w:pPr>
                    <w:jc w:val="center"/>
                    <w:rPr>
                      <w:color w:val="auto"/>
                      <w:szCs w:val="21"/>
                      <w:highlight w:val="none"/>
                    </w:rPr>
                  </w:pPr>
                  <w:r>
                    <w:rPr>
                      <w:color w:val="auto"/>
                      <w:szCs w:val="21"/>
                      <w:highlight w:val="none"/>
                    </w:rPr>
                    <w:t>无组织</w:t>
                  </w:r>
                </w:p>
              </w:tc>
              <w:tc>
                <w:tcPr>
                  <w:tcW w:w="1354" w:type="dxa"/>
                  <w:vMerge w:val="restart"/>
                  <w:tcBorders>
                    <w:tl2br w:val="nil"/>
                    <w:tr2bl w:val="nil"/>
                  </w:tcBorders>
                  <w:vAlign w:val="center"/>
                </w:tcPr>
                <w:p>
                  <w:pPr>
                    <w:widowControl/>
                    <w:adjustRightInd w:val="0"/>
                    <w:snapToGrid w:val="0"/>
                    <w:jc w:val="center"/>
                    <w:rPr>
                      <w:bCs/>
                      <w:color w:val="auto"/>
                      <w:kern w:val="0"/>
                      <w:szCs w:val="21"/>
                      <w:highlight w:val="none"/>
                    </w:rPr>
                  </w:pPr>
                  <w:r>
                    <w:rPr>
                      <w:color w:val="auto"/>
                      <w:szCs w:val="21"/>
                      <w:highlight w:val="none"/>
                    </w:rPr>
                    <w:t>生产车间</w:t>
                  </w:r>
                </w:p>
              </w:tc>
              <w:tc>
                <w:tcPr>
                  <w:tcW w:w="1529" w:type="dxa"/>
                  <w:tcBorders>
                    <w:tl2br w:val="nil"/>
                    <w:tr2bl w:val="nil"/>
                  </w:tcBorders>
                  <w:vAlign w:val="center"/>
                </w:tcPr>
                <w:p>
                  <w:pPr>
                    <w:widowControl/>
                    <w:topLinePunct/>
                    <w:autoSpaceDE w:val="0"/>
                    <w:autoSpaceDN w:val="0"/>
                    <w:adjustRightInd w:val="0"/>
                    <w:jc w:val="center"/>
                    <w:textAlignment w:val="baseline"/>
                    <w:rPr>
                      <w:color w:val="auto"/>
                      <w:kern w:val="24"/>
                      <w:szCs w:val="21"/>
                      <w:highlight w:val="none"/>
                    </w:rPr>
                  </w:pPr>
                  <w:r>
                    <w:rPr>
                      <w:color w:val="auto"/>
                      <w:szCs w:val="21"/>
                      <w:highlight w:val="none"/>
                    </w:rPr>
                    <w:t>非甲烷总烃</w:t>
                  </w:r>
                </w:p>
              </w:tc>
              <w:tc>
                <w:tcPr>
                  <w:tcW w:w="1128" w:type="dxa"/>
                  <w:tcBorders>
                    <w:tl2br w:val="nil"/>
                    <w:tr2bl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3.36</w:t>
                  </w:r>
                </w:p>
              </w:tc>
              <w:tc>
                <w:tcPr>
                  <w:tcW w:w="1305" w:type="dxa"/>
                  <w:tcBorders>
                    <w:tl2br w:val="nil"/>
                    <w:tr2bl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0.0671</w:t>
                  </w:r>
                </w:p>
              </w:tc>
              <w:tc>
                <w:tcPr>
                  <w:tcW w:w="900" w:type="dxa"/>
                  <w:tcBorders>
                    <w:right w:val="single" w:color="auto" w:sz="4" w:space="0"/>
                    <w:tl2br w:val="nil"/>
                    <w:tr2bl w:val="nil"/>
                  </w:tcBorders>
                  <w:vAlign w:val="center"/>
                </w:tcPr>
                <w:p>
                  <w:pPr>
                    <w:adjustRightInd w:val="0"/>
                    <w:snapToGrid w:val="0"/>
                    <w:jc w:val="center"/>
                    <w:rPr>
                      <w:color w:val="auto"/>
                      <w:szCs w:val="21"/>
                      <w:highlight w:val="none"/>
                    </w:rPr>
                  </w:pPr>
                  <w:r>
                    <w:rPr>
                      <w:rFonts w:hint="eastAsia"/>
                      <w:color w:val="auto"/>
                      <w:szCs w:val="21"/>
                      <w:highlight w:val="none"/>
                    </w:rPr>
                    <w:t>17</w:t>
                  </w:r>
                </w:p>
              </w:tc>
              <w:tc>
                <w:tcPr>
                  <w:tcW w:w="1110" w:type="dxa"/>
                  <w:tcBorders>
                    <w:left w:val="single" w:color="auto" w:sz="4" w:space="0"/>
                    <w:tl2br w:val="nil"/>
                    <w:tr2bl w:val="nil"/>
                  </w:tcBorders>
                  <w:vAlign w:val="center"/>
                </w:tcPr>
                <w:p>
                  <w:pPr>
                    <w:adjustRightInd w:val="0"/>
                    <w:snapToGrid w:val="0"/>
                    <w:jc w:val="center"/>
                    <w:rPr>
                      <w:color w:val="auto"/>
                      <w:szCs w:val="21"/>
                      <w:highlight w:val="none"/>
                    </w:rPr>
                  </w:pPr>
                  <w:r>
                    <w:rPr>
                      <w:color w:val="auto"/>
                      <w:szCs w:val="21"/>
                      <w:highlight w:val="none"/>
                    </w:rPr>
                    <w:t>/</w:t>
                  </w:r>
                </w:p>
              </w:tc>
              <w:tc>
                <w:tcPr>
                  <w:tcW w:w="796" w:type="dxa"/>
                  <w:tcBorders>
                    <w:tl2br w:val="nil"/>
                    <w:tr2bl w:val="nil"/>
                  </w:tcBorders>
                  <w:vAlign w:val="center"/>
                </w:tcPr>
                <w:p>
                  <w:pPr>
                    <w:adjustRightInd w:val="0"/>
                    <w:snapToGrid w:val="0"/>
                    <w:jc w:val="center"/>
                    <w:rPr>
                      <w:color w:val="auto"/>
                      <w:szCs w:val="21"/>
                      <w:highlight w:val="none"/>
                    </w:rPr>
                  </w:pPr>
                  <w:r>
                    <w:rPr>
                      <w:rFonts w:hint="eastAsia"/>
                      <w:bCs/>
                      <w:color w:val="auto"/>
                      <w:szCs w:val="21"/>
                      <w:highlight w:val="none"/>
                      <w:lang w:eastAsia="zh-CN"/>
                    </w:rPr>
                    <w:t>二</w:t>
                  </w:r>
                  <w:r>
                    <w:rPr>
                      <w:bCs/>
                      <w:color w:val="auto"/>
                      <w:szCs w:val="21"/>
                      <w:highlight w:val="none"/>
                    </w:rPr>
                    <w:t>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67" w:type="dxa"/>
                  <w:vMerge w:val="continue"/>
                  <w:tcBorders>
                    <w:tl2br w:val="nil"/>
                    <w:tr2bl w:val="nil"/>
                  </w:tcBorders>
                  <w:vAlign w:val="center"/>
                </w:tcPr>
                <w:p>
                  <w:pPr>
                    <w:jc w:val="center"/>
                    <w:rPr>
                      <w:color w:val="auto"/>
                      <w:szCs w:val="21"/>
                      <w:highlight w:val="none"/>
                    </w:rPr>
                  </w:pPr>
                </w:p>
              </w:tc>
              <w:tc>
                <w:tcPr>
                  <w:tcW w:w="1354" w:type="dxa"/>
                  <w:vMerge w:val="continue"/>
                  <w:tcBorders>
                    <w:tl2br w:val="nil"/>
                    <w:tr2bl w:val="nil"/>
                  </w:tcBorders>
                  <w:vAlign w:val="center"/>
                </w:tcPr>
                <w:p>
                  <w:pPr>
                    <w:widowControl/>
                    <w:adjustRightInd w:val="0"/>
                    <w:snapToGrid w:val="0"/>
                    <w:jc w:val="center"/>
                    <w:rPr>
                      <w:color w:val="auto"/>
                      <w:szCs w:val="21"/>
                      <w:highlight w:val="none"/>
                    </w:rPr>
                  </w:pPr>
                </w:p>
              </w:tc>
              <w:tc>
                <w:tcPr>
                  <w:tcW w:w="1529" w:type="dxa"/>
                  <w:tcBorders>
                    <w:tl2br w:val="nil"/>
                    <w:tr2bl w:val="nil"/>
                  </w:tcBorders>
                  <w:vAlign w:val="center"/>
                </w:tcPr>
                <w:p>
                  <w:pPr>
                    <w:adjustRightInd w:val="0"/>
                    <w:snapToGrid w:val="0"/>
                    <w:jc w:val="center"/>
                    <w:rPr>
                      <w:color w:val="auto"/>
                      <w:kern w:val="24"/>
                      <w:szCs w:val="21"/>
                      <w:highlight w:val="none"/>
                    </w:rPr>
                  </w:pPr>
                  <w:r>
                    <w:rPr>
                      <w:rFonts w:hint="eastAsia"/>
                      <w:color w:val="auto"/>
                      <w:szCs w:val="21"/>
                      <w:highlight w:val="none"/>
                    </w:rPr>
                    <w:t>TSP</w:t>
                  </w:r>
                </w:p>
              </w:tc>
              <w:tc>
                <w:tcPr>
                  <w:tcW w:w="1128" w:type="dxa"/>
                  <w:tcBorders>
                    <w:tl2br w:val="nil"/>
                    <w:tr2bl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0.33</w:t>
                  </w:r>
                </w:p>
              </w:tc>
              <w:tc>
                <w:tcPr>
                  <w:tcW w:w="1305" w:type="dxa"/>
                  <w:tcBorders>
                    <w:tl2br w:val="nil"/>
                    <w:tr2bl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0.0030</w:t>
                  </w:r>
                </w:p>
              </w:tc>
              <w:tc>
                <w:tcPr>
                  <w:tcW w:w="900" w:type="dxa"/>
                  <w:tcBorders>
                    <w:right w:val="single" w:color="auto" w:sz="4" w:space="0"/>
                    <w:tl2br w:val="nil"/>
                    <w:tr2bl w:val="nil"/>
                  </w:tcBorders>
                  <w:vAlign w:val="center"/>
                </w:tcPr>
                <w:p>
                  <w:pPr>
                    <w:adjustRightInd w:val="0"/>
                    <w:snapToGrid w:val="0"/>
                    <w:jc w:val="center"/>
                    <w:rPr>
                      <w:color w:val="auto"/>
                      <w:szCs w:val="21"/>
                      <w:highlight w:val="none"/>
                    </w:rPr>
                  </w:pPr>
                  <w:r>
                    <w:rPr>
                      <w:rFonts w:hint="eastAsia"/>
                      <w:color w:val="auto"/>
                      <w:szCs w:val="21"/>
                      <w:highlight w:val="none"/>
                    </w:rPr>
                    <w:t>17</w:t>
                  </w:r>
                </w:p>
              </w:tc>
              <w:tc>
                <w:tcPr>
                  <w:tcW w:w="1110" w:type="dxa"/>
                  <w:tcBorders>
                    <w:left w:val="single" w:color="auto" w:sz="4" w:space="0"/>
                    <w:tl2br w:val="nil"/>
                    <w:tr2bl w:val="nil"/>
                  </w:tcBorders>
                  <w:vAlign w:val="center"/>
                </w:tcPr>
                <w:p>
                  <w:pPr>
                    <w:adjustRightInd w:val="0"/>
                    <w:snapToGrid w:val="0"/>
                    <w:jc w:val="center"/>
                    <w:rPr>
                      <w:color w:val="auto"/>
                      <w:szCs w:val="21"/>
                      <w:highlight w:val="none"/>
                    </w:rPr>
                  </w:pPr>
                  <w:r>
                    <w:rPr>
                      <w:color w:val="auto"/>
                      <w:szCs w:val="21"/>
                      <w:highlight w:val="none"/>
                    </w:rPr>
                    <w:t>/</w:t>
                  </w:r>
                </w:p>
              </w:tc>
              <w:tc>
                <w:tcPr>
                  <w:tcW w:w="796" w:type="dxa"/>
                  <w:tcBorders>
                    <w:tl2br w:val="nil"/>
                    <w:tr2bl w:val="nil"/>
                  </w:tcBorders>
                  <w:vAlign w:val="center"/>
                </w:tcPr>
                <w:p>
                  <w:pPr>
                    <w:adjustRightInd w:val="0"/>
                    <w:snapToGrid w:val="0"/>
                    <w:jc w:val="center"/>
                    <w:rPr>
                      <w:color w:val="auto"/>
                      <w:szCs w:val="21"/>
                      <w:highlight w:val="none"/>
                    </w:rPr>
                  </w:pPr>
                  <w:r>
                    <w:rPr>
                      <w:bCs/>
                      <w:color w:val="auto"/>
                      <w:szCs w:val="21"/>
                      <w:highlight w:val="none"/>
                    </w:rPr>
                    <w:t>三级</w:t>
                  </w:r>
                </w:p>
              </w:tc>
            </w:tr>
          </w:tbl>
          <w:p>
            <w:pPr>
              <w:spacing w:line="336" w:lineRule="auto"/>
              <w:ind w:firstLine="480" w:firstLineChars="200"/>
              <w:jc w:val="left"/>
              <w:rPr>
                <w:color w:val="auto"/>
                <w:sz w:val="24"/>
                <w:highlight w:val="none"/>
              </w:rPr>
            </w:pPr>
            <w:r>
              <w:rPr>
                <w:color w:val="auto"/>
                <w:sz w:val="24"/>
                <w:highlight w:val="none"/>
              </w:rPr>
              <w:t>由上表可知，项目主要大气污染源的最大浓度占标率为</w:t>
            </w:r>
            <w:r>
              <w:rPr>
                <w:rFonts w:hint="eastAsia"/>
                <w:color w:val="auto"/>
                <w:sz w:val="24"/>
                <w:highlight w:val="none"/>
                <w:lang w:val="en-US" w:eastAsia="zh-CN"/>
              </w:rPr>
              <w:t>3.36</w:t>
            </w:r>
            <w:r>
              <w:rPr>
                <w:color w:val="auto"/>
                <w:sz w:val="24"/>
                <w:highlight w:val="none"/>
              </w:rPr>
              <w:t>%。按《环境影响评价技术导则—大气环境》（HJ2.2-2018）中的有关规定，确定项目大气环境影响评价工作等级为</w:t>
            </w:r>
            <w:r>
              <w:rPr>
                <w:rFonts w:hint="eastAsia"/>
                <w:color w:val="auto"/>
                <w:sz w:val="24"/>
                <w:highlight w:val="none"/>
                <w:lang w:eastAsia="zh-CN"/>
              </w:rPr>
              <w:t>二</w:t>
            </w:r>
            <w:r>
              <w:rPr>
                <w:color w:val="auto"/>
                <w:sz w:val="24"/>
                <w:highlight w:val="none"/>
              </w:rPr>
              <w:t>级。</w:t>
            </w:r>
            <w:r>
              <w:rPr>
                <w:rFonts w:hint="eastAsia"/>
                <w:color w:val="auto"/>
                <w:sz w:val="24"/>
                <w:highlight w:val="none"/>
                <w:lang w:eastAsia="zh-CN"/>
              </w:rPr>
              <w:t>二</w:t>
            </w:r>
            <w:r>
              <w:rPr>
                <w:rFonts w:hint="eastAsia"/>
                <w:color w:val="auto"/>
                <w:sz w:val="24"/>
                <w:highlight w:val="none"/>
              </w:rPr>
              <w:t>级</w:t>
            </w:r>
            <w:r>
              <w:rPr>
                <w:color w:val="auto"/>
                <w:sz w:val="24"/>
                <w:highlight w:val="none"/>
              </w:rPr>
              <w:t>评价项目不进行进一步预测与评价。经核算，项目大气污染源排放情况如下：</w:t>
            </w:r>
          </w:p>
          <w:p>
            <w:pPr>
              <w:pStyle w:val="138"/>
              <w:numPr>
                <w:ilvl w:val="0"/>
                <w:numId w:val="5"/>
              </w:numPr>
              <w:tabs>
                <w:tab w:val="left" w:pos="420"/>
              </w:tabs>
              <w:spacing w:line="336"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大气污染物有组织排放量核算表</w:t>
            </w:r>
          </w:p>
          <w:tbl>
            <w:tblPr>
              <w:tblStyle w:val="41"/>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1"/>
              <w:gridCol w:w="1329"/>
              <w:gridCol w:w="1513"/>
              <w:gridCol w:w="1513"/>
              <w:gridCol w:w="1511"/>
              <w:gridCol w:w="15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1801" w:type="dxa"/>
                  <w:vAlign w:val="center"/>
                </w:tcPr>
                <w:p>
                  <w:pPr>
                    <w:jc w:val="center"/>
                    <w:rPr>
                      <w:b/>
                      <w:bCs/>
                      <w:color w:val="auto"/>
                      <w:szCs w:val="21"/>
                      <w:highlight w:val="none"/>
                    </w:rPr>
                  </w:pPr>
                  <w:r>
                    <w:rPr>
                      <w:b/>
                      <w:bCs/>
                      <w:color w:val="auto"/>
                      <w:szCs w:val="21"/>
                      <w:highlight w:val="none"/>
                    </w:rPr>
                    <w:t>序号</w:t>
                  </w:r>
                </w:p>
              </w:tc>
              <w:tc>
                <w:tcPr>
                  <w:tcW w:w="1329" w:type="dxa"/>
                  <w:vAlign w:val="center"/>
                </w:tcPr>
                <w:p>
                  <w:pPr>
                    <w:jc w:val="center"/>
                    <w:rPr>
                      <w:b/>
                      <w:bCs/>
                      <w:color w:val="auto"/>
                      <w:szCs w:val="21"/>
                      <w:highlight w:val="none"/>
                    </w:rPr>
                  </w:pPr>
                  <w:r>
                    <w:rPr>
                      <w:b/>
                      <w:bCs/>
                      <w:color w:val="auto"/>
                      <w:szCs w:val="21"/>
                      <w:highlight w:val="none"/>
                    </w:rPr>
                    <w:t>排放口编号</w:t>
                  </w:r>
                </w:p>
              </w:tc>
              <w:tc>
                <w:tcPr>
                  <w:tcW w:w="1513" w:type="dxa"/>
                  <w:vAlign w:val="center"/>
                </w:tcPr>
                <w:p>
                  <w:pPr>
                    <w:jc w:val="center"/>
                    <w:rPr>
                      <w:b/>
                      <w:bCs/>
                      <w:color w:val="auto"/>
                      <w:szCs w:val="21"/>
                      <w:highlight w:val="none"/>
                    </w:rPr>
                  </w:pPr>
                  <w:r>
                    <w:rPr>
                      <w:b/>
                      <w:bCs/>
                      <w:color w:val="auto"/>
                      <w:szCs w:val="21"/>
                      <w:highlight w:val="none"/>
                    </w:rPr>
                    <w:t>污染物</w:t>
                  </w:r>
                </w:p>
              </w:tc>
              <w:tc>
                <w:tcPr>
                  <w:tcW w:w="1513" w:type="dxa"/>
                  <w:vAlign w:val="center"/>
                </w:tcPr>
                <w:p>
                  <w:pPr>
                    <w:jc w:val="center"/>
                    <w:rPr>
                      <w:b/>
                      <w:bCs/>
                      <w:color w:val="auto"/>
                      <w:szCs w:val="21"/>
                      <w:highlight w:val="none"/>
                    </w:rPr>
                  </w:pPr>
                  <w:r>
                    <w:rPr>
                      <w:b/>
                      <w:bCs/>
                      <w:color w:val="auto"/>
                      <w:szCs w:val="21"/>
                      <w:highlight w:val="none"/>
                    </w:rPr>
                    <w:t>核算排放浓度</w:t>
                  </w:r>
                </w:p>
                <w:p>
                  <w:pPr>
                    <w:jc w:val="center"/>
                    <w:rPr>
                      <w:b/>
                      <w:bCs/>
                      <w:color w:val="auto"/>
                      <w:szCs w:val="21"/>
                      <w:highlight w:val="none"/>
                    </w:rPr>
                  </w:pPr>
                  <w:r>
                    <w:rPr>
                      <w:b/>
                      <w:bCs/>
                      <w:color w:val="auto"/>
                      <w:szCs w:val="21"/>
                      <w:highlight w:val="none"/>
                    </w:rPr>
                    <w:t>（mg/m³）</w:t>
                  </w:r>
                </w:p>
              </w:tc>
              <w:tc>
                <w:tcPr>
                  <w:tcW w:w="1511" w:type="dxa"/>
                  <w:vAlign w:val="center"/>
                </w:tcPr>
                <w:p>
                  <w:pPr>
                    <w:jc w:val="center"/>
                    <w:rPr>
                      <w:b/>
                      <w:bCs/>
                      <w:color w:val="auto"/>
                      <w:szCs w:val="21"/>
                      <w:highlight w:val="none"/>
                    </w:rPr>
                  </w:pPr>
                  <w:r>
                    <w:rPr>
                      <w:b/>
                      <w:bCs/>
                      <w:color w:val="auto"/>
                      <w:szCs w:val="21"/>
                      <w:highlight w:val="none"/>
                    </w:rPr>
                    <w:t>核算排放速率</w:t>
                  </w:r>
                </w:p>
                <w:p>
                  <w:pPr>
                    <w:jc w:val="center"/>
                    <w:rPr>
                      <w:b/>
                      <w:bCs/>
                      <w:color w:val="auto"/>
                      <w:szCs w:val="21"/>
                      <w:highlight w:val="none"/>
                    </w:rPr>
                  </w:pPr>
                  <w:r>
                    <w:rPr>
                      <w:b/>
                      <w:bCs/>
                      <w:color w:val="auto"/>
                      <w:szCs w:val="21"/>
                      <w:highlight w:val="none"/>
                    </w:rPr>
                    <w:t>（kg/h）</w:t>
                  </w:r>
                </w:p>
              </w:tc>
              <w:tc>
                <w:tcPr>
                  <w:tcW w:w="1513" w:type="dxa"/>
                  <w:vAlign w:val="center"/>
                </w:tcPr>
                <w:p>
                  <w:pPr>
                    <w:jc w:val="center"/>
                    <w:rPr>
                      <w:b/>
                      <w:bCs/>
                      <w:color w:val="auto"/>
                      <w:szCs w:val="21"/>
                      <w:highlight w:val="none"/>
                    </w:rPr>
                  </w:pPr>
                  <w:r>
                    <w:rPr>
                      <w:b/>
                      <w:bCs/>
                      <w:color w:val="auto"/>
                      <w:szCs w:val="21"/>
                      <w:highlight w:val="none"/>
                    </w:rPr>
                    <w:t>核算年排放量</w:t>
                  </w:r>
                </w:p>
                <w:p>
                  <w:pPr>
                    <w:jc w:val="center"/>
                    <w:rPr>
                      <w:b/>
                      <w:bCs/>
                      <w:color w:val="auto"/>
                      <w:szCs w:val="21"/>
                      <w:highlight w:val="none"/>
                    </w:rPr>
                  </w:pPr>
                  <w:r>
                    <w:rPr>
                      <w:b/>
                      <w:bCs/>
                      <w:color w:val="auto"/>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9180" w:type="dxa"/>
                  <w:gridSpan w:val="6"/>
                  <w:vAlign w:val="center"/>
                </w:tcPr>
                <w:p>
                  <w:pPr>
                    <w:jc w:val="center"/>
                    <w:rPr>
                      <w:color w:val="auto"/>
                      <w:szCs w:val="21"/>
                      <w:highlight w:val="none"/>
                    </w:rPr>
                  </w:pPr>
                  <w:r>
                    <w:rPr>
                      <w:color w:val="auto"/>
                      <w:szCs w:val="21"/>
                      <w:highlight w:val="none"/>
                    </w:rPr>
                    <w:t>主要排放口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801" w:type="dxa"/>
                  <w:vAlign w:val="center"/>
                </w:tcPr>
                <w:p>
                  <w:pPr>
                    <w:jc w:val="center"/>
                    <w:rPr>
                      <w:color w:val="auto"/>
                      <w:szCs w:val="21"/>
                      <w:highlight w:val="none"/>
                    </w:rPr>
                  </w:pPr>
                  <w:r>
                    <w:rPr>
                      <w:color w:val="auto"/>
                      <w:szCs w:val="21"/>
                      <w:highlight w:val="none"/>
                    </w:rPr>
                    <w:t>1</w:t>
                  </w:r>
                </w:p>
              </w:tc>
              <w:tc>
                <w:tcPr>
                  <w:tcW w:w="1329" w:type="dxa"/>
                  <w:vAlign w:val="center"/>
                </w:tcPr>
                <w:p>
                  <w:pPr>
                    <w:widowControl/>
                    <w:adjustRightInd w:val="0"/>
                    <w:snapToGrid w:val="0"/>
                    <w:jc w:val="center"/>
                    <w:rPr>
                      <w:color w:val="auto"/>
                      <w:szCs w:val="21"/>
                      <w:highlight w:val="none"/>
                    </w:rPr>
                  </w:pPr>
                  <w:r>
                    <w:rPr>
                      <w:color w:val="auto"/>
                      <w:szCs w:val="21"/>
                      <w:highlight w:val="none"/>
                    </w:rPr>
                    <w:t>G1</w:t>
                  </w:r>
                </w:p>
              </w:tc>
              <w:tc>
                <w:tcPr>
                  <w:tcW w:w="1513" w:type="dxa"/>
                  <w:vAlign w:val="center"/>
                </w:tcPr>
                <w:p>
                  <w:pPr>
                    <w:adjustRightInd w:val="0"/>
                    <w:snapToGrid w:val="0"/>
                    <w:jc w:val="center"/>
                    <w:rPr>
                      <w:color w:val="auto"/>
                      <w:szCs w:val="21"/>
                      <w:highlight w:val="none"/>
                    </w:rPr>
                  </w:pPr>
                  <w:r>
                    <w:rPr>
                      <w:color w:val="auto"/>
                      <w:szCs w:val="21"/>
                      <w:highlight w:val="none"/>
                    </w:rPr>
                    <w:t>非甲烷总烃</w:t>
                  </w:r>
                </w:p>
              </w:tc>
              <w:tc>
                <w:tcPr>
                  <w:tcW w:w="1513" w:type="dxa"/>
                  <w:vAlign w:val="center"/>
                </w:tcPr>
                <w:p>
                  <w:pPr>
                    <w:widowControl/>
                    <w:jc w:val="center"/>
                    <w:textAlignment w:val="center"/>
                    <w:rPr>
                      <w:rFonts w:hint="default" w:eastAsia="宋体"/>
                      <w:color w:val="auto"/>
                      <w:szCs w:val="21"/>
                      <w:highlight w:val="none"/>
                      <w:lang w:val="en-US" w:eastAsia="zh-CN"/>
                    </w:rPr>
                  </w:pPr>
                  <w:r>
                    <w:rPr>
                      <w:rFonts w:hint="eastAsia"/>
                      <w:color w:val="auto"/>
                      <w:kern w:val="0"/>
                      <w:szCs w:val="21"/>
                      <w:highlight w:val="none"/>
                      <w:lang w:val="en-US" w:eastAsia="zh-CN"/>
                    </w:rPr>
                    <w:t>8.33</w:t>
                  </w:r>
                </w:p>
              </w:tc>
              <w:tc>
                <w:tcPr>
                  <w:tcW w:w="1511" w:type="dxa"/>
                  <w:vAlign w:val="center"/>
                </w:tcPr>
                <w:p>
                  <w:pPr>
                    <w:widowControl/>
                    <w:jc w:val="center"/>
                    <w:textAlignment w:val="center"/>
                    <w:rPr>
                      <w:color w:val="auto"/>
                      <w:szCs w:val="21"/>
                      <w:highlight w:val="none"/>
                    </w:rPr>
                  </w:pPr>
                  <w:r>
                    <w:rPr>
                      <w:rFonts w:hint="eastAsia"/>
                      <w:bCs/>
                      <w:color w:val="auto"/>
                      <w:szCs w:val="21"/>
                      <w:highlight w:val="none"/>
                      <w:lang w:val="en-US" w:eastAsia="zh-CN"/>
                    </w:rPr>
                    <w:t>0.069</w:t>
                  </w:r>
                </w:p>
              </w:tc>
              <w:tc>
                <w:tcPr>
                  <w:tcW w:w="1513" w:type="dxa"/>
                  <w:vAlign w:val="center"/>
                </w:tcPr>
                <w:p>
                  <w:pPr>
                    <w:widowControl/>
                    <w:jc w:val="center"/>
                    <w:textAlignment w:val="center"/>
                    <w:rPr>
                      <w:color w:val="auto"/>
                      <w:szCs w:val="21"/>
                      <w:highlight w:val="none"/>
                    </w:rPr>
                  </w:pPr>
                  <w:r>
                    <w:rPr>
                      <w:rFonts w:hint="eastAsia"/>
                      <w:color w:val="auto"/>
                      <w:kern w:val="0"/>
                      <w:szCs w:val="21"/>
                      <w:highlight w:val="none"/>
                      <w:lang w:val="en-US" w:eastAsia="zh-CN"/>
                    </w:rPr>
                    <w:t>0.166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180" w:type="dxa"/>
                  <w:gridSpan w:val="6"/>
                  <w:vAlign w:val="center"/>
                </w:tcPr>
                <w:p>
                  <w:pPr>
                    <w:jc w:val="center"/>
                    <w:rPr>
                      <w:color w:val="auto"/>
                      <w:szCs w:val="21"/>
                      <w:highlight w:val="none"/>
                    </w:rPr>
                  </w:pPr>
                  <w:r>
                    <w:rPr>
                      <w:color w:val="auto"/>
                      <w:szCs w:val="21"/>
                      <w:highlight w:val="none"/>
                    </w:rPr>
                    <w:t>有组织排放总计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1801" w:type="dxa"/>
                  <w:vAlign w:val="center"/>
                </w:tcPr>
                <w:p>
                  <w:pPr>
                    <w:jc w:val="center"/>
                    <w:rPr>
                      <w:color w:val="auto"/>
                      <w:szCs w:val="21"/>
                      <w:highlight w:val="none"/>
                    </w:rPr>
                  </w:pPr>
                  <w:r>
                    <w:rPr>
                      <w:color w:val="auto"/>
                      <w:szCs w:val="21"/>
                      <w:highlight w:val="none"/>
                    </w:rPr>
                    <w:t>有组织排放总计</w:t>
                  </w:r>
                </w:p>
              </w:tc>
              <w:tc>
                <w:tcPr>
                  <w:tcW w:w="5866" w:type="dxa"/>
                  <w:gridSpan w:val="4"/>
                  <w:vAlign w:val="center"/>
                </w:tcPr>
                <w:p>
                  <w:pPr>
                    <w:adjustRightInd w:val="0"/>
                    <w:snapToGrid w:val="0"/>
                    <w:jc w:val="center"/>
                    <w:rPr>
                      <w:color w:val="auto"/>
                      <w:szCs w:val="21"/>
                      <w:highlight w:val="none"/>
                    </w:rPr>
                  </w:pPr>
                  <w:r>
                    <w:rPr>
                      <w:color w:val="auto"/>
                      <w:szCs w:val="21"/>
                      <w:highlight w:val="none"/>
                    </w:rPr>
                    <w:t>非甲烷总烃</w:t>
                  </w:r>
                </w:p>
              </w:tc>
              <w:tc>
                <w:tcPr>
                  <w:tcW w:w="1513" w:type="dxa"/>
                  <w:vAlign w:val="center"/>
                </w:tcPr>
                <w:p>
                  <w:pPr>
                    <w:widowControl/>
                    <w:jc w:val="center"/>
                    <w:textAlignment w:val="center"/>
                    <w:rPr>
                      <w:rFonts w:hint="default" w:eastAsia="宋体"/>
                      <w:color w:val="auto"/>
                      <w:szCs w:val="21"/>
                      <w:highlight w:val="none"/>
                      <w:lang w:val="en-US" w:eastAsia="zh-CN"/>
                    </w:rPr>
                  </w:pPr>
                  <w:r>
                    <w:rPr>
                      <w:rFonts w:hint="eastAsia"/>
                      <w:color w:val="auto"/>
                      <w:kern w:val="0"/>
                      <w:szCs w:val="21"/>
                      <w:highlight w:val="none"/>
                      <w:lang w:val="en-US" w:eastAsia="zh-CN"/>
                    </w:rPr>
                    <w:t>0.166</w:t>
                  </w:r>
                </w:p>
              </w:tc>
            </w:tr>
          </w:tbl>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大气污染物无组织排放量核算表</w:t>
            </w:r>
          </w:p>
          <w:tbl>
            <w:tblPr>
              <w:tblStyle w:val="41"/>
              <w:tblW w:w="92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949"/>
              <w:gridCol w:w="863"/>
              <w:gridCol w:w="1067"/>
              <w:gridCol w:w="1577"/>
              <w:gridCol w:w="1860"/>
              <w:gridCol w:w="1185"/>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660" w:type="dxa"/>
                  <w:vMerge w:val="restart"/>
                  <w:vAlign w:val="center"/>
                </w:tcPr>
                <w:p>
                  <w:pPr>
                    <w:jc w:val="center"/>
                    <w:rPr>
                      <w:b/>
                      <w:bCs/>
                      <w:color w:val="auto"/>
                      <w:szCs w:val="21"/>
                      <w:highlight w:val="none"/>
                    </w:rPr>
                  </w:pPr>
                  <w:r>
                    <w:rPr>
                      <w:b/>
                      <w:bCs/>
                      <w:color w:val="auto"/>
                      <w:szCs w:val="21"/>
                      <w:highlight w:val="none"/>
                    </w:rPr>
                    <w:t>序号</w:t>
                  </w:r>
                </w:p>
              </w:tc>
              <w:tc>
                <w:tcPr>
                  <w:tcW w:w="949" w:type="dxa"/>
                  <w:vMerge w:val="restart"/>
                  <w:vAlign w:val="center"/>
                </w:tcPr>
                <w:p>
                  <w:pPr>
                    <w:jc w:val="center"/>
                    <w:rPr>
                      <w:b/>
                      <w:bCs/>
                      <w:color w:val="auto"/>
                      <w:szCs w:val="21"/>
                      <w:highlight w:val="none"/>
                    </w:rPr>
                  </w:pPr>
                  <w:r>
                    <w:rPr>
                      <w:b/>
                      <w:bCs/>
                      <w:color w:val="auto"/>
                      <w:szCs w:val="21"/>
                      <w:highlight w:val="none"/>
                    </w:rPr>
                    <w:t>排放口编号</w:t>
                  </w:r>
                </w:p>
              </w:tc>
              <w:tc>
                <w:tcPr>
                  <w:tcW w:w="863" w:type="dxa"/>
                  <w:vMerge w:val="restart"/>
                  <w:vAlign w:val="center"/>
                </w:tcPr>
                <w:p>
                  <w:pPr>
                    <w:jc w:val="center"/>
                    <w:rPr>
                      <w:b/>
                      <w:bCs/>
                      <w:color w:val="auto"/>
                      <w:szCs w:val="21"/>
                      <w:highlight w:val="none"/>
                    </w:rPr>
                  </w:pPr>
                  <w:r>
                    <w:rPr>
                      <w:b/>
                      <w:bCs/>
                      <w:color w:val="auto"/>
                      <w:szCs w:val="21"/>
                      <w:highlight w:val="none"/>
                    </w:rPr>
                    <w:t>产物环节</w:t>
                  </w:r>
                </w:p>
              </w:tc>
              <w:tc>
                <w:tcPr>
                  <w:tcW w:w="1067" w:type="dxa"/>
                  <w:vMerge w:val="restart"/>
                  <w:vAlign w:val="center"/>
                </w:tcPr>
                <w:p>
                  <w:pPr>
                    <w:jc w:val="center"/>
                    <w:rPr>
                      <w:b/>
                      <w:bCs/>
                      <w:color w:val="auto"/>
                      <w:szCs w:val="21"/>
                      <w:highlight w:val="none"/>
                    </w:rPr>
                  </w:pPr>
                  <w:r>
                    <w:rPr>
                      <w:b/>
                      <w:bCs/>
                      <w:color w:val="auto"/>
                      <w:szCs w:val="21"/>
                      <w:highlight w:val="none"/>
                    </w:rPr>
                    <w:t>污染物</w:t>
                  </w:r>
                </w:p>
              </w:tc>
              <w:tc>
                <w:tcPr>
                  <w:tcW w:w="1577" w:type="dxa"/>
                  <w:vMerge w:val="restart"/>
                  <w:vAlign w:val="center"/>
                </w:tcPr>
                <w:p>
                  <w:pPr>
                    <w:jc w:val="center"/>
                    <w:rPr>
                      <w:b/>
                      <w:bCs/>
                      <w:color w:val="auto"/>
                      <w:szCs w:val="21"/>
                      <w:highlight w:val="none"/>
                    </w:rPr>
                  </w:pPr>
                  <w:r>
                    <w:rPr>
                      <w:b/>
                      <w:bCs/>
                      <w:color w:val="auto"/>
                      <w:szCs w:val="21"/>
                      <w:highlight w:val="none"/>
                    </w:rPr>
                    <w:t>主要污染防治措施</w:t>
                  </w:r>
                </w:p>
              </w:tc>
              <w:tc>
                <w:tcPr>
                  <w:tcW w:w="3045" w:type="dxa"/>
                  <w:gridSpan w:val="2"/>
                  <w:vAlign w:val="center"/>
                </w:tcPr>
                <w:p>
                  <w:pPr>
                    <w:jc w:val="center"/>
                    <w:rPr>
                      <w:b/>
                      <w:bCs/>
                      <w:color w:val="auto"/>
                      <w:szCs w:val="21"/>
                      <w:highlight w:val="none"/>
                    </w:rPr>
                  </w:pPr>
                  <w:r>
                    <w:rPr>
                      <w:b/>
                      <w:bCs/>
                      <w:color w:val="auto"/>
                      <w:szCs w:val="21"/>
                      <w:highlight w:val="none"/>
                    </w:rPr>
                    <w:t>国家或地方污染物排放标准</w:t>
                  </w:r>
                </w:p>
              </w:tc>
              <w:tc>
                <w:tcPr>
                  <w:tcW w:w="1079" w:type="dxa"/>
                  <w:vMerge w:val="restart"/>
                  <w:vAlign w:val="center"/>
                </w:tcPr>
                <w:p>
                  <w:pPr>
                    <w:jc w:val="center"/>
                    <w:rPr>
                      <w:b/>
                      <w:bCs/>
                      <w:color w:val="auto"/>
                      <w:szCs w:val="21"/>
                      <w:highlight w:val="none"/>
                    </w:rPr>
                  </w:pPr>
                  <w:r>
                    <w:rPr>
                      <w:b/>
                      <w:bCs/>
                      <w:color w:val="auto"/>
                      <w:szCs w:val="21"/>
                      <w:highlight w:val="none"/>
                    </w:rPr>
                    <w:t>年排放量</w:t>
                  </w:r>
                </w:p>
                <w:p>
                  <w:pPr>
                    <w:jc w:val="center"/>
                    <w:rPr>
                      <w:b/>
                      <w:bCs/>
                      <w:color w:val="auto"/>
                      <w:szCs w:val="21"/>
                      <w:highlight w:val="none"/>
                    </w:rPr>
                  </w:pPr>
                  <w:r>
                    <w:rPr>
                      <w:b/>
                      <w:bCs/>
                      <w:color w:val="auto"/>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660" w:type="dxa"/>
                  <w:vMerge w:val="continue"/>
                  <w:vAlign w:val="center"/>
                </w:tcPr>
                <w:p>
                  <w:pPr>
                    <w:spacing w:line="360" w:lineRule="auto"/>
                    <w:jc w:val="center"/>
                    <w:rPr>
                      <w:color w:val="auto"/>
                      <w:szCs w:val="21"/>
                      <w:highlight w:val="none"/>
                    </w:rPr>
                  </w:pPr>
                </w:p>
              </w:tc>
              <w:tc>
                <w:tcPr>
                  <w:tcW w:w="949" w:type="dxa"/>
                  <w:vMerge w:val="continue"/>
                  <w:vAlign w:val="center"/>
                </w:tcPr>
                <w:p>
                  <w:pPr>
                    <w:spacing w:line="360" w:lineRule="auto"/>
                    <w:jc w:val="center"/>
                    <w:rPr>
                      <w:color w:val="auto"/>
                      <w:szCs w:val="21"/>
                      <w:highlight w:val="none"/>
                    </w:rPr>
                  </w:pPr>
                </w:p>
              </w:tc>
              <w:tc>
                <w:tcPr>
                  <w:tcW w:w="863" w:type="dxa"/>
                  <w:vMerge w:val="continue"/>
                  <w:vAlign w:val="center"/>
                </w:tcPr>
                <w:p>
                  <w:pPr>
                    <w:spacing w:line="360" w:lineRule="auto"/>
                    <w:jc w:val="center"/>
                    <w:rPr>
                      <w:color w:val="auto"/>
                      <w:szCs w:val="21"/>
                      <w:highlight w:val="none"/>
                    </w:rPr>
                  </w:pPr>
                </w:p>
              </w:tc>
              <w:tc>
                <w:tcPr>
                  <w:tcW w:w="1067" w:type="dxa"/>
                  <w:vMerge w:val="continue"/>
                  <w:vAlign w:val="center"/>
                </w:tcPr>
                <w:p>
                  <w:pPr>
                    <w:spacing w:line="360" w:lineRule="auto"/>
                    <w:jc w:val="center"/>
                    <w:rPr>
                      <w:color w:val="auto"/>
                      <w:szCs w:val="21"/>
                      <w:highlight w:val="none"/>
                    </w:rPr>
                  </w:pPr>
                </w:p>
              </w:tc>
              <w:tc>
                <w:tcPr>
                  <w:tcW w:w="1577" w:type="dxa"/>
                  <w:vMerge w:val="continue"/>
                  <w:vAlign w:val="center"/>
                </w:tcPr>
                <w:p>
                  <w:pPr>
                    <w:spacing w:line="360" w:lineRule="auto"/>
                    <w:jc w:val="center"/>
                    <w:rPr>
                      <w:color w:val="auto"/>
                      <w:szCs w:val="21"/>
                      <w:highlight w:val="none"/>
                    </w:rPr>
                  </w:pPr>
                </w:p>
              </w:tc>
              <w:tc>
                <w:tcPr>
                  <w:tcW w:w="1860" w:type="dxa"/>
                  <w:vAlign w:val="center"/>
                </w:tcPr>
                <w:p>
                  <w:pPr>
                    <w:jc w:val="center"/>
                    <w:rPr>
                      <w:b/>
                      <w:bCs/>
                      <w:color w:val="auto"/>
                      <w:szCs w:val="21"/>
                      <w:highlight w:val="none"/>
                    </w:rPr>
                  </w:pPr>
                  <w:r>
                    <w:rPr>
                      <w:b/>
                      <w:bCs/>
                      <w:color w:val="auto"/>
                      <w:szCs w:val="21"/>
                      <w:highlight w:val="none"/>
                    </w:rPr>
                    <w:t>标准名称</w:t>
                  </w:r>
                </w:p>
              </w:tc>
              <w:tc>
                <w:tcPr>
                  <w:tcW w:w="1185" w:type="dxa"/>
                  <w:vAlign w:val="center"/>
                </w:tcPr>
                <w:p>
                  <w:pPr>
                    <w:jc w:val="center"/>
                    <w:rPr>
                      <w:b/>
                      <w:bCs/>
                      <w:color w:val="auto"/>
                      <w:szCs w:val="21"/>
                      <w:highlight w:val="none"/>
                    </w:rPr>
                  </w:pPr>
                  <w:r>
                    <w:rPr>
                      <w:b/>
                      <w:bCs/>
                      <w:color w:val="auto"/>
                      <w:szCs w:val="21"/>
                      <w:highlight w:val="none"/>
                    </w:rPr>
                    <w:t>浓度限值（mg/m³）</w:t>
                  </w:r>
                </w:p>
              </w:tc>
              <w:tc>
                <w:tcPr>
                  <w:tcW w:w="1079" w:type="dxa"/>
                  <w:vMerge w:val="continue"/>
                  <w:vAlign w:val="center"/>
                </w:tcPr>
                <w:p>
                  <w:pPr>
                    <w:spacing w:line="360" w:lineRule="auto"/>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9" w:hRule="atLeast"/>
              </w:trPr>
              <w:tc>
                <w:tcPr>
                  <w:tcW w:w="660" w:type="dxa"/>
                  <w:vMerge w:val="restart"/>
                  <w:vAlign w:val="center"/>
                </w:tcPr>
                <w:p>
                  <w:pPr>
                    <w:spacing w:line="360" w:lineRule="auto"/>
                    <w:jc w:val="center"/>
                    <w:rPr>
                      <w:color w:val="auto"/>
                      <w:szCs w:val="21"/>
                      <w:highlight w:val="none"/>
                    </w:rPr>
                  </w:pPr>
                  <w:r>
                    <w:rPr>
                      <w:color w:val="auto"/>
                      <w:szCs w:val="21"/>
                      <w:highlight w:val="none"/>
                    </w:rPr>
                    <w:t>1</w:t>
                  </w:r>
                </w:p>
              </w:tc>
              <w:tc>
                <w:tcPr>
                  <w:tcW w:w="949" w:type="dxa"/>
                  <w:vMerge w:val="restart"/>
                  <w:vAlign w:val="center"/>
                </w:tcPr>
                <w:p>
                  <w:pPr>
                    <w:spacing w:line="360" w:lineRule="auto"/>
                    <w:jc w:val="center"/>
                    <w:rPr>
                      <w:color w:val="auto"/>
                      <w:szCs w:val="21"/>
                      <w:highlight w:val="none"/>
                    </w:rPr>
                  </w:pPr>
                  <w:r>
                    <w:rPr>
                      <w:rFonts w:hint="eastAsia"/>
                      <w:color w:val="auto"/>
                      <w:szCs w:val="21"/>
                      <w:highlight w:val="none"/>
                    </w:rPr>
                    <w:t>生产</w:t>
                  </w:r>
                  <w:r>
                    <w:rPr>
                      <w:color w:val="auto"/>
                      <w:szCs w:val="21"/>
                      <w:highlight w:val="none"/>
                    </w:rPr>
                    <w:t>车间</w:t>
                  </w:r>
                </w:p>
              </w:tc>
              <w:tc>
                <w:tcPr>
                  <w:tcW w:w="863" w:type="dxa"/>
                  <w:vAlign w:val="center"/>
                </w:tcPr>
                <w:p>
                  <w:pPr>
                    <w:spacing w:line="360" w:lineRule="auto"/>
                    <w:jc w:val="center"/>
                    <w:rPr>
                      <w:color w:val="auto"/>
                      <w:szCs w:val="21"/>
                      <w:highlight w:val="none"/>
                    </w:rPr>
                  </w:pPr>
                  <w:r>
                    <w:rPr>
                      <w:rFonts w:hint="eastAsia"/>
                      <w:color w:val="auto"/>
                      <w:szCs w:val="21"/>
                      <w:highlight w:val="none"/>
                    </w:rPr>
                    <w:t>注塑</w:t>
                  </w:r>
                  <w:r>
                    <w:rPr>
                      <w:color w:val="auto"/>
                      <w:szCs w:val="21"/>
                      <w:highlight w:val="none"/>
                    </w:rPr>
                    <w:t>工序</w:t>
                  </w:r>
                </w:p>
              </w:tc>
              <w:tc>
                <w:tcPr>
                  <w:tcW w:w="1067" w:type="dxa"/>
                  <w:vAlign w:val="center"/>
                </w:tcPr>
                <w:p>
                  <w:pPr>
                    <w:adjustRightInd w:val="0"/>
                    <w:snapToGrid w:val="0"/>
                    <w:jc w:val="center"/>
                    <w:rPr>
                      <w:color w:val="auto"/>
                      <w:szCs w:val="21"/>
                      <w:highlight w:val="none"/>
                    </w:rPr>
                  </w:pPr>
                  <w:r>
                    <w:rPr>
                      <w:color w:val="auto"/>
                      <w:szCs w:val="21"/>
                      <w:highlight w:val="none"/>
                    </w:rPr>
                    <w:t>非甲烷总烃</w:t>
                  </w:r>
                </w:p>
              </w:tc>
              <w:tc>
                <w:tcPr>
                  <w:tcW w:w="1577" w:type="dxa"/>
                  <w:vAlign w:val="center"/>
                </w:tcPr>
                <w:p>
                  <w:pPr>
                    <w:jc w:val="center"/>
                    <w:rPr>
                      <w:color w:val="auto"/>
                      <w:szCs w:val="21"/>
                      <w:highlight w:val="none"/>
                    </w:rPr>
                  </w:pPr>
                  <w:r>
                    <w:rPr>
                      <w:color w:val="auto"/>
                      <w:szCs w:val="21"/>
                      <w:highlight w:val="none"/>
                    </w:rPr>
                    <w:t>加强车间机械通风措施</w:t>
                  </w:r>
                </w:p>
              </w:tc>
              <w:tc>
                <w:tcPr>
                  <w:tcW w:w="1860" w:type="dxa"/>
                  <w:vAlign w:val="center"/>
                </w:tcPr>
                <w:p>
                  <w:pPr>
                    <w:jc w:val="center"/>
                    <w:rPr>
                      <w:color w:val="auto"/>
                      <w:szCs w:val="21"/>
                      <w:highlight w:val="none"/>
                    </w:rPr>
                  </w:pPr>
                  <w:r>
                    <w:rPr>
                      <w:color w:val="auto"/>
                      <w:szCs w:val="21"/>
                      <w:highlight w:val="none"/>
                    </w:rPr>
                    <w:t>《合成树脂工业污染物排放标准》（GB31572-2015）中的表9企业边界大气污染物浓度限值</w:t>
                  </w:r>
                </w:p>
              </w:tc>
              <w:tc>
                <w:tcPr>
                  <w:tcW w:w="1185" w:type="dxa"/>
                  <w:vAlign w:val="center"/>
                </w:tcPr>
                <w:p>
                  <w:pPr>
                    <w:pStyle w:val="29"/>
                    <w:ind w:firstLine="0"/>
                    <w:jc w:val="center"/>
                    <w:rPr>
                      <w:color w:val="auto"/>
                      <w:sz w:val="21"/>
                      <w:szCs w:val="21"/>
                      <w:highlight w:val="none"/>
                    </w:rPr>
                  </w:pPr>
                  <w:r>
                    <w:rPr>
                      <w:rFonts w:hint="eastAsia"/>
                      <w:color w:val="auto"/>
                      <w:sz w:val="21"/>
                      <w:szCs w:val="21"/>
                      <w:highlight w:val="none"/>
                    </w:rPr>
                    <w:t>4.0</w:t>
                  </w:r>
                </w:p>
              </w:tc>
              <w:tc>
                <w:tcPr>
                  <w:tcW w:w="1079"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4" w:hRule="atLeast"/>
              </w:trPr>
              <w:tc>
                <w:tcPr>
                  <w:tcW w:w="660" w:type="dxa"/>
                  <w:vMerge w:val="continue"/>
                  <w:vAlign w:val="center"/>
                </w:tcPr>
                <w:p>
                  <w:pPr>
                    <w:spacing w:line="360" w:lineRule="auto"/>
                    <w:jc w:val="center"/>
                    <w:rPr>
                      <w:color w:val="auto"/>
                      <w:szCs w:val="21"/>
                      <w:highlight w:val="none"/>
                    </w:rPr>
                  </w:pPr>
                </w:p>
              </w:tc>
              <w:tc>
                <w:tcPr>
                  <w:tcW w:w="949" w:type="dxa"/>
                  <w:vMerge w:val="continue"/>
                  <w:vAlign w:val="center"/>
                </w:tcPr>
                <w:p>
                  <w:pPr>
                    <w:spacing w:line="360" w:lineRule="auto"/>
                    <w:jc w:val="center"/>
                    <w:rPr>
                      <w:color w:val="auto"/>
                      <w:szCs w:val="21"/>
                      <w:highlight w:val="none"/>
                    </w:rPr>
                  </w:pPr>
                </w:p>
              </w:tc>
              <w:tc>
                <w:tcPr>
                  <w:tcW w:w="863" w:type="dxa"/>
                  <w:vAlign w:val="center"/>
                </w:tcPr>
                <w:p>
                  <w:pPr>
                    <w:spacing w:line="360" w:lineRule="auto"/>
                    <w:jc w:val="center"/>
                    <w:rPr>
                      <w:color w:val="auto"/>
                      <w:szCs w:val="21"/>
                      <w:highlight w:val="none"/>
                    </w:rPr>
                  </w:pPr>
                  <w:r>
                    <w:rPr>
                      <w:rFonts w:hint="eastAsia"/>
                      <w:color w:val="auto"/>
                      <w:szCs w:val="21"/>
                      <w:highlight w:val="none"/>
                    </w:rPr>
                    <w:t>破碎</w:t>
                  </w:r>
                  <w:r>
                    <w:rPr>
                      <w:color w:val="auto"/>
                      <w:szCs w:val="21"/>
                      <w:highlight w:val="none"/>
                    </w:rPr>
                    <w:t>工序</w:t>
                  </w:r>
                </w:p>
              </w:tc>
              <w:tc>
                <w:tcPr>
                  <w:tcW w:w="1067" w:type="dxa"/>
                  <w:vAlign w:val="center"/>
                </w:tcPr>
                <w:p>
                  <w:pPr>
                    <w:adjustRightInd w:val="0"/>
                    <w:snapToGrid w:val="0"/>
                    <w:jc w:val="center"/>
                    <w:rPr>
                      <w:color w:val="auto"/>
                      <w:szCs w:val="21"/>
                      <w:highlight w:val="none"/>
                    </w:rPr>
                  </w:pPr>
                  <w:r>
                    <w:rPr>
                      <w:color w:val="auto"/>
                      <w:szCs w:val="21"/>
                      <w:highlight w:val="none"/>
                    </w:rPr>
                    <w:t>TSP</w:t>
                  </w:r>
                </w:p>
              </w:tc>
              <w:tc>
                <w:tcPr>
                  <w:tcW w:w="1577" w:type="dxa"/>
                  <w:vAlign w:val="center"/>
                </w:tcPr>
                <w:p>
                  <w:pPr>
                    <w:jc w:val="center"/>
                    <w:rPr>
                      <w:color w:val="auto"/>
                      <w:szCs w:val="21"/>
                      <w:highlight w:val="none"/>
                    </w:rPr>
                  </w:pPr>
                  <w:r>
                    <w:rPr>
                      <w:color w:val="auto"/>
                      <w:szCs w:val="21"/>
                      <w:highlight w:val="none"/>
                    </w:rPr>
                    <w:t>加强车间机械通风措施</w:t>
                  </w:r>
                </w:p>
              </w:tc>
              <w:tc>
                <w:tcPr>
                  <w:tcW w:w="1860" w:type="dxa"/>
                  <w:vAlign w:val="center"/>
                </w:tcPr>
                <w:p>
                  <w:pPr>
                    <w:jc w:val="center"/>
                    <w:rPr>
                      <w:color w:val="auto"/>
                      <w:szCs w:val="21"/>
                      <w:highlight w:val="none"/>
                    </w:rPr>
                  </w:pPr>
                  <w:r>
                    <w:rPr>
                      <w:color w:val="auto"/>
                      <w:szCs w:val="21"/>
                      <w:highlight w:val="none"/>
                    </w:rPr>
                    <w:t>广东省地方标准《大气污染物排放限值》（DB44/ 27-2001）第二时段无组织排放监控浓度限值</w:t>
                  </w:r>
                </w:p>
              </w:tc>
              <w:tc>
                <w:tcPr>
                  <w:tcW w:w="1185" w:type="dxa"/>
                  <w:vAlign w:val="center"/>
                </w:tcPr>
                <w:p>
                  <w:pPr>
                    <w:pStyle w:val="29"/>
                    <w:ind w:firstLine="0"/>
                    <w:jc w:val="center"/>
                    <w:rPr>
                      <w:color w:val="auto"/>
                      <w:sz w:val="21"/>
                      <w:szCs w:val="21"/>
                      <w:highlight w:val="none"/>
                    </w:rPr>
                  </w:pPr>
                  <w:r>
                    <w:rPr>
                      <w:color w:val="auto"/>
                      <w:sz w:val="21"/>
                      <w:szCs w:val="21"/>
                      <w:highlight w:val="none"/>
                    </w:rPr>
                    <w:t>1.0</w:t>
                  </w:r>
                </w:p>
              </w:tc>
              <w:tc>
                <w:tcPr>
                  <w:tcW w:w="1079" w:type="dxa"/>
                  <w:vAlign w:val="center"/>
                </w:tcPr>
                <w:p>
                  <w:pPr>
                    <w:jc w:val="center"/>
                    <w:rPr>
                      <w:rFonts w:hint="eastAsia" w:eastAsia="宋体"/>
                      <w:color w:val="auto"/>
                      <w:szCs w:val="21"/>
                      <w:highlight w:val="none"/>
                      <w:lang w:eastAsia="zh-CN"/>
                    </w:rPr>
                  </w:pPr>
                  <w:r>
                    <w:rPr>
                      <w:rFonts w:hint="eastAsia"/>
                      <w:color w:val="auto"/>
                      <w:szCs w:val="21"/>
                      <w:highlight w:val="none"/>
                    </w:rPr>
                    <w:t>0.00</w:t>
                  </w:r>
                  <w:r>
                    <w:rPr>
                      <w:rFonts w:hint="eastAsia"/>
                      <w:color w:val="auto"/>
                      <w:szCs w:val="21"/>
                      <w:highlight w:val="no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240" w:type="dxa"/>
                  <w:gridSpan w:val="8"/>
                  <w:vAlign w:val="center"/>
                </w:tcPr>
                <w:p>
                  <w:pPr>
                    <w:spacing w:line="360" w:lineRule="auto"/>
                    <w:jc w:val="center"/>
                    <w:rPr>
                      <w:color w:val="auto"/>
                      <w:szCs w:val="21"/>
                      <w:highlight w:val="none"/>
                    </w:rPr>
                  </w:pPr>
                  <w:r>
                    <w:rPr>
                      <w:color w:val="auto"/>
                      <w:szCs w:val="21"/>
                      <w:highlight w:val="none"/>
                    </w:rP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2472" w:type="dxa"/>
                  <w:gridSpan w:val="3"/>
                  <w:vMerge w:val="restart"/>
                  <w:vAlign w:val="center"/>
                </w:tcPr>
                <w:p>
                  <w:pPr>
                    <w:spacing w:line="360" w:lineRule="auto"/>
                    <w:jc w:val="center"/>
                    <w:rPr>
                      <w:color w:val="auto"/>
                      <w:szCs w:val="21"/>
                      <w:highlight w:val="none"/>
                    </w:rPr>
                  </w:pPr>
                  <w:r>
                    <w:rPr>
                      <w:color w:val="auto"/>
                      <w:szCs w:val="21"/>
                      <w:highlight w:val="none"/>
                    </w:rPr>
                    <w:t>无组织排放总计</w:t>
                  </w:r>
                </w:p>
              </w:tc>
              <w:tc>
                <w:tcPr>
                  <w:tcW w:w="5689" w:type="dxa"/>
                  <w:gridSpan w:val="4"/>
                  <w:vAlign w:val="center"/>
                </w:tcPr>
                <w:p>
                  <w:pPr>
                    <w:adjustRightInd w:val="0"/>
                    <w:snapToGrid w:val="0"/>
                    <w:jc w:val="center"/>
                    <w:rPr>
                      <w:color w:val="auto"/>
                      <w:szCs w:val="21"/>
                      <w:highlight w:val="none"/>
                    </w:rPr>
                  </w:pPr>
                  <w:r>
                    <w:rPr>
                      <w:color w:val="auto"/>
                      <w:szCs w:val="21"/>
                      <w:highlight w:val="none"/>
                    </w:rPr>
                    <w:t>非甲烷总烃</w:t>
                  </w:r>
                </w:p>
              </w:tc>
              <w:tc>
                <w:tcPr>
                  <w:tcW w:w="1079" w:type="dxa"/>
                  <w:vAlign w:val="center"/>
                </w:tcPr>
                <w:p>
                  <w:pPr>
                    <w:jc w:val="center"/>
                    <w:rPr>
                      <w:rFonts w:hint="default"/>
                      <w:color w:val="auto"/>
                      <w:szCs w:val="21"/>
                      <w:highlight w:val="none"/>
                      <w:lang w:val="en-US"/>
                    </w:rPr>
                  </w:pPr>
                  <w:r>
                    <w:rPr>
                      <w:rFonts w:hint="eastAsia"/>
                      <w:color w:val="auto"/>
                      <w:szCs w:val="21"/>
                      <w:highlight w:val="none"/>
                      <w:lang w:val="en-US" w:eastAsia="zh-CN"/>
                    </w:rPr>
                    <w:t>0.108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2472" w:type="dxa"/>
                  <w:gridSpan w:val="3"/>
                  <w:vMerge w:val="continue"/>
                  <w:vAlign w:val="center"/>
                </w:tcPr>
                <w:p>
                  <w:pPr>
                    <w:spacing w:line="360" w:lineRule="auto"/>
                    <w:jc w:val="center"/>
                    <w:rPr>
                      <w:color w:val="auto"/>
                      <w:szCs w:val="21"/>
                      <w:highlight w:val="none"/>
                    </w:rPr>
                  </w:pPr>
                </w:p>
              </w:tc>
              <w:tc>
                <w:tcPr>
                  <w:tcW w:w="5689" w:type="dxa"/>
                  <w:gridSpan w:val="4"/>
                  <w:vAlign w:val="center"/>
                </w:tcPr>
                <w:p>
                  <w:pPr>
                    <w:adjustRightInd w:val="0"/>
                    <w:snapToGrid w:val="0"/>
                    <w:jc w:val="center"/>
                    <w:rPr>
                      <w:color w:val="auto"/>
                      <w:szCs w:val="21"/>
                      <w:highlight w:val="none"/>
                    </w:rPr>
                  </w:pPr>
                  <w:r>
                    <w:rPr>
                      <w:color w:val="auto"/>
                      <w:szCs w:val="21"/>
                      <w:highlight w:val="none"/>
                    </w:rPr>
                    <w:t>TSP</w:t>
                  </w:r>
                </w:p>
              </w:tc>
              <w:tc>
                <w:tcPr>
                  <w:tcW w:w="1079" w:type="dxa"/>
                  <w:vAlign w:val="center"/>
                </w:tcPr>
                <w:p>
                  <w:pPr>
                    <w:jc w:val="center"/>
                    <w:rPr>
                      <w:color w:val="auto"/>
                      <w:szCs w:val="21"/>
                      <w:highlight w:val="none"/>
                    </w:rPr>
                  </w:pPr>
                  <w:r>
                    <w:rPr>
                      <w:rFonts w:hint="eastAsia"/>
                      <w:color w:val="auto"/>
                      <w:szCs w:val="21"/>
                      <w:highlight w:val="none"/>
                    </w:rPr>
                    <w:t>0.00</w:t>
                  </w:r>
                  <w:r>
                    <w:rPr>
                      <w:rFonts w:hint="eastAsia"/>
                      <w:color w:val="auto"/>
                      <w:szCs w:val="21"/>
                      <w:highlight w:val="none"/>
                      <w:lang w:val="en-US" w:eastAsia="zh-CN"/>
                    </w:rPr>
                    <w:t>5</w:t>
                  </w:r>
                </w:p>
              </w:tc>
            </w:tr>
          </w:tbl>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大气污染物年排放量核算表</w:t>
            </w:r>
          </w:p>
          <w:tbl>
            <w:tblPr>
              <w:tblStyle w:val="41"/>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55"/>
              <w:gridCol w:w="3362"/>
              <w:gridCol w:w="3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5" w:type="dxa"/>
                  <w:vAlign w:val="center"/>
                </w:tcPr>
                <w:p>
                  <w:pPr>
                    <w:spacing w:line="360" w:lineRule="auto"/>
                    <w:jc w:val="center"/>
                    <w:rPr>
                      <w:b/>
                      <w:bCs/>
                      <w:color w:val="auto"/>
                      <w:szCs w:val="21"/>
                      <w:highlight w:val="none"/>
                    </w:rPr>
                  </w:pPr>
                  <w:r>
                    <w:rPr>
                      <w:b/>
                      <w:bCs/>
                      <w:color w:val="auto"/>
                      <w:szCs w:val="21"/>
                      <w:highlight w:val="none"/>
                    </w:rPr>
                    <w:t>序号</w:t>
                  </w:r>
                </w:p>
              </w:tc>
              <w:tc>
                <w:tcPr>
                  <w:tcW w:w="3362" w:type="dxa"/>
                  <w:vAlign w:val="center"/>
                </w:tcPr>
                <w:p>
                  <w:pPr>
                    <w:spacing w:line="360" w:lineRule="auto"/>
                    <w:jc w:val="center"/>
                    <w:rPr>
                      <w:b/>
                      <w:bCs/>
                      <w:color w:val="auto"/>
                      <w:szCs w:val="21"/>
                      <w:highlight w:val="none"/>
                    </w:rPr>
                  </w:pPr>
                  <w:r>
                    <w:rPr>
                      <w:b/>
                      <w:bCs/>
                      <w:color w:val="auto"/>
                      <w:szCs w:val="21"/>
                      <w:highlight w:val="none"/>
                    </w:rPr>
                    <w:t>污染物</w:t>
                  </w:r>
                </w:p>
              </w:tc>
              <w:tc>
                <w:tcPr>
                  <w:tcW w:w="3363" w:type="dxa"/>
                  <w:vAlign w:val="center"/>
                </w:tcPr>
                <w:p>
                  <w:pPr>
                    <w:spacing w:line="360" w:lineRule="auto"/>
                    <w:jc w:val="center"/>
                    <w:rPr>
                      <w:b/>
                      <w:bCs/>
                      <w:color w:val="auto"/>
                      <w:szCs w:val="21"/>
                      <w:highlight w:val="none"/>
                    </w:rPr>
                  </w:pPr>
                  <w:r>
                    <w:rPr>
                      <w:b/>
                      <w:bCs/>
                      <w:color w:val="auto"/>
                      <w:szCs w:val="21"/>
                      <w:highlight w:val="none"/>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5" w:type="dxa"/>
                  <w:vAlign w:val="center"/>
                </w:tcPr>
                <w:p>
                  <w:pPr>
                    <w:spacing w:line="360" w:lineRule="auto"/>
                    <w:jc w:val="center"/>
                    <w:rPr>
                      <w:b/>
                      <w:bCs/>
                      <w:color w:val="auto"/>
                      <w:szCs w:val="21"/>
                      <w:highlight w:val="none"/>
                    </w:rPr>
                  </w:pPr>
                  <w:r>
                    <w:rPr>
                      <w:b/>
                      <w:bCs/>
                      <w:color w:val="auto"/>
                      <w:szCs w:val="21"/>
                      <w:highlight w:val="none"/>
                    </w:rPr>
                    <w:t>1</w:t>
                  </w:r>
                </w:p>
              </w:tc>
              <w:tc>
                <w:tcPr>
                  <w:tcW w:w="3362" w:type="dxa"/>
                  <w:vAlign w:val="center"/>
                </w:tcPr>
                <w:p>
                  <w:pPr>
                    <w:widowControl/>
                    <w:topLinePunct/>
                    <w:autoSpaceDE w:val="0"/>
                    <w:autoSpaceDN w:val="0"/>
                    <w:adjustRightInd w:val="0"/>
                    <w:jc w:val="center"/>
                    <w:textAlignment w:val="baseline"/>
                    <w:rPr>
                      <w:b/>
                      <w:bCs/>
                      <w:color w:val="auto"/>
                      <w:szCs w:val="21"/>
                      <w:highlight w:val="none"/>
                    </w:rPr>
                  </w:pPr>
                  <w:r>
                    <w:rPr>
                      <w:color w:val="auto"/>
                      <w:szCs w:val="21"/>
                      <w:highlight w:val="none"/>
                    </w:rPr>
                    <w:t>非甲烷总烃</w:t>
                  </w:r>
                </w:p>
              </w:tc>
              <w:tc>
                <w:tcPr>
                  <w:tcW w:w="3363" w:type="dxa"/>
                  <w:vAlign w:val="center"/>
                </w:tcPr>
                <w:p>
                  <w:pPr>
                    <w:snapToGrid w:val="0"/>
                    <w:spacing w:line="360" w:lineRule="auto"/>
                    <w:jc w:val="center"/>
                    <w:rPr>
                      <w:rFonts w:hint="default" w:eastAsia="宋体"/>
                      <w:b/>
                      <w:bCs/>
                      <w:color w:val="auto"/>
                      <w:szCs w:val="21"/>
                      <w:highlight w:val="none"/>
                      <w:lang w:val="en-US" w:eastAsia="zh-CN"/>
                    </w:rPr>
                  </w:pPr>
                  <w:r>
                    <w:rPr>
                      <w:rFonts w:hint="eastAsia"/>
                      <w:color w:val="auto"/>
                      <w:szCs w:val="21"/>
                      <w:highlight w:val="none"/>
                      <w:lang w:val="en-US" w:eastAsia="zh-CN"/>
                    </w:rPr>
                    <w:t>0.274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5" w:type="dxa"/>
                  <w:vAlign w:val="center"/>
                </w:tcPr>
                <w:p>
                  <w:pPr>
                    <w:spacing w:line="360" w:lineRule="auto"/>
                    <w:jc w:val="center"/>
                    <w:rPr>
                      <w:b/>
                      <w:bCs/>
                      <w:color w:val="auto"/>
                      <w:szCs w:val="21"/>
                      <w:highlight w:val="none"/>
                    </w:rPr>
                  </w:pPr>
                  <w:r>
                    <w:rPr>
                      <w:b/>
                      <w:bCs/>
                      <w:color w:val="auto"/>
                      <w:szCs w:val="21"/>
                      <w:highlight w:val="none"/>
                    </w:rPr>
                    <w:t>2</w:t>
                  </w:r>
                </w:p>
              </w:tc>
              <w:tc>
                <w:tcPr>
                  <w:tcW w:w="3362" w:type="dxa"/>
                  <w:vAlign w:val="center"/>
                </w:tcPr>
                <w:p>
                  <w:pPr>
                    <w:adjustRightInd w:val="0"/>
                    <w:snapToGrid w:val="0"/>
                    <w:jc w:val="center"/>
                    <w:rPr>
                      <w:b/>
                      <w:bCs/>
                      <w:color w:val="auto"/>
                      <w:szCs w:val="21"/>
                      <w:highlight w:val="none"/>
                    </w:rPr>
                  </w:pPr>
                  <w:r>
                    <w:rPr>
                      <w:color w:val="auto"/>
                      <w:szCs w:val="21"/>
                      <w:highlight w:val="none"/>
                    </w:rPr>
                    <w:t>TSP</w:t>
                  </w:r>
                </w:p>
              </w:tc>
              <w:tc>
                <w:tcPr>
                  <w:tcW w:w="3363" w:type="dxa"/>
                  <w:vAlign w:val="center"/>
                </w:tcPr>
                <w:p>
                  <w:pPr>
                    <w:spacing w:line="360" w:lineRule="auto"/>
                    <w:jc w:val="center"/>
                    <w:textAlignment w:val="center"/>
                    <w:rPr>
                      <w:rFonts w:hint="eastAsia" w:eastAsia="宋体"/>
                      <w:b/>
                      <w:bCs/>
                      <w:color w:val="auto"/>
                      <w:szCs w:val="21"/>
                      <w:highlight w:val="none"/>
                      <w:lang w:eastAsia="zh-CN"/>
                    </w:rPr>
                  </w:pPr>
                  <w:r>
                    <w:rPr>
                      <w:rFonts w:hint="eastAsia"/>
                      <w:bCs/>
                      <w:color w:val="auto"/>
                      <w:szCs w:val="21"/>
                      <w:highlight w:val="none"/>
                    </w:rPr>
                    <w:t>0.00</w:t>
                  </w:r>
                  <w:r>
                    <w:rPr>
                      <w:rFonts w:hint="eastAsia"/>
                      <w:bCs/>
                      <w:color w:val="auto"/>
                      <w:szCs w:val="21"/>
                      <w:highlight w:val="none"/>
                      <w:lang w:val="en-US" w:eastAsia="zh-CN"/>
                    </w:rPr>
                    <w:t>5</w:t>
                  </w:r>
                </w:p>
              </w:tc>
            </w:tr>
          </w:tbl>
          <w:p>
            <w:pPr>
              <w:pStyle w:val="29"/>
              <w:spacing w:line="336" w:lineRule="auto"/>
              <w:ind w:firstLine="470" w:firstLineChars="196"/>
              <w:rPr>
                <w:b/>
                <w:color w:val="auto"/>
                <w:kern w:val="2"/>
                <w:highlight w:val="none"/>
              </w:rPr>
            </w:pPr>
            <w:r>
              <w:rPr>
                <w:color w:val="auto"/>
                <w:szCs w:val="24"/>
                <w:highlight w:val="none"/>
              </w:rPr>
              <w:t>综上可知，本项目大气污染物年排放核算情况为：非甲烷总烃</w:t>
            </w:r>
            <w:r>
              <w:rPr>
                <w:color w:val="auto"/>
                <w:szCs w:val="24"/>
                <w:highlight w:val="none"/>
                <w:lang w:bidi="ar"/>
              </w:rPr>
              <w:t>：</w:t>
            </w:r>
            <w:r>
              <w:rPr>
                <w:rFonts w:hint="eastAsia"/>
                <w:color w:val="auto"/>
                <w:szCs w:val="24"/>
                <w:highlight w:val="none"/>
                <w:lang w:val="en-US" w:eastAsia="zh-CN" w:bidi="ar"/>
              </w:rPr>
              <w:t>0.274</w:t>
            </w:r>
            <w:r>
              <w:rPr>
                <w:color w:val="auto"/>
                <w:szCs w:val="24"/>
                <w:highlight w:val="none"/>
              </w:rPr>
              <w:t>t/a，TSP：</w:t>
            </w:r>
            <w:r>
              <w:rPr>
                <w:rFonts w:hint="eastAsia"/>
                <w:color w:val="auto"/>
                <w:szCs w:val="24"/>
                <w:highlight w:val="none"/>
              </w:rPr>
              <w:t>0.00</w:t>
            </w:r>
            <w:r>
              <w:rPr>
                <w:rFonts w:hint="eastAsia"/>
                <w:color w:val="auto"/>
                <w:szCs w:val="24"/>
                <w:highlight w:val="none"/>
                <w:lang w:val="en-US" w:eastAsia="zh-CN"/>
              </w:rPr>
              <w:t>5</w:t>
            </w:r>
            <w:r>
              <w:rPr>
                <w:color w:val="auto"/>
                <w:szCs w:val="24"/>
                <w:highlight w:val="none"/>
              </w:rPr>
              <w:t>t/a</w:t>
            </w:r>
            <w:r>
              <w:rPr>
                <w:rFonts w:hint="eastAsia"/>
                <w:color w:val="auto"/>
                <w:szCs w:val="24"/>
                <w:highlight w:val="none"/>
              </w:rPr>
              <w:t>。</w:t>
            </w:r>
          </w:p>
          <w:p>
            <w:pPr>
              <w:pStyle w:val="29"/>
              <w:spacing w:line="336" w:lineRule="auto"/>
              <w:ind w:firstLine="472" w:firstLineChars="196"/>
              <w:rPr>
                <w:b/>
                <w:color w:val="auto"/>
                <w:kern w:val="2"/>
                <w:highlight w:val="none"/>
              </w:rPr>
            </w:pPr>
            <w:r>
              <w:rPr>
                <w:rFonts w:hint="eastAsia"/>
                <w:b/>
                <w:color w:val="auto"/>
                <w:kern w:val="2"/>
                <w:highlight w:val="none"/>
              </w:rPr>
              <w:t>二、水环境影响</w:t>
            </w:r>
            <w:bookmarkEnd w:id="21"/>
            <w:r>
              <w:rPr>
                <w:rFonts w:hint="eastAsia"/>
                <w:b/>
                <w:color w:val="auto"/>
                <w:kern w:val="2"/>
                <w:highlight w:val="none"/>
              </w:rPr>
              <w:t>分析</w:t>
            </w:r>
          </w:p>
          <w:p>
            <w:pPr>
              <w:adjustRightInd w:val="0"/>
              <w:spacing w:line="336" w:lineRule="auto"/>
              <w:ind w:firstLine="482" w:firstLineChars="200"/>
              <w:rPr>
                <w:rFonts w:hAnsi="宋体"/>
                <w:color w:val="auto"/>
                <w:sz w:val="24"/>
                <w:highlight w:val="none"/>
              </w:rPr>
            </w:pPr>
            <w:r>
              <w:rPr>
                <w:rFonts w:hint="eastAsia" w:hAnsi="宋体"/>
                <w:b/>
                <w:color w:val="auto"/>
                <w:sz w:val="24"/>
                <w:highlight w:val="none"/>
              </w:rPr>
              <w:t>注塑</w:t>
            </w:r>
            <w:r>
              <w:rPr>
                <w:rFonts w:hAnsi="宋体"/>
                <w:b/>
                <w:color w:val="auto"/>
                <w:sz w:val="24"/>
                <w:highlight w:val="none"/>
              </w:rPr>
              <w:t>冷却用水：</w:t>
            </w:r>
            <w:r>
              <w:rPr>
                <w:rFonts w:hAnsi="宋体"/>
                <w:color w:val="auto"/>
                <w:sz w:val="24"/>
                <w:highlight w:val="none"/>
              </w:rPr>
              <w:t>项目</w:t>
            </w:r>
            <w:r>
              <w:rPr>
                <w:rFonts w:hint="eastAsia" w:hAnsi="宋体"/>
                <w:color w:val="auto"/>
                <w:sz w:val="24"/>
                <w:highlight w:val="none"/>
              </w:rPr>
              <w:t>注塑</w:t>
            </w:r>
            <w:r>
              <w:rPr>
                <w:rFonts w:hAnsi="宋体"/>
                <w:color w:val="auto"/>
                <w:sz w:val="24"/>
                <w:highlight w:val="none"/>
              </w:rPr>
              <w:t>工序中</w:t>
            </w:r>
            <w:r>
              <w:rPr>
                <w:rFonts w:hint="eastAsia" w:hAnsi="宋体"/>
                <w:color w:val="auto"/>
                <w:sz w:val="24"/>
                <w:highlight w:val="none"/>
              </w:rPr>
              <w:t>需使用冷却塔进行</w:t>
            </w:r>
            <w:r>
              <w:rPr>
                <w:rFonts w:hAnsi="宋体"/>
                <w:color w:val="auto"/>
                <w:sz w:val="24"/>
                <w:highlight w:val="none"/>
              </w:rPr>
              <w:t>冷却，冷却方式为间接冷却，冷却用水为普通的自来水，其中无需添加矿物油、乳化液等冷却剂，根据建设单位提供资料，</w:t>
            </w:r>
            <w:r>
              <w:rPr>
                <w:rFonts w:hint="eastAsia" w:hAnsi="宋体"/>
                <w:color w:val="auto"/>
                <w:sz w:val="24"/>
                <w:highlight w:val="none"/>
              </w:rPr>
              <w:t>项目冷却塔</w:t>
            </w:r>
            <w:r>
              <w:rPr>
                <w:rFonts w:hAnsi="宋体"/>
                <w:color w:val="auto"/>
                <w:sz w:val="24"/>
                <w:highlight w:val="none"/>
              </w:rPr>
              <w:t>循环水量为</w:t>
            </w:r>
            <w:r>
              <w:rPr>
                <w:rFonts w:hint="eastAsia"/>
                <w:color w:val="auto"/>
                <w:sz w:val="24"/>
                <w:highlight w:val="none"/>
                <w:lang w:val="en-US" w:eastAsia="zh-CN"/>
              </w:rPr>
              <w:t>2</w:t>
            </w:r>
            <w:r>
              <w:rPr>
                <w:rFonts w:hint="eastAsia"/>
                <w:color w:val="auto"/>
                <w:sz w:val="24"/>
                <w:highlight w:val="none"/>
              </w:rPr>
              <w:t>t</w:t>
            </w:r>
            <w:r>
              <w:rPr>
                <w:rStyle w:val="46"/>
                <w:rFonts w:hint="eastAsia"/>
                <w:color w:val="auto"/>
                <w:highlight w:val="none"/>
                <w:lang w:val="en-US" w:eastAsia="zh-CN"/>
              </w:rPr>
              <w:t>/h</w:t>
            </w:r>
            <w:r>
              <w:rPr>
                <w:rFonts w:hAnsi="宋体"/>
                <w:color w:val="auto"/>
                <w:sz w:val="24"/>
                <w:highlight w:val="none"/>
              </w:rPr>
              <w:t>，该冷却水循环使用，不外排，</w:t>
            </w:r>
            <w:r>
              <w:rPr>
                <w:rFonts w:hint="eastAsia"/>
                <w:color w:val="auto"/>
                <w:sz w:val="24"/>
                <w:highlight w:val="none"/>
              </w:rPr>
              <w:t>因受热等因素损失，需定期补充新鲜水，损耗</w:t>
            </w:r>
            <w:r>
              <w:rPr>
                <w:color w:val="auto"/>
                <w:sz w:val="24"/>
                <w:highlight w:val="none"/>
              </w:rPr>
              <w:t>补充用水约占</w:t>
            </w:r>
            <w:r>
              <w:rPr>
                <w:rFonts w:hint="eastAsia"/>
                <w:color w:val="auto"/>
                <w:sz w:val="24"/>
                <w:highlight w:val="none"/>
              </w:rPr>
              <w:t>循环水量</w:t>
            </w:r>
            <w:r>
              <w:rPr>
                <w:color w:val="auto"/>
                <w:sz w:val="24"/>
                <w:highlight w:val="none"/>
              </w:rPr>
              <w:t>的</w:t>
            </w:r>
            <w:r>
              <w:rPr>
                <w:rFonts w:hint="eastAsia"/>
                <w:color w:val="auto"/>
                <w:sz w:val="24"/>
                <w:highlight w:val="none"/>
              </w:rPr>
              <w:t>2</w:t>
            </w:r>
            <w:r>
              <w:rPr>
                <w:color w:val="auto"/>
                <w:sz w:val="24"/>
                <w:highlight w:val="none"/>
              </w:rPr>
              <w:t>%，</w:t>
            </w:r>
            <w:r>
              <w:rPr>
                <w:rFonts w:hint="eastAsia"/>
                <w:color w:val="auto"/>
                <w:sz w:val="24"/>
                <w:highlight w:val="none"/>
              </w:rPr>
              <w:t>即补充用水量为</w:t>
            </w:r>
            <w:r>
              <w:rPr>
                <w:rFonts w:hint="eastAsia"/>
                <w:color w:val="auto"/>
                <w:sz w:val="24"/>
                <w:highlight w:val="none"/>
                <w:lang w:val="en-US" w:eastAsia="zh-CN"/>
              </w:rPr>
              <w:t>0.04t</w:t>
            </w:r>
            <w:r>
              <w:rPr>
                <w:rFonts w:hint="eastAsia"/>
                <w:color w:val="auto"/>
                <w:sz w:val="24"/>
                <w:highlight w:val="none"/>
              </w:rPr>
              <w:t>/</w:t>
            </w:r>
            <w:r>
              <w:rPr>
                <w:rFonts w:hint="eastAsia"/>
                <w:color w:val="auto"/>
                <w:sz w:val="24"/>
                <w:highlight w:val="none"/>
                <w:lang w:val="en-US" w:eastAsia="zh-CN"/>
              </w:rPr>
              <w:t>h</w:t>
            </w:r>
            <w:r>
              <w:rPr>
                <w:rFonts w:hint="eastAsia"/>
                <w:color w:val="auto"/>
                <w:sz w:val="24"/>
                <w:highlight w:val="none"/>
              </w:rPr>
              <w:t>（</w:t>
            </w:r>
            <w:r>
              <w:rPr>
                <w:rFonts w:hint="eastAsia"/>
                <w:color w:val="auto"/>
                <w:sz w:val="24"/>
                <w:highlight w:val="none"/>
                <w:lang w:val="en-US" w:eastAsia="zh-CN"/>
              </w:rPr>
              <w:t>96t</w:t>
            </w:r>
            <w:r>
              <w:rPr>
                <w:rFonts w:hint="eastAsia"/>
                <w:color w:val="auto"/>
                <w:sz w:val="24"/>
                <w:highlight w:val="none"/>
              </w:rPr>
              <w:t>/a）</w:t>
            </w:r>
            <w:r>
              <w:rPr>
                <w:rFonts w:hint="eastAsia"/>
                <w:color w:val="auto"/>
                <w:sz w:val="24"/>
                <w:highlight w:val="none"/>
                <w:lang w:eastAsia="zh-CN"/>
              </w:rPr>
              <w:t>。</w:t>
            </w:r>
          </w:p>
          <w:p>
            <w:pPr>
              <w:spacing w:line="343" w:lineRule="auto"/>
              <w:ind w:firstLine="482" w:firstLineChars="200"/>
              <w:rPr>
                <w:rFonts w:hAnsi="宋体"/>
                <w:color w:val="auto"/>
                <w:sz w:val="24"/>
                <w:highlight w:val="none"/>
              </w:rPr>
            </w:pPr>
            <w:r>
              <w:rPr>
                <w:rFonts w:hint="eastAsia"/>
                <w:b/>
                <w:color w:val="auto"/>
                <w:sz w:val="24"/>
                <w:highlight w:val="none"/>
              </w:rPr>
              <w:t>生活污水：</w:t>
            </w:r>
            <w:r>
              <w:rPr>
                <w:rFonts w:hint="eastAsia"/>
                <w:color w:val="auto"/>
                <w:sz w:val="24"/>
                <w:highlight w:val="none"/>
              </w:rPr>
              <w:t>项目</w:t>
            </w:r>
            <w:r>
              <w:rPr>
                <w:color w:val="auto"/>
                <w:sz w:val="24"/>
                <w:highlight w:val="none"/>
              </w:rPr>
              <w:t>员工生活污水排放量为</w:t>
            </w:r>
            <w:r>
              <w:rPr>
                <w:rFonts w:hint="eastAsia"/>
                <w:color w:val="auto"/>
                <w:sz w:val="24"/>
                <w:highlight w:val="none"/>
              </w:rPr>
              <w:t>108</w:t>
            </w:r>
            <w:r>
              <w:rPr>
                <w:color w:val="auto"/>
                <w:sz w:val="24"/>
                <w:highlight w:val="none"/>
              </w:rPr>
              <w:t>t/a</w:t>
            </w:r>
            <w:r>
              <w:rPr>
                <w:rFonts w:hint="eastAsia"/>
                <w:color w:val="auto"/>
                <w:sz w:val="24"/>
                <w:highlight w:val="none"/>
              </w:rPr>
              <w:t>，</w:t>
            </w:r>
            <w:r>
              <w:rPr>
                <w:color w:val="auto"/>
                <w:sz w:val="24"/>
                <w:highlight w:val="none"/>
              </w:rPr>
              <w:t>主要污染物为COD</w:t>
            </w:r>
            <w:r>
              <w:rPr>
                <w:color w:val="auto"/>
                <w:sz w:val="24"/>
                <w:highlight w:val="none"/>
                <w:vertAlign w:val="subscript"/>
              </w:rPr>
              <w:t>cr</w:t>
            </w:r>
            <w:r>
              <w:rPr>
                <w:color w:val="auto"/>
                <w:sz w:val="24"/>
                <w:highlight w:val="none"/>
              </w:rPr>
              <w:t>、BOD</w:t>
            </w:r>
            <w:r>
              <w:rPr>
                <w:color w:val="auto"/>
                <w:sz w:val="24"/>
                <w:highlight w:val="none"/>
                <w:vertAlign w:val="subscript"/>
              </w:rPr>
              <w:t>5</w:t>
            </w:r>
            <w:r>
              <w:rPr>
                <w:color w:val="auto"/>
                <w:sz w:val="24"/>
                <w:highlight w:val="none"/>
              </w:rPr>
              <w:t>、SS、NH</w:t>
            </w:r>
            <w:r>
              <w:rPr>
                <w:color w:val="auto"/>
                <w:sz w:val="24"/>
                <w:highlight w:val="none"/>
                <w:vertAlign w:val="subscript"/>
              </w:rPr>
              <w:t>3</w:t>
            </w:r>
            <w:r>
              <w:rPr>
                <w:color w:val="auto"/>
                <w:sz w:val="24"/>
                <w:highlight w:val="none"/>
              </w:rPr>
              <w:t>-N等。</w:t>
            </w:r>
            <w:r>
              <w:rPr>
                <w:rFonts w:hint="eastAsia"/>
                <w:bCs/>
                <w:color w:val="auto"/>
                <w:sz w:val="24"/>
                <w:highlight w:val="none"/>
              </w:rPr>
              <w:t>项目生活污水经三级化粪池预处理后，达到广东省地方标准《水污染物排放限值》（DB44/26-2001）第二时段三级标准</w:t>
            </w:r>
            <w:r>
              <w:rPr>
                <w:rFonts w:hint="eastAsia"/>
                <w:color w:val="auto"/>
                <w:sz w:val="24"/>
                <w:highlight w:val="none"/>
              </w:rPr>
              <w:t>和</w:t>
            </w:r>
            <w:r>
              <w:rPr>
                <w:rFonts w:hint="eastAsia"/>
                <w:color w:val="auto"/>
                <w:sz w:val="24"/>
                <w:highlight w:val="none"/>
                <w:lang w:eastAsia="zh-CN"/>
              </w:rPr>
              <w:t>《污水排入城镇下水道水质标准》(GB/T31962-2015 )B级标准</w:t>
            </w:r>
            <w:r>
              <w:rPr>
                <w:rFonts w:hint="eastAsia"/>
                <w:color w:val="auto"/>
                <w:sz w:val="24"/>
                <w:highlight w:val="none"/>
              </w:rPr>
              <w:t>较严者</w:t>
            </w:r>
            <w:r>
              <w:rPr>
                <w:rFonts w:hint="eastAsia"/>
                <w:bCs/>
                <w:color w:val="auto"/>
                <w:sz w:val="24"/>
                <w:highlight w:val="none"/>
              </w:rPr>
              <w:t>排放至市政污水管网，</w:t>
            </w:r>
            <w:r>
              <w:rPr>
                <w:rFonts w:hint="eastAsia"/>
                <w:color w:val="auto"/>
                <w:sz w:val="24"/>
                <w:highlight w:val="none"/>
              </w:rPr>
              <w:t>然后</w:t>
            </w:r>
            <w:r>
              <w:rPr>
                <w:rFonts w:hint="eastAsia"/>
                <w:bCs/>
                <w:color w:val="auto"/>
                <w:sz w:val="24"/>
                <w:highlight w:val="none"/>
              </w:rPr>
              <w:t>引</w:t>
            </w:r>
            <w:r>
              <w:rPr>
                <w:rFonts w:hint="eastAsia"/>
                <w:color w:val="auto"/>
                <w:sz w:val="24"/>
                <w:highlight w:val="none"/>
              </w:rPr>
              <w:t>至开平市水口污水处理厂处</w:t>
            </w:r>
            <w:r>
              <w:rPr>
                <w:rFonts w:hint="eastAsia"/>
                <w:bCs/>
                <w:color w:val="auto"/>
                <w:sz w:val="24"/>
                <w:highlight w:val="none"/>
              </w:rPr>
              <w:t>理后达</w:t>
            </w:r>
            <w:r>
              <w:rPr>
                <w:rFonts w:hint="eastAsia"/>
                <w:color w:val="auto"/>
                <w:sz w:val="24"/>
                <w:highlight w:val="none"/>
              </w:rPr>
              <w:t>到《城镇污水处理厂污染物排放标准》（GB18918-2002）中一级A 标准及广东省地方标准《水污染物排放限值》（DB44/26-2001）第二时段一级标准的较严值。</w:t>
            </w:r>
            <w:r>
              <w:rPr>
                <w:color w:val="auto"/>
                <w:sz w:val="24"/>
                <w:highlight w:val="none"/>
              </w:rPr>
              <w:t>项目产生生活污水经处理后水污染物得到一定量削减，减轻了污水排放对纳污水体的污染负荷，有利于水环境保护</w:t>
            </w:r>
            <w:r>
              <w:rPr>
                <w:rFonts w:hint="eastAsia"/>
                <w:color w:val="auto"/>
                <w:sz w:val="24"/>
                <w:highlight w:val="none"/>
              </w:rPr>
              <w:t>，</w:t>
            </w:r>
            <w:r>
              <w:rPr>
                <w:bCs/>
                <w:color w:val="auto"/>
                <w:sz w:val="24"/>
                <w:szCs w:val="20"/>
                <w:highlight w:val="none"/>
              </w:rPr>
              <w:t>则项目生活污水对周围环境影响不大。</w:t>
            </w:r>
          </w:p>
          <w:p>
            <w:pPr>
              <w:spacing w:line="360" w:lineRule="auto"/>
              <w:ind w:firstLine="482" w:firstLineChars="200"/>
              <w:rPr>
                <w:b/>
                <w:color w:val="auto"/>
                <w:sz w:val="24"/>
                <w:highlight w:val="none"/>
              </w:rPr>
            </w:pPr>
            <w:r>
              <w:rPr>
                <w:b/>
                <w:color w:val="auto"/>
                <w:sz w:val="24"/>
                <w:highlight w:val="none"/>
              </w:rPr>
              <w:t>污水处理厂简介：</w:t>
            </w:r>
            <w:r>
              <w:rPr>
                <w:rFonts w:hint="eastAsia"/>
                <w:bCs/>
                <w:color w:val="auto"/>
                <w:sz w:val="24"/>
                <w:highlight w:val="none"/>
              </w:rPr>
              <w:t>水口污水处理厂位于水口镇泮兴路16号，设计处理规模为5000吨/天，水口污水处理厂主要收集水口镇新市、东方红、泮村、泮南、永安等管理区和第二、第四工业园的生活污水。工程占地面积6666.7 平方米，建筑面积1016 平方米。水口污水处理厂于2007 年开始开工建设，于2009年12月建成并开始试运行，采用“CASS”处理工艺，该方案成熟可靠，在正常运营的情况下，尾水完全可以达到既定标准的要求。</w:t>
            </w:r>
          </w:p>
          <w:p>
            <w:pPr>
              <w:spacing w:line="360" w:lineRule="auto"/>
              <w:ind w:firstLine="482" w:firstLineChars="200"/>
              <w:rPr>
                <w:rFonts w:eastAsiaTheme="minorEastAsia"/>
                <w:b/>
                <w:bCs/>
                <w:color w:val="auto"/>
                <w:sz w:val="24"/>
                <w:highlight w:val="none"/>
              </w:rPr>
            </w:pPr>
            <w:bookmarkStart w:id="22" w:name="_Toc364763647"/>
            <w:bookmarkStart w:id="23" w:name="_Toc364331276"/>
            <w:r>
              <w:rPr>
                <w:rFonts w:eastAsiaTheme="minorEastAsia"/>
                <w:b/>
                <w:bCs/>
                <w:color w:val="auto"/>
                <w:sz w:val="24"/>
                <w:highlight w:val="none"/>
              </w:rPr>
              <w:t>地表水环境影响评价</w:t>
            </w:r>
          </w:p>
          <w:p>
            <w:pPr>
              <w:spacing w:line="360" w:lineRule="auto"/>
              <w:ind w:firstLine="480" w:firstLineChars="200"/>
              <w:rPr>
                <w:rFonts w:eastAsiaTheme="minorEastAsia"/>
                <w:color w:val="auto"/>
                <w:sz w:val="24"/>
                <w:highlight w:val="none"/>
              </w:rPr>
            </w:pPr>
            <w:r>
              <w:rPr>
                <w:rFonts w:eastAsiaTheme="minorEastAsia"/>
                <w:color w:val="auto"/>
                <w:sz w:val="24"/>
                <w:highlight w:val="none"/>
              </w:rPr>
              <w:t>（1）评价等级确定</w:t>
            </w:r>
          </w:p>
          <w:p>
            <w:pPr>
              <w:spacing w:line="360" w:lineRule="auto"/>
              <w:ind w:firstLine="480" w:firstLineChars="200"/>
              <w:rPr>
                <w:color w:val="auto"/>
                <w:highlight w:val="none"/>
              </w:rPr>
            </w:pPr>
            <w:r>
              <w:rPr>
                <w:rFonts w:eastAsiaTheme="minorEastAsia"/>
                <w:color w:val="auto"/>
                <w:sz w:val="24"/>
                <w:highlight w:val="none"/>
              </w:rPr>
              <w:t>根据《环境影响评价技术导则地表水环境（HJ 2.3</w:t>
            </w:r>
            <w:r>
              <w:rPr>
                <w:rFonts w:hint="eastAsia" w:eastAsiaTheme="minorEastAsia"/>
                <w:color w:val="auto"/>
                <w:sz w:val="24"/>
                <w:highlight w:val="none"/>
              </w:rPr>
              <w:t>-</w:t>
            </w:r>
            <w:r>
              <w:rPr>
                <w:rFonts w:eastAsiaTheme="minorEastAsia"/>
                <w:color w:val="auto"/>
                <w:sz w:val="24"/>
                <w:highlight w:val="none"/>
              </w:rPr>
              <w:t>2018）》按照建设项目的影响类型、排放方式、排放量或影响情况、受纳水体环境质量现状、水环境保护目标等综合确定，水污染影响型建设项目评价等级判定依据见表</w:t>
            </w:r>
            <w:r>
              <w:rPr>
                <w:rFonts w:hint="eastAsia" w:eastAsiaTheme="minorEastAsia"/>
                <w:color w:val="auto"/>
                <w:sz w:val="24"/>
                <w:highlight w:val="none"/>
                <w:lang w:val="en-US" w:eastAsia="zh-CN"/>
              </w:rPr>
              <w:t>37</w:t>
            </w:r>
            <w:r>
              <w:rPr>
                <w:rFonts w:eastAsiaTheme="minorEastAsia"/>
                <w:color w:val="auto"/>
                <w:sz w:val="24"/>
                <w:highlight w:val="none"/>
              </w:rPr>
              <w:t>。根据工程分析，本项目的等级判定参数见</w:t>
            </w:r>
            <w:r>
              <w:rPr>
                <w:rFonts w:hint="eastAsia" w:eastAsiaTheme="minorEastAsia"/>
                <w:color w:val="auto"/>
                <w:sz w:val="24"/>
                <w:highlight w:val="none"/>
              </w:rPr>
              <w:t>表</w:t>
            </w:r>
            <w:r>
              <w:rPr>
                <w:rFonts w:hint="eastAsia" w:eastAsiaTheme="minorEastAsia"/>
                <w:color w:val="auto"/>
                <w:sz w:val="24"/>
                <w:highlight w:val="none"/>
                <w:lang w:val="en-US" w:eastAsia="zh-CN"/>
              </w:rPr>
              <w:t>38</w:t>
            </w:r>
            <w:r>
              <w:rPr>
                <w:rFonts w:eastAsiaTheme="minorEastAsia"/>
                <w:color w:val="auto"/>
                <w:sz w:val="24"/>
                <w:highlight w:val="none"/>
              </w:rPr>
              <w:t>，判定结果为三级B。</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 xml:space="preserve">  水污染影响型建设项目评价等级判定依据</w:t>
            </w:r>
          </w:p>
          <w:tbl>
            <w:tblPr>
              <w:tblStyle w:val="40"/>
              <w:tblW w:w="88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49"/>
              <w:gridCol w:w="2949"/>
              <w:gridCol w:w="2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评价等级</w:t>
                  </w:r>
                </w:p>
              </w:tc>
              <w:tc>
                <w:tcPr>
                  <w:tcW w:w="5895" w:type="dxa"/>
                  <w:gridSpan w:val="2"/>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2949" w:type="dxa"/>
                  <w:vMerge w:val="continue"/>
                  <w:vAlign w:val="center"/>
                </w:tcPr>
                <w:p>
                  <w:pPr>
                    <w:spacing w:line="276" w:lineRule="auto"/>
                    <w:jc w:val="center"/>
                    <w:rPr>
                      <w:rFonts w:eastAsiaTheme="minorEastAsia"/>
                      <w:color w:val="auto"/>
                      <w:szCs w:val="21"/>
                      <w:highlight w:val="none"/>
                    </w:rPr>
                  </w:pPr>
                </w:p>
              </w:tc>
              <w:tc>
                <w:tcPr>
                  <w:tcW w:w="294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排放方式</w:t>
                  </w:r>
                </w:p>
              </w:tc>
              <w:tc>
                <w:tcPr>
                  <w:tcW w:w="294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废水排放量（Q/m</w:t>
                  </w:r>
                  <w:r>
                    <w:rPr>
                      <w:rFonts w:eastAsiaTheme="minorEastAsia"/>
                      <w:color w:val="auto"/>
                      <w:szCs w:val="21"/>
                      <w:highlight w:val="none"/>
                      <w:vertAlign w:val="superscript"/>
                    </w:rPr>
                    <w:t>3</w:t>
                  </w:r>
                  <w:r>
                    <w:rPr>
                      <w:rFonts w:eastAsiaTheme="minorEastAsia"/>
                      <w:color w:val="auto"/>
                      <w:szCs w:val="21"/>
                      <w:highlight w:val="none"/>
                    </w:rPr>
                    <w:t>/d）</w:t>
                  </w:r>
                </w:p>
                <w:p>
                  <w:pPr>
                    <w:spacing w:line="276" w:lineRule="auto"/>
                    <w:jc w:val="center"/>
                    <w:rPr>
                      <w:rFonts w:eastAsiaTheme="minorEastAsia"/>
                      <w:color w:val="auto"/>
                      <w:szCs w:val="21"/>
                      <w:highlight w:val="none"/>
                    </w:rPr>
                  </w:pPr>
                  <w:r>
                    <w:rPr>
                      <w:rFonts w:eastAsiaTheme="minorEastAsia"/>
                      <w:color w:val="auto"/>
                      <w:szCs w:val="21"/>
                      <w:highlight w:val="none"/>
                    </w:rPr>
                    <w:t>水污染物当量数W/（无量纲）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一级</w:t>
                  </w:r>
                </w:p>
              </w:tc>
              <w:tc>
                <w:tcPr>
                  <w:tcW w:w="294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直接排放</w:t>
                  </w:r>
                </w:p>
              </w:tc>
              <w:tc>
                <w:tcPr>
                  <w:tcW w:w="294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Q≥20000或W≥600000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二级</w:t>
                  </w:r>
                </w:p>
              </w:tc>
              <w:tc>
                <w:tcPr>
                  <w:tcW w:w="294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直接排放</w:t>
                  </w:r>
                </w:p>
              </w:tc>
              <w:tc>
                <w:tcPr>
                  <w:tcW w:w="294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三级A</w:t>
                  </w:r>
                </w:p>
              </w:tc>
              <w:tc>
                <w:tcPr>
                  <w:tcW w:w="294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直接排放</w:t>
                  </w:r>
                </w:p>
              </w:tc>
              <w:tc>
                <w:tcPr>
                  <w:tcW w:w="294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Q＜200且W＜6000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三级B</w:t>
                  </w:r>
                </w:p>
              </w:tc>
              <w:tc>
                <w:tcPr>
                  <w:tcW w:w="294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间接排放</w:t>
                  </w:r>
                </w:p>
              </w:tc>
              <w:tc>
                <w:tcPr>
                  <w:tcW w:w="294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w:t>
                  </w:r>
                </w:p>
              </w:tc>
            </w:tr>
          </w:tbl>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 xml:space="preserve"> 本项目的等级判定结果</w:t>
            </w:r>
          </w:p>
          <w:tbl>
            <w:tblPr>
              <w:tblStyle w:val="41"/>
              <w:tblW w:w="88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6"/>
              <w:gridCol w:w="2713"/>
              <w:gridCol w:w="45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4309" w:type="dxa"/>
                  <w:gridSpan w:val="2"/>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影响类型</w:t>
                  </w:r>
                </w:p>
              </w:tc>
              <w:tc>
                <w:tcPr>
                  <w:tcW w:w="458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水污染影响型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309" w:type="dxa"/>
                  <w:gridSpan w:val="2"/>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排放方式</w:t>
                  </w:r>
                </w:p>
              </w:tc>
              <w:tc>
                <w:tcPr>
                  <w:tcW w:w="458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间接排放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水环境保护目标</w:t>
                  </w:r>
                </w:p>
              </w:tc>
              <w:tc>
                <w:tcPr>
                  <w:tcW w:w="2713"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是否涉及保护目标</w:t>
                  </w:r>
                </w:p>
              </w:tc>
              <w:tc>
                <w:tcPr>
                  <w:tcW w:w="458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vAlign w:val="center"/>
                </w:tcPr>
                <w:p>
                  <w:pPr>
                    <w:spacing w:line="276" w:lineRule="auto"/>
                    <w:jc w:val="center"/>
                    <w:rPr>
                      <w:rFonts w:eastAsiaTheme="minorEastAsia"/>
                      <w:color w:val="auto"/>
                      <w:szCs w:val="21"/>
                      <w:highlight w:val="none"/>
                    </w:rPr>
                  </w:pPr>
                </w:p>
              </w:tc>
              <w:tc>
                <w:tcPr>
                  <w:tcW w:w="2713"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保护目标</w:t>
                  </w:r>
                </w:p>
              </w:tc>
              <w:tc>
                <w:tcPr>
                  <w:tcW w:w="458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09" w:type="dxa"/>
                  <w:gridSpan w:val="2"/>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等级判定结果</w:t>
                  </w:r>
                </w:p>
              </w:tc>
              <w:tc>
                <w:tcPr>
                  <w:tcW w:w="458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三级B</w:t>
                  </w:r>
                </w:p>
              </w:tc>
            </w:tr>
          </w:tbl>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废水类别、污染物及污染治理设施信息表</w:t>
            </w:r>
          </w:p>
          <w:tbl>
            <w:tblPr>
              <w:tblStyle w:val="41"/>
              <w:tblW w:w="91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40"/>
              <w:gridCol w:w="532"/>
              <w:gridCol w:w="815"/>
              <w:gridCol w:w="534"/>
              <w:gridCol w:w="1105"/>
              <w:gridCol w:w="824"/>
              <w:gridCol w:w="921"/>
              <w:gridCol w:w="921"/>
              <w:gridCol w:w="858"/>
              <w:gridCol w:w="741"/>
              <w:gridCol w:w="15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3" w:hRule="atLeast"/>
                <w:jc w:val="center"/>
              </w:trPr>
              <w:tc>
                <w:tcPr>
                  <w:tcW w:w="340"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序号</w:t>
                  </w:r>
                </w:p>
              </w:tc>
              <w:tc>
                <w:tcPr>
                  <w:tcW w:w="532"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废水类别</w:t>
                  </w:r>
                </w:p>
              </w:tc>
              <w:tc>
                <w:tcPr>
                  <w:tcW w:w="815"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污染物种类</w:t>
                  </w:r>
                </w:p>
              </w:tc>
              <w:tc>
                <w:tcPr>
                  <w:tcW w:w="534"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排放去向</w:t>
                  </w:r>
                </w:p>
              </w:tc>
              <w:tc>
                <w:tcPr>
                  <w:tcW w:w="1105"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排放规律</w:t>
                  </w:r>
                </w:p>
              </w:tc>
              <w:tc>
                <w:tcPr>
                  <w:tcW w:w="2666" w:type="dxa"/>
                  <w:gridSpan w:val="3"/>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污染防治设施</w:t>
                  </w:r>
                </w:p>
              </w:tc>
              <w:tc>
                <w:tcPr>
                  <w:tcW w:w="858"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排放口</w:t>
                  </w:r>
                </w:p>
                <w:p>
                  <w:pPr>
                    <w:spacing w:line="276" w:lineRule="auto"/>
                    <w:jc w:val="center"/>
                    <w:rPr>
                      <w:rFonts w:eastAsiaTheme="minorEastAsia"/>
                      <w:color w:val="auto"/>
                      <w:szCs w:val="21"/>
                      <w:highlight w:val="none"/>
                    </w:rPr>
                  </w:pPr>
                  <w:r>
                    <w:rPr>
                      <w:rFonts w:eastAsiaTheme="minorEastAsia"/>
                      <w:color w:val="auto"/>
                      <w:szCs w:val="21"/>
                      <w:highlight w:val="none"/>
                    </w:rPr>
                    <w:t>编号</w:t>
                  </w:r>
                </w:p>
              </w:tc>
              <w:tc>
                <w:tcPr>
                  <w:tcW w:w="741"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排放口设置是否符合要求</w:t>
                  </w:r>
                </w:p>
              </w:tc>
              <w:tc>
                <w:tcPr>
                  <w:tcW w:w="1534"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19" w:hRule="atLeast"/>
                <w:jc w:val="center"/>
              </w:trPr>
              <w:tc>
                <w:tcPr>
                  <w:tcW w:w="340" w:type="dxa"/>
                  <w:vMerge w:val="continue"/>
                  <w:vAlign w:val="center"/>
                </w:tcPr>
                <w:p>
                  <w:pPr>
                    <w:spacing w:line="276" w:lineRule="auto"/>
                    <w:jc w:val="center"/>
                    <w:rPr>
                      <w:rFonts w:eastAsiaTheme="minorEastAsia"/>
                      <w:color w:val="auto"/>
                      <w:szCs w:val="21"/>
                      <w:highlight w:val="none"/>
                    </w:rPr>
                  </w:pPr>
                </w:p>
              </w:tc>
              <w:tc>
                <w:tcPr>
                  <w:tcW w:w="532" w:type="dxa"/>
                  <w:vMerge w:val="continue"/>
                  <w:vAlign w:val="center"/>
                </w:tcPr>
                <w:p>
                  <w:pPr>
                    <w:spacing w:line="276" w:lineRule="auto"/>
                    <w:jc w:val="center"/>
                    <w:rPr>
                      <w:rFonts w:eastAsiaTheme="minorEastAsia"/>
                      <w:color w:val="auto"/>
                      <w:szCs w:val="21"/>
                      <w:highlight w:val="none"/>
                    </w:rPr>
                  </w:pPr>
                </w:p>
              </w:tc>
              <w:tc>
                <w:tcPr>
                  <w:tcW w:w="815" w:type="dxa"/>
                  <w:vMerge w:val="continue"/>
                  <w:vAlign w:val="center"/>
                </w:tcPr>
                <w:p>
                  <w:pPr>
                    <w:spacing w:line="276" w:lineRule="auto"/>
                    <w:jc w:val="center"/>
                    <w:rPr>
                      <w:rFonts w:eastAsiaTheme="minorEastAsia"/>
                      <w:color w:val="auto"/>
                      <w:szCs w:val="21"/>
                      <w:highlight w:val="none"/>
                    </w:rPr>
                  </w:pPr>
                </w:p>
              </w:tc>
              <w:tc>
                <w:tcPr>
                  <w:tcW w:w="534" w:type="dxa"/>
                  <w:vMerge w:val="continue"/>
                  <w:vAlign w:val="center"/>
                </w:tcPr>
                <w:p>
                  <w:pPr>
                    <w:spacing w:line="276" w:lineRule="auto"/>
                    <w:jc w:val="center"/>
                    <w:rPr>
                      <w:rFonts w:eastAsiaTheme="minorEastAsia"/>
                      <w:color w:val="auto"/>
                      <w:szCs w:val="21"/>
                      <w:highlight w:val="none"/>
                    </w:rPr>
                  </w:pPr>
                </w:p>
              </w:tc>
              <w:tc>
                <w:tcPr>
                  <w:tcW w:w="1105" w:type="dxa"/>
                  <w:vMerge w:val="continue"/>
                  <w:vAlign w:val="center"/>
                </w:tcPr>
                <w:p>
                  <w:pPr>
                    <w:spacing w:line="276" w:lineRule="auto"/>
                    <w:jc w:val="center"/>
                    <w:rPr>
                      <w:rFonts w:eastAsiaTheme="minorEastAsia"/>
                      <w:color w:val="auto"/>
                      <w:szCs w:val="21"/>
                      <w:highlight w:val="none"/>
                    </w:rPr>
                  </w:pPr>
                </w:p>
              </w:tc>
              <w:tc>
                <w:tcPr>
                  <w:tcW w:w="824"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污染设施施编号</w:t>
                  </w:r>
                </w:p>
              </w:tc>
              <w:tc>
                <w:tcPr>
                  <w:tcW w:w="921"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污染治理设施名称</w:t>
                  </w:r>
                </w:p>
              </w:tc>
              <w:tc>
                <w:tcPr>
                  <w:tcW w:w="921"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污染治理设施工艺</w:t>
                  </w:r>
                </w:p>
              </w:tc>
              <w:tc>
                <w:tcPr>
                  <w:tcW w:w="858" w:type="dxa"/>
                  <w:vMerge w:val="continue"/>
                  <w:vAlign w:val="center"/>
                </w:tcPr>
                <w:p>
                  <w:pPr>
                    <w:spacing w:line="276" w:lineRule="auto"/>
                    <w:jc w:val="center"/>
                    <w:rPr>
                      <w:rFonts w:eastAsiaTheme="minorEastAsia"/>
                      <w:color w:val="auto"/>
                      <w:szCs w:val="21"/>
                      <w:highlight w:val="none"/>
                    </w:rPr>
                  </w:pPr>
                </w:p>
              </w:tc>
              <w:tc>
                <w:tcPr>
                  <w:tcW w:w="741" w:type="dxa"/>
                  <w:vMerge w:val="continue"/>
                  <w:vAlign w:val="center"/>
                </w:tcPr>
                <w:p>
                  <w:pPr>
                    <w:spacing w:line="276" w:lineRule="auto"/>
                    <w:jc w:val="center"/>
                    <w:rPr>
                      <w:rFonts w:eastAsiaTheme="minorEastAsia"/>
                      <w:color w:val="auto"/>
                      <w:szCs w:val="21"/>
                      <w:highlight w:val="none"/>
                    </w:rPr>
                  </w:pPr>
                </w:p>
              </w:tc>
              <w:tc>
                <w:tcPr>
                  <w:tcW w:w="1534" w:type="dxa"/>
                  <w:vMerge w:val="continue"/>
                  <w:vAlign w:val="center"/>
                </w:tcPr>
                <w:p>
                  <w:pPr>
                    <w:spacing w:line="276" w:lineRule="auto"/>
                    <w:jc w:val="center"/>
                    <w:rPr>
                      <w:rFonts w:eastAsiaTheme="minorEastAsia"/>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12" w:hRule="atLeast"/>
                <w:jc w:val="center"/>
              </w:trPr>
              <w:tc>
                <w:tcPr>
                  <w:tcW w:w="340"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1</w:t>
                  </w:r>
                </w:p>
              </w:tc>
              <w:tc>
                <w:tcPr>
                  <w:tcW w:w="532"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生活污水</w:t>
                  </w:r>
                </w:p>
              </w:tc>
              <w:tc>
                <w:tcPr>
                  <w:tcW w:w="815"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COD、</w:t>
                  </w:r>
                </w:p>
                <w:p>
                  <w:pPr>
                    <w:spacing w:line="276" w:lineRule="auto"/>
                    <w:jc w:val="center"/>
                    <w:rPr>
                      <w:rFonts w:eastAsiaTheme="minorEastAsia"/>
                      <w:color w:val="auto"/>
                      <w:szCs w:val="21"/>
                      <w:highlight w:val="none"/>
                    </w:rPr>
                  </w:pPr>
                  <w:r>
                    <w:rPr>
                      <w:rFonts w:eastAsiaTheme="minorEastAsia"/>
                      <w:color w:val="auto"/>
                      <w:szCs w:val="21"/>
                      <w:highlight w:val="none"/>
                    </w:rPr>
                    <w:t>BOD、</w:t>
                  </w:r>
                </w:p>
                <w:p>
                  <w:pPr>
                    <w:spacing w:line="276" w:lineRule="auto"/>
                    <w:jc w:val="center"/>
                    <w:rPr>
                      <w:rFonts w:eastAsiaTheme="minorEastAsia"/>
                      <w:color w:val="auto"/>
                      <w:szCs w:val="21"/>
                      <w:highlight w:val="none"/>
                    </w:rPr>
                  </w:pPr>
                  <w:r>
                    <w:rPr>
                      <w:rFonts w:eastAsiaTheme="minorEastAsia"/>
                      <w:color w:val="auto"/>
                      <w:szCs w:val="21"/>
                      <w:highlight w:val="none"/>
                    </w:rPr>
                    <w:t>氨氮等</w:t>
                  </w:r>
                </w:p>
              </w:tc>
              <w:tc>
                <w:tcPr>
                  <w:tcW w:w="534"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进入</w:t>
                  </w:r>
                </w:p>
                <w:p>
                  <w:pPr>
                    <w:spacing w:line="276" w:lineRule="auto"/>
                    <w:jc w:val="center"/>
                    <w:rPr>
                      <w:rFonts w:eastAsiaTheme="minorEastAsia"/>
                      <w:color w:val="auto"/>
                      <w:szCs w:val="21"/>
                      <w:highlight w:val="none"/>
                    </w:rPr>
                  </w:pPr>
                  <w:r>
                    <w:rPr>
                      <w:rFonts w:eastAsiaTheme="minorEastAsia"/>
                      <w:color w:val="auto"/>
                      <w:szCs w:val="21"/>
                      <w:highlight w:val="none"/>
                    </w:rPr>
                    <w:t>城市</w:t>
                  </w:r>
                </w:p>
                <w:p>
                  <w:pPr>
                    <w:spacing w:line="276" w:lineRule="auto"/>
                    <w:jc w:val="center"/>
                    <w:rPr>
                      <w:rFonts w:eastAsiaTheme="minorEastAsia"/>
                      <w:color w:val="auto"/>
                      <w:szCs w:val="21"/>
                      <w:highlight w:val="none"/>
                    </w:rPr>
                  </w:pPr>
                  <w:r>
                    <w:rPr>
                      <w:rFonts w:eastAsiaTheme="minorEastAsia"/>
                      <w:color w:val="auto"/>
                      <w:szCs w:val="21"/>
                      <w:highlight w:val="none"/>
                    </w:rPr>
                    <w:t>污水</w:t>
                  </w:r>
                </w:p>
                <w:p>
                  <w:pPr>
                    <w:spacing w:line="276" w:lineRule="auto"/>
                    <w:jc w:val="center"/>
                    <w:rPr>
                      <w:rFonts w:eastAsiaTheme="minorEastAsia"/>
                      <w:color w:val="auto"/>
                      <w:szCs w:val="21"/>
                      <w:highlight w:val="none"/>
                    </w:rPr>
                  </w:pPr>
                  <w:r>
                    <w:rPr>
                      <w:rFonts w:eastAsiaTheme="minorEastAsia"/>
                      <w:color w:val="auto"/>
                      <w:szCs w:val="21"/>
                      <w:highlight w:val="none"/>
                    </w:rPr>
                    <w:t>处理厂</w:t>
                  </w:r>
                </w:p>
              </w:tc>
              <w:tc>
                <w:tcPr>
                  <w:tcW w:w="1105"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间断排放，排放期间流量不稳定且无规律，但不属于冲击型排放</w:t>
                  </w:r>
                </w:p>
              </w:tc>
              <w:tc>
                <w:tcPr>
                  <w:tcW w:w="824"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w:t>
                  </w:r>
                </w:p>
              </w:tc>
              <w:tc>
                <w:tcPr>
                  <w:tcW w:w="921"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化粪池</w:t>
                  </w:r>
                </w:p>
              </w:tc>
              <w:tc>
                <w:tcPr>
                  <w:tcW w:w="921"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分格沉淀、厌氧消化</w:t>
                  </w:r>
                </w:p>
              </w:tc>
              <w:tc>
                <w:tcPr>
                  <w:tcW w:w="858"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WS-01</w:t>
                  </w:r>
                </w:p>
              </w:tc>
              <w:tc>
                <w:tcPr>
                  <w:tcW w:w="741"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√是</w:t>
                  </w:r>
                </w:p>
                <w:p>
                  <w:pPr>
                    <w:spacing w:line="276" w:lineRule="auto"/>
                    <w:jc w:val="center"/>
                    <w:rPr>
                      <w:rFonts w:eastAsiaTheme="minorEastAsia"/>
                      <w:color w:val="auto"/>
                      <w:szCs w:val="21"/>
                      <w:highlight w:val="none"/>
                    </w:rPr>
                  </w:pPr>
                  <w:r>
                    <w:rPr>
                      <w:rFonts w:eastAsiaTheme="minorEastAsia"/>
                      <w:color w:val="auto"/>
                      <w:szCs w:val="21"/>
                      <w:highlight w:val="none"/>
                    </w:rPr>
                    <w:t>□否</w:t>
                  </w:r>
                </w:p>
              </w:tc>
              <w:tc>
                <w:tcPr>
                  <w:tcW w:w="1534"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√企业总排</w:t>
                  </w:r>
                </w:p>
                <w:p>
                  <w:pPr>
                    <w:spacing w:line="276" w:lineRule="auto"/>
                    <w:jc w:val="center"/>
                    <w:rPr>
                      <w:rFonts w:eastAsiaTheme="minorEastAsia"/>
                      <w:color w:val="auto"/>
                      <w:szCs w:val="21"/>
                      <w:highlight w:val="none"/>
                    </w:rPr>
                  </w:pPr>
                  <w:r>
                    <w:rPr>
                      <w:rFonts w:eastAsiaTheme="minorEastAsia"/>
                      <w:color w:val="auto"/>
                      <w:szCs w:val="21"/>
                      <w:highlight w:val="none"/>
                    </w:rPr>
                    <w:t>□雨水排放</w:t>
                  </w:r>
                </w:p>
                <w:p>
                  <w:pPr>
                    <w:spacing w:line="276" w:lineRule="auto"/>
                    <w:jc w:val="center"/>
                    <w:rPr>
                      <w:rFonts w:eastAsiaTheme="minorEastAsia"/>
                      <w:color w:val="auto"/>
                      <w:szCs w:val="21"/>
                      <w:highlight w:val="none"/>
                    </w:rPr>
                  </w:pPr>
                  <w:r>
                    <w:rPr>
                      <w:rFonts w:eastAsiaTheme="minorEastAsia"/>
                      <w:color w:val="auto"/>
                      <w:szCs w:val="21"/>
                      <w:highlight w:val="none"/>
                    </w:rPr>
                    <w:t>□清净下水排放</w:t>
                  </w:r>
                </w:p>
                <w:p>
                  <w:pPr>
                    <w:spacing w:line="276" w:lineRule="auto"/>
                    <w:jc w:val="center"/>
                    <w:rPr>
                      <w:rFonts w:eastAsiaTheme="minorEastAsia"/>
                      <w:color w:val="auto"/>
                      <w:szCs w:val="21"/>
                      <w:highlight w:val="none"/>
                    </w:rPr>
                  </w:pPr>
                  <w:r>
                    <w:rPr>
                      <w:rFonts w:eastAsiaTheme="minorEastAsia"/>
                      <w:color w:val="auto"/>
                      <w:szCs w:val="21"/>
                      <w:highlight w:val="none"/>
                    </w:rPr>
                    <w:t>□温排水排放</w:t>
                  </w:r>
                </w:p>
                <w:p>
                  <w:pPr>
                    <w:spacing w:line="276" w:lineRule="auto"/>
                    <w:jc w:val="center"/>
                    <w:rPr>
                      <w:rFonts w:eastAsiaTheme="minorEastAsia"/>
                      <w:color w:val="auto"/>
                      <w:szCs w:val="21"/>
                      <w:highlight w:val="none"/>
                    </w:rPr>
                  </w:pPr>
                  <w:r>
                    <w:rPr>
                      <w:rFonts w:eastAsiaTheme="minorEastAsia"/>
                      <w:color w:val="auto"/>
                      <w:szCs w:val="21"/>
                      <w:highlight w:val="none"/>
                    </w:rPr>
                    <w:t>□车间或车间处理设施排放口</w:t>
                  </w:r>
                </w:p>
              </w:tc>
            </w:tr>
          </w:tbl>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废水间接排放口基本情况表</w:t>
            </w:r>
          </w:p>
          <w:tbl>
            <w:tblPr>
              <w:tblStyle w:val="41"/>
              <w:tblW w:w="90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10"/>
              <w:gridCol w:w="529"/>
              <w:gridCol w:w="870"/>
              <w:gridCol w:w="780"/>
              <w:gridCol w:w="855"/>
              <w:gridCol w:w="720"/>
              <w:gridCol w:w="1571"/>
              <w:gridCol w:w="435"/>
              <w:gridCol w:w="825"/>
              <w:gridCol w:w="822"/>
              <w:gridCol w:w="1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4" w:hRule="atLeast"/>
                <w:jc w:val="center"/>
              </w:trPr>
              <w:tc>
                <w:tcPr>
                  <w:tcW w:w="410" w:type="dxa"/>
                  <w:vMerge w:val="restart"/>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序号</w:t>
                  </w:r>
                </w:p>
              </w:tc>
              <w:tc>
                <w:tcPr>
                  <w:tcW w:w="529" w:type="dxa"/>
                  <w:vMerge w:val="restart"/>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排放口</w:t>
                  </w:r>
                </w:p>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编号</w:t>
                  </w:r>
                </w:p>
              </w:tc>
              <w:tc>
                <w:tcPr>
                  <w:tcW w:w="1650" w:type="dxa"/>
                  <w:gridSpan w:val="2"/>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排放口地理坐标</w:t>
                  </w:r>
                </w:p>
              </w:tc>
              <w:tc>
                <w:tcPr>
                  <w:tcW w:w="855" w:type="dxa"/>
                  <w:vMerge w:val="restart"/>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废水</w:t>
                  </w:r>
                </w:p>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排放量</w:t>
                  </w:r>
                </w:p>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（万t/a）</w:t>
                  </w:r>
                </w:p>
              </w:tc>
              <w:tc>
                <w:tcPr>
                  <w:tcW w:w="720" w:type="dxa"/>
                  <w:vMerge w:val="restart"/>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排放</w:t>
                  </w:r>
                </w:p>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去向</w:t>
                  </w:r>
                </w:p>
              </w:tc>
              <w:tc>
                <w:tcPr>
                  <w:tcW w:w="1571" w:type="dxa"/>
                  <w:vMerge w:val="restart"/>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排放</w:t>
                  </w:r>
                </w:p>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规律</w:t>
                  </w:r>
                </w:p>
              </w:tc>
              <w:tc>
                <w:tcPr>
                  <w:tcW w:w="435" w:type="dxa"/>
                  <w:vMerge w:val="restart"/>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间歇</w:t>
                  </w:r>
                </w:p>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排放</w:t>
                  </w:r>
                </w:p>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时段</w:t>
                  </w:r>
                </w:p>
              </w:tc>
              <w:tc>
                <w:tcPr>
                  <w:tcW w:w="2846" w:type="dxa"/>
                  <w:gridSpan w:val="3"/>
                  <w:vMerge w:val="restart"/>
                  <w:vAlign w:val="center"/>
                </w:tcPr>
                <w:p>
                  <w:pPr>
                    <w:jc w:val="center"/>
                    <w:rPr>
                      <w:rFonts w:eastAsiaTheme="minorEastAsia"/>
                      <w:snapToGrid w:val="0"/>
                      <w:color w:val="auto"/>
                      <w:szCs w:val="21"/>
                      <w:highlight w:val="none"/>
                    </w:rPr>
                  </w:pPr>
                  <w:r>
                    <w:rPr>
                      <w:rFonts w:eastAsiaTheme="minorEastAsia"/>
                      <w:color w:val="auto"/>
                      <w:szCs w:val="21"/>
                      <w:highlight w:val="none"/>
                    </w:rPr>
                    <w:t>受纳污水处理厂信息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410" w:type="dxa"/>
                  <w:vMerge w:val="continue"/>
                  <w:vAlign w:val="center"/>
                </w:tcPr>
                <w:p>
                  <w:pPr>
                    <w:spacing w:line="276" w:lineRule="auto"/>
                    <w:jc w:val="center"/>
                    <w:rPr>
                      <w:rFonts w:eastAsiaTheme="minorEastAsia"/>
                      <w:snapToGrid w:val="0"/>
                      <w:color w:val="auto"/>
                      <w:szCs w:val="21"/>
                      <w:highlight w:val="none"/>
                    </w:rPr>
                  </w:pPr>
                </w:p>
              </w:tc>
              <w:tc>
                <w:tcPr>
                  <w:tcW w:w="529" w:type="dxa"/>
                  <w:vMerge w:val="continue"/>
                  <w:vAlign w:val="center"/>
                </w:tcPr>
                <w:p>
                  <w:pPr>
                    <w:spacing w:line="276" w:lineRule="auto"/>
                    <w:jc w:val="center"/>
                    <w:rPr>
                      <w:rFonts w:eastAsiaTheme="minorEastAsia"/>
                      <w:snapToGrid w:val="0"/>
                      <w:color w:val="auto"/>
                      <w:szCs w:val="21"/>
                      <w:highlight w:val="none"/>
                    </w:rPr>
                  </w:pPr>
                </w:p>
              </w:tc>
              <w:tc>
                <w:tcPr>
                  <w:tcW w:w="870" w:type="dxa"/>
                  <w:vMerge w:val="restart"/>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经度</w:t>
                  </w:r>
                  <w:r>
                    <w:rPr>
                      <w:b/>
                      <w:color w:val="auto"/>
                      <w:szCs w:val="21"/>
                      <w:highlight w:val="none"/>
                    </w:rPr>
                    <w:t>/</w:t>
                  </w:r>
                  <w:r>
                    <w:rPr>
                      <w:rFonts w:eastAsiaTheme="minorEastAsia"/>
                      <w:color w:val="auto"/>
                      <w:szCs w:val="21"/>
                      <w:highlight w:val="none"/>
                    </w:rPr>
                    <w:t>°</w:t>
                  </w:r>
                </w:p>
              </w:tc>
              <w:tc>
                <w:tcPr>
                  <w:tcW w:w="780" w:type="dxa"/>
                  <w:vMerge w:val="restart"/>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纬度</w:t>
                  </w:r>
                  <w:r>
                    <w:rPr>
                      <w:b/>
                      <w:color w:val="auto"/>
                      <w:szCs w:val="21"/>
                      <w:highlight w:val="none"/>
                    </w:rPr>
                    <w:t>/</w:t>
                  </w:r>
                  <w:r>
                    <w:rPr>
                      <w:rFonts w:eastAsiaTheme="minorEastAsia"/>
                      <w:color w:val="auto"/>
                      <w:szCs w:val="21"/>
                      <w:highlight w:val="none"/>
                    </w:rPr>
                    <w:t>°</w:t>
                  </w:r>
                </w:p>
              </w:tc>
              <w:tc>
                <w:tcPr>
                  <w:tcW w:w="855" w:type="dxa"/>
                  <w:vMerge w:val="continue"/>
                  <w:vAlign w:val="center"/>
                </w:tcPr>
                <w:p>
                  <w:pPr>
                    <w:spacing w:line="276" w:lineRule="auto"/>
                    <w:jc w:val="center"/>
                    <w:rPr>
                      <w:rFonts w:eastAsiaTheme="minorEastAsia"/>
                      <w:snapToGrid w:val="0"/>
                      <w:color w:val="auto"/>
                      <w:szCs w:val="21"/>
                      <w:highlight w:val="none"/>
                    </w:rPr>
                  </w:pPr>
                </w:p>
              </w:tc>
              <w:tc>
                <w:tcPr>
                  <w:tcW w:w="720" w:type="dxa"/>
                  <w:vMerge w:val="continue"/>
                  <w:vAlign w:val="center"/>
                </w:tcPr>
                <w:p>
                  <w:pPr>
                    <w:spacing w:line="276" w:lineRule="auto"/>
                    <w:jc w:val="center"/>
                    <w:rPr>
                      <w:rFonts w:eastAsiaTheme="minorEastAsia"/>
                      <w:snapToGrid w:val="0"/>
                      <w:color w:val="auto"/>
                      <w:szCs w:val="21"/>
                      <w:highlight w:val="none"/>
                    </w:rPr>
                  </w:pPr>
                </w:p>
              </w:tc>
              <w:tc>
                <w:tcPr>
                  <w:tcW w:w="1571" w:type="dxa"/>
                  <w:vMerge w:val="continue"/>
                  <w:vAlign w:val="center"/>
                </w:tcPr>
                <w:p>
                  <w:pPr>
                    <w:spacing w:line="276" w:lineRule="auto"/>
                    <w:jc w:val="center"/>
                    <w:rPr>
                      <w:rFonts w:eastAsiaTheme="minorEastAsia"/>
                      <w:snapToGrid w:val="0"/>
                      <w:color w:val="auto"/>
                      <w:szCs w:val="21"/>
                      <w:highlight w:val="none"/>
                    </w:rPr>
                  </w:pPr>
                </w:p>
              </w:tc>
              <w:tc>
                <w:tcPr>
                  <w:tcW w:w="435" w:type="dxa"/>
                  <w:vMerge w:val="continue"/>
                  <w:vAlign w:val="center"/>
                </w:tcPr>
                <w:p>
                  <w:pPr>
                    <w:spacing w:line="276" w:lineRule="auto"/>
                    <w:jc w:val="center"/>
                    <w:rPr>
                      <w:rFonts w:eastAsiaTheme="minorEastAsia"/>
                      <w:snapToGrid w:val="0"/>
                      <w:color w:val="auto"/>
                      <w:szCs w:val="21"/>
                      <w:highlight w:val="none"/>
                    </w:rPr>
                  </w:pPr>
                </w:p>
              </w:tc>
              <w:tc>
                <w:tcPr>
                  <w:tcW w:w="2846" w:type="dxa"/>
                  <w:gridSpan w:val="3"/>
                  <w:vMerge w:val="continue"/>
                  <w:vAlign w:val="center"/>
                </w:tcPr>
                <w:p>
                  <w:pPr>
                    <w:jc w:val="center"/>
                    <w:rPr>
                      <w:rFonts w:eastAsiaTheme="minorEastAsia"/>
                      <w:snapToGrid w:val="0"/>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30" w:hRule="atLeast"/>
                <w:jc w:val="center"/>
              </w:trPr>
              <w:tc>
                <w:tcPr>
                  <w:tcW w:w="410" w:type="dxa"/>
                  <w:vMerge w:val="continue"/>
                  <w:vAlign w:val="center"/>
                </w:tcPr>
                <w:p>
                  <w:pPr>
                    <w:spacing w:line="276" w:lineRule="auto"/>
                    <w:jc w:val="center"/>
                    <w:rPr>
                      <w:rFonts w:eastAsiaTheme="minorEastAsia"/>
                      <w:snapToGrid w:val="0"/>
                      <w:color w:val="auto"/>
                      <w:szCs w:val="21"/>
                      <w:highlight w:val="none"/>
                    </w:rPr>
                  </w:pPr>
                </w:p>
              </w:tc>
              <w:tc>
                <w:tcPr>
                  <w:tcW w:w="529" w:type="dxa"/>
                  <w:vMerge w:val="continue"/>
                  <w:vAlign w:val="center"/>
                </w:tcPr>
                <w:p>
                  <w:pPr>
                    <w:spacing w:line="276" w:lineRule="auto"/>
                    <w:jc w:val="center"/>
                    <w:rPr>
                      <w:rFonts w:eastAsiaTheme="minorEastAsia"/>
                      <w:snapToGrid w:val="0"/>
                      <w:color w:val="auto"/>
                      <w:szCs w:val="21"/>
                      <w:highlight w:val="none"/>
                    </w:rPr>
                  </w:pPr>
                </w:p>
              </w:tc>
              <w:tc>
                <w:tcPr>
                  <w:tcW w:w="870" w:type="dxa"/>
                  <w:vMerge w:val="continue"/>
                  <w:vAlign w:val="center"/>
                </w:tcPr>
                <w:p>
                  <w:pPr>
                    <w:spacing w:line="276" w:lineRule="auto"/>
                    <w:jc w:val="center"/>
                    <w:rPr>
                      <w:rFonts w:eastAsiaTheme="minorEastAsia"/>
                      <w:snapToGrid w:val="0"/>
                      <w:color w:val="auto"/>
                      <w:szCs w:val="21"/>
                      <w:highlight w:val="none"/>
                    </w:rPr>
                  </w:pPr>
                </w:p>
              </w:tc>
              <w:tc>
                <w:tcPr>
                  <w:tcW w:w="780" w:type="dxa"/>
                  <w:vMerge w:val="continue"/>
                  <w:vAlign w:val="center"/>
                </w:tcPr>
                <w:p>
                  <w:pPr>
                    <w:spacing w:line="276" w:lineRule="auto"/>
                    <w:jc w:val="center"/>
                    <w:rPr>
                      <w:rFonts w:eastAsiaTheme="minorEastAsia"/>
                      <w:snapToGrid w:val="0"/>
                      <w:color w:val="auto"/>
                      <w:szCs w:val="21"/>
                      <w:highlight w:val="none"/>
                    </w:rPr>
                  </w:pPr>
                </w:p>
              </w:tc>
              <w:tc>
                <w:tcPr>
                  <w:tcW w:w="855" w:type="dxa"/>
                  <w:vMerge w:val="continue"/>
                  <w:vAlign w:val="center"/>
                </w:tcPr>
                <w:p>
                  <w:pPr>
                    <w:spacing w:line="276" w:lineRule="auto"/>
                    <w:jc w:val="center"/>
                    <w:rPr>
                      <w:rFonts w:eastAsiaTheme="minorEastAsia"/>
                      <w:snapToGrid w:val="0"/>
                      <w:color w:val="auto"/>
                      <w:szCs w:val="21"/>
                      <w:highlight w:val="none"/>
                    </w:rPr>
                  </w:pPr>
                </w:p>
              </w:tc>
              <w:tc>
                <w:tcPr>
                  <w:tcW w:w="720" w:type="dxa"/>
                  <w:vMerge w:val="continue"/>
                  <w:vAlign w:val="center"/>
                </w:tcPr>
                <w:p>
                  <w:pPr>
                    <w:spacing w:line="276" w:lineRule="auto"/>
                    <w:jc w:val="center"/>
                    <w:rPr>
                      <w:rFonts w:eastAsiaTheme="minorEastAsia"/>
                      <w:snapToGrid w:val="0"/>
                      <w:color w:val="auto"/>
                      <w:szCs w:val="21"/>
                      <w:highlight w:val="none"/>
                    </w:rPr>
                  </w:pPr>
                </w:p>
              </w:tc>
              <w:tc>
                <w:tcPr>
                  <w:tcW w:w="1571" w:type="dxa"/>
                  <w:vMerge w:val="continue"/>
                  <w:vAlign w:val="center"/>
                </w:tcPr>
                <w:p>
                  <w:pPr>
                    <w:spacing w:line="276" w:lineRule="auto"/>
                    <w:jc w:val="center"/>
                    <w:rPr>
                      <w:rFonts w:eastAsiaTheme="minorEastAsia"/>
                      <w:snapToGrid w:val="0"/>
                      <w:color w:val="auto"/>
                      <w:szCs w:val="21"/>
                      <w:highlight w:val="none"/>
                    </w:rPr>
                  </w:pPr>
                </w:p>
              </w:tc>
              <w:tc>
                <w:tcPr>
                  <w:tcW w:w="435" w:type="dxa"/>
                  <w:vMerge w:val="continue"/>
                  <w:vAlign w:val="center"/>
                </w:tcPr>
                <w:p>
                  <w:pPr>
                    <w:spacing w:line="276" w:lineRule="auto"/>
                    <w:jc w:val="center"/>
                    <w:rPr>
                      <w:rFonts w:eastAsiaTheme="minorEastAsia"/>
                      <w:snapToGrid w:val="0"/>
                      <w:color w:val="auto"/>
                      <w:szCs w:val="21"/>
                      <w:highlight w:val="none"/>
                    </w:rPr>
                  </w:pPr>
                </w:p>
              </w:tc>
              <w:tc>
                <w:tcPr>
                  <w:tcW w:w="825" w:type="dxa"/>
                  <w:vAlign w:val="center"/>
                </w:tcPr>
                <w:p>
                  <w:pPr>
                    <w:jc w:val="center"/>
                    <w:rPr>
                      <w:rFonts w:eastAsiaTheme="minorEastAsia"/>
                      <w:snapToGrid w:val="0"/>
                      <w:color w:val="auto"/>
                      <w:szCs w:val="21"/>
                      <w:highlight w:val="none"/>
                    </w:rPr>
                  </w:pPr>
                  <w:r>
                    <w:rPr>
                      <w:rFonts w:eastAsiaTheme="minorEastAsia"/>
                      <w:snapToGrid w:val="0"/>
                      <w:color w:val="auto"/>
                      <w:szCs w:val="21"/>
                      <w:highlight w:val="none"/>
                    </w:rPr>
                    <w:t>名称</w:t>
                  </w:r>
                </w:p>
              </w:tc>
              <w:tc>
                <w:tcPr>
                  <w:tcW w:w="822" w:type="dxa"/>
                  <w:vAlign w:val="center"/>
                </w:tcPr>
                <w:p>
                  <w:pPr>
                    <w:jc w:val="center"/>
                    <w:rPr>
                      <w:rFonts w:eastAsiaTheme="minorEastAsia"/>
                      <w:snapToGrid w:val="0"/>
                      <w:color w:val="auto"/>
                      <w:szCs w:val="21"/>
                      <w:highlight w:val="none"/>
                    </w:rPr>
                  </w:pPr>
                  <w:r>
                    <w:rPr>
                      <w:rFonts w:eastAsiaTheme="minorEastAsia"/>
                      <w:snapToGrid w:val="0"/>
                      <w:color w:val="auto"/>
                      <w:szCs w:val="21"/>
                      <w:highlight w:val="none"/>
                    </w:rPr>
                    <w:t>污染物种类</w:t>
                  </w:r>
                </w:p>
              </w:tc>
              <w:tc>
                <w:tcPr>
                  <w:tcW w:w="1199" w:type="dxa"/>
                  <w:vAlign w:val="center"/>
                </w:tcPr>
                <w:p>
                  <w:pPr>
                    <w:jc w:val="center"/>
                    <w:rPr>
                      <w:rFonts w:eastAsiaTheme="minorEastAsia"/>
                      <w:snapToGrid w:val="0"/>
                      <w:color w:val="auto"/>
                      <w:szCs w:val="21"/>
                      <w:highlight w:val="none"/>
                    </w:rPr>
                  </w:pPr>
                  <w:r>
                    <w:rPr>
                      <w:rFonts w:eastAsiaTheme="minorEastAsia"/>
                      <w:snapToGrid w:val="0"/>
                      <w:color w:val="auto"/>
                      <w:szCs w:val="21"/>
                      <w:highlight w:val="none"/>
                    </w:rPr>
                    <w:t>国家或</w:t>
                  </w:r>
                </w:p>
                <w:p>
                  <w:pPr>
                    <w:jc w:val="center"/>
                    <w:rPr>
                      <w:rFonts w:eastAsiaTheme="minorEastAsia"/>
                      <w:snapToGrid w:val="0"/>
                      <w:color w:val="auto"/>
                      <w:szCs w:val="21"/>
                      <w:highlight w:val="none"/>
                    </w:rPr>
                  </w:pPr>
                  <w:r>
                    <w:rPr>
                      <w:rFonts w:eastAsiaTheme="minorEastAsia"/>
                      <w:snapToGrid w:val="0"/>
                      <w:color w:val="auto"/>
                      <w:szCs w:val="21"/>
                      <w:highlight w:val="none"/>
                    </w:rPr>
                    <w:t>地方污染</w:t>
                  </w:r>
                </w:p>
                <w:p>
                  <w:pPr>
                    <w:jc w:val="center"/>
                    <w:rPr>
                      <w:rFonts w:eastAsiaTheme="minorEastAsia"/>
                      <w:snapToGrid w:val="0"/>
                      <w:color w:val="auto"/>
                      <w:szCs w:val="21"/>
                      <w:highlight w:val="none"/>
                    </w:rPr>
                  </w:pPr>
                  <w:r>
                    <w:rPr>
                      <w:rFonts w:eastAsiaTheme="minorEastAsia"/>
                      <w:snapToGrid w:val="0"/>
                      <w:color w:val="auto"/>
                      <w:szCs w:val="21"/>
                      <w:highlight w:val="none"/>
                    </w:rPr>
                    <w:t>物排放</w:t>
                  </w:r>
                </w:p>
                <w:p>
                  <w:pPr>
                    <w:jc w:val="center"/>
                    <w:rPr>
                      <w:rFonts w:eastAsiaTheme="minorEastAsia"/>
                      <w:snapToGrid w:val="0"/>
                      <w:color w:val="auto"/>
                      <w:szCs w:val="21"/>
                      <w:highlight w:val="none"/>
                    </w:rPr>
                  </w:pPr>
                  <w:r>
                    <w:rPr>
                      <w:rFonts w:eastAsiaTheme="minorEastAsia"/>
                      <w:snapToGrid w:val="0"/>
                      <w:color w:val="auto"/>
                      <w:szCs w:val="21"/>
                      <w:highlight w:val="none"/>
                    </w:rPr>
                    <w:t>标准浓度</w:t>
                  </w:r>
                </w:p>
                <w:p>
                  <w:pPr>
                    <w:jc w:val="center"/>
                    <w:rPr>
                      <w:rFonts w:eastAsiaTheme="minorEastAsia"/>
                      <w:snapToGrid w:val="0"/>
                      <w:color w:val="auto"/>
                      <w:szCs w:val="21"/>
                      <w:highlight w:val="none"/>
                    </w:rPr>
                  </w:pPr>
                  <w:r>
                    <w:rPr>
                      <w:rFonts w:eastAsiaTheme="minorEastAsia"/>
                      <w:snapToGrid w:val="0"/>
                      <w:color w:val="auto"/>
                      <w:szCs w:val="21"/>
                      <w:highlight w:val="none"/>
                    </w:rPr>
                    <w:t>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0" w:hRule="atLeast"/>
                <w:jc w:val="center"/>
              </w:trPr>
              <w:tc>
                <w:tcPr>
                  <w:tcW w:w="410" w:type="dxa"/>
                  <w:vMerge w:val="restart"/>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1</w:t>
                  </w:r>
                </w:p>
              </w:tc>
              <w:tc>
                <w:tcPr>
                  <w:tcW w:w="529" w:type="dxa"/>
                  <w:vMerge w:val="restart"/>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WS-01</w:t>
                  </w:r>
                </w:p>
              </w:tc>
              <w:tc>
                <w:tcPr>
                  <w:tcW w:w="870" w:type="dxa"/>
                  <w:vMerge w:val="restart"/>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112.7741</w:t>
                  </w:r>
                </w:p>
              </w:tc>
              <w:tc>
                <w:tcPr>
                  <w:tcW w:w="780" w:type="dxa"/>
                  <w:vMerge w:val="restart"/>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22.4546</w:t>
                  </w:r>
                </w:p>
              </w:tc>
              <w:tc>
                <w:tcPr>
                  <w:tcW w:w="855" w:type="dxa"/>
                  <w:vMerge w:val="restart"/>
                  <w:vAlign w:val="center"/>
                </w:tcPr>
                <w:p>
                  <w:pPr>
                    <w:spacing w:line="276" w:lineRule="auto"/>
                    <w:jc w:val="center"/>
                    <w:rPr>
                      <w:rFonts w:eastAsiaTheme="minorEastAsia"/>
                      <w:snapToGrid w:val="0"/>
                      <w:color w:val="auto"/>
                      <w:szCs w:val="21"/>
                      <w:highlight w:val="none"/>
                    </w:rPr>
                  </w:pPr>
                  <w:r>
                    <w:rPr>
                      <w:rFonts w:hint="eastAsia" w:eastAsiaTheme="minorEastAsia"/>
                      <w:snapToGrid w:val="0"/>
                      <w:color w:val="auto"/>
                      <w:szCs w:val="21"/>
                      <w:highlight w:val="none"/>
                    </w:rPr>
                    <w:t>0.0108</w:t>
                  </w:r>
                </w:p>
              </w:tc>
              <w:tc>
                <w:tcPr>
                  <w:tcW w:w="720" w:type="dxa"/>
                  <w:vMerge w:val="restart"/>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进入</w:t>
                  </w:r>
                </w:p>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城市</w:t>
                  </w:r>
                </w:p>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污水</w:t>
                  </w:r>
                </w:p>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处理厂</w:t>
                  </w:r>
                </w:p>
              </w:tc>
              <w:tc>
                <w:tcPr>
                  <w:tcW w:w="1571" w:type="dxa"/>
                  <w:vMerge w:val="restart"/>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间断排放，排放期间流量不稳定且无规律，但不属于冲击型排放</w:t>
                  </w:r>
                </w:p>
              </w:tc>
              <w:tc>
                <w:tcPr>
                  <w:tcW w:w="435" w:type="dxa"/>
                  <w:vMerge w:val="restart"/>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w:t>
                  </w:r>
                </w:p>
              </w:tc>
              <w:tc>
                <w:tcPr>
                  <w:tcW w:w="825" w:type="dxa"/>
                  <w:vMerge w:val="restart"/>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开平市水口污水处理厂</w:t>
                  </w:r>
                </w:p>
              </w:tc>
              <w:tc>
                <w:tcPr>
                  <w:tcW w:w="822" w:type="dxa"/>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pH</w:t>
                  </w:r>
                </w:p>
              </w:tc>
              <w:tc>
                <w:tcPr>
                  <w:tcW w:w="1199" w:type="dxa"/>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6.0~9.0</w:t>
                  </w:r>
                </w:p>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7" w:hRule="atLeast"/>
                <w:jc w:val="center"/>
              </w:trPr>
              <w:tc>
                <w:tcPr>
                  <w:tcW w:w="410" w:type="dxa"/>
                  <w:vMerge w:val="continue"/>
                  <w:vAlign w:val="center"/>
                </w:tcPr>
                <w:p>
                  <w:pPr>
                    <w:spacing w:line="276" w:lineRule="auto"/>
                    <w:jc w:val="center"/>
                    <w:rPr>
                      <w:rFonts w:eastAsiaTheme="minorEastAsia"/>
                      <w:snapToGrid w:val="0"/>
                      <w:color w:val="auto"/>
                      <w:szCs w:val="21"/>
                      <w:highlight w:val="none"/>
                    </w:rPr>
                  </w:pPr>
                </w:p>
              </w:tc>
              <w:tc>
                <w:tcPr>
                  <w:tcW w:w="529" w:type="dxa"/>
                  <w:vMerge w:val="continue"/>
                  <w:vAlign w:val="center"/>
                </w:tcPr>
                <w:p>
                  <w:pPr>
                    <w:spacing w:line="276" w:lineRule="auto"/>
                    <w:jc w:val="center"/>
                    <w:rPr>
                      <w:rFonts w:eastAsiaTheme="minorEastAsia"/>
                      <w:snapToGrid w:val="0"/>
                      <w:color w:val="auto"/>
                      <w:szCs w:val="21"/>
                      <w:highlight w:val="none"/>
                    </w:rPr>
                  </w:pPr>
                </w:p>
              </w:tc>
              <w:tc>
                <w:tcPr>
                  <w:tcW w:w="870" w:type="dxa"/>
                  <w:vMerge w:val="continue"/>
                  <w:vAlign w:val="center"/>
                </w:tcPr>
                <w:p>
                  <w:pPr>
                    <w:spacing w:line="276" w:lineRule="auto"/>
                    <w:jc w:val="center"/>
                    <w:rPr>
                      <w:rFonts w:eastAsiaTheme="minorEastAsia"/>
                      <w:snapToGrid w:val="0"/>
                      <w:color w:val="auto"/>
                      <w:szCs w:val="21"/>
                      <w:highlight w:val="none"/>
                    </w:rPr>
                  </w:pPr>
                </w:p>
              </w:tc>
              <w:tc>
                <w:tcPr>
                  <w:tcW w:w="780" w:type="dxa"/>
                  <w:vMerge w:val="continue"/>
                  <w:vAlign w:val="center"/>
                </w:tcPr>
                <w:p>
                  <w:pPr>
                    <w:spacing w:line="276" w:lineRule="auto"/>
                    <w:jc w:val="center"/>
                    <w:rPr>
                      <w:rFonts w:eastAsiaTheme="minorEastAsia"/>
                      <w:snapToGrid w:val="0"/>
                      <w:color w:val="auto"/>
                      <w:szCs w:val="21"/>
                      <w:highlight w:val="none"/>
                    </w:rPr>
                  </w:pPr>
                </w:p>
              </w:tc>
              <w:tc>
                <w:tcPr>
                  <w:tcW w:w="855" w:type="dxa"/>
                  <w:vMerge w:val="continue"/>
                  <w:vAlign w:val="center"/>
                </w:tcPr>
                <w:p>
                  <w:pPr>
                    <w:spacing w:line="276" w:lineRule="auto"/>
                    <w:jc w:val="center"/>
                    <w:rPr>
                      <w:rFonts w:eastAsiaTheme="minorEastAsia"/>
                      <w:snapToGrid w:val="0"/>
                      <w:color w:val="auto"/>
                      <w:szCs w:val="21"/>
                      <w:highlight w:val="none"/>
                    </w:rPr>
                  </w:pPr>
                </w:p>
              </w:tc>
              <w:tc>
                <w:tcPr>
                  <w:tcW w:w="720" w:type="dxa"/>
                  <w:vMerge w:val="continue"/>
                  <w:vAlign w:val="center"/>
                </w:tcPr>
                <w:p>
                  <w:pPr>
                    <w:spacing w:line="276" w:lineRule="auto"/>
                    <w:jc w:val="center"/>
                    <w:rPr>
                      <w:rFonts w:eastAsiaTheme="minorEastAsia"/>
                      <w:snapToGrid w:val="0"/>
                      <w:color w:val="auto"/>
                      <w:szCs w:val="21"/>
                      <w:highlight w:val="none"/>
                    </w:rPr>
                  </w:pPr>
                </w:p>
              </w:tc>
              <w:tc>
                <w:tcPr>
                  <w:tcW w:w="1571" w:type="dxa"/>
                  <w:vMerge w:val="continue"/>
                  <w:vAlign w:val="center"/>
                </w:tcPr>
                <w:p>
                  <w:pPr>
                    <w:spacing w:line="276" w:lineRule="auto"/>
                    <w:jc w:val="center"/>
                    <w:rPr>
                      <w:rFonts w:eastAsiaTheme="minorEastAsia"/>
                      <w:snapToGrid w:val="0"/>
                      <w:color w:val="auto"/>
                      <w:szCs w:val="21"/>
                      <w:highlight w:val="none"/>
                    </w:rPr>
                  </w:pPr>
                </w:p>
              </w:tc>
              <w:tc>
                <w:tcPr>
                  <w:tcW w:w="435" w:type="dxa"/>
                  <w:vMerge w:val="continue"/>
                  <w:vAlign w:val="center"/>
                </w:tcPr>
                <w:p>
                  <w:pPr>
                    <w:spacing w:line="276" w:lineRule="auto"/>
                    <w:jc w:val="center"/>
                    <w:rPr>
                      <w:rFonts w:eastAsiaTheme="minorEastAsia"/>
                      <w:snapToGrid w:val="0"/>
                      <w:color w:val="auto"/>
                      <w:szCs w:val="21"/>
                      <w:highlight w:val="none"/>
                    </w:rPr>
                  </w:pPr>
                </w:p>
              </w:tc>
              <w:tc>
                <w:tcPr>
                  <w:tcW w:w="825" w:type="dxa"/>
                  <w:vMerge w:val="continue"/>
                  <w:vAlign w:val="center"/>
                </w:tcPr>
                <w:p>
                  <w:pPr>
                    <w:spacing w:line="276" w:lineRule="auto"/>
                    <w:jc w:val="center"/>
                    <w:rPr>
                      <w:rFonts w:eastAsiaTheme="minorEastAsia"/>
                      <w:snapToGrid w:val="0"/>
                      <w:color w:val="auto"/>
                      <w:szCs w:val="21"/>
                      <w:highlight w:val="none"/>
                    </w:rPr>
                  </w:pPr>
                </w:p>
              </w:tc>
              <w:tc>
                <w:tcPr>
                  <w:tcW w:w="822" w:type="dxa"/>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COD</w:t>
                  </w:r>
                  <w:r>
                    <w:rPr>
                      <w:rFonts w:eastAsiaTheme="minorEastAsia"/>
                      <w:snapToGrid w:val="0"/>
                      <w:color w:val="auto"/>
                      <w:szCs w:val="21"/>
                      <w:highlight w:val="none"/>
                      <w:vertAlign w:val="subscript"/>
                    </w:rPr>
                    <w:t>Cr</w:t>
                  </w:r>
                </w:p>
              </w:tc>
              <w:tc>
                <w:tcPr>
                  <w:tcW w:w="1199" w:type="dxa"/>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5" w:hRule="atLeast"/>
                <w:jc w:val="center"/>
              </w:trPr>
              <w:tc>
                <w:tcPr>
                  <w:tcW w:w="410" w:type="dxa"/>
                  <w:vMerge w:val="continue"/>
                  <w:vAlign w:val="center"/>
                </w:tcPr>
                <w:p>
                  <w:pPr>
                    <w:spacing w:line="276" w:lineRule="auto"/>
                    <w:jc w:val="center"/>
                    <w:rPr>
                      <w:rFonts w:eastAsiaTheme="minorEastAsia"/>
                      <w:snapToGrid w:val="0"/>
                      <w:color w:val="auto"/>
                      <w:szCs w:val="21"/>
                      <w:highlight w:val="none"/>
                    </w:rPr>
                  </w:pPr>
                </w:p>
              </w:tc>
              <w:tc>
                <w:tcPr>
                  <w:tcW w:w="529" w:type="dxa"/>
                  <w:vMerge w:val="continue"/>
                  <w:vAlign w:val="center"/>
                </w:tcPr>
                <w:p>
                  <w:pPr>
                    <w:spacing w:line="276" w:lineRule="auto"/>
                    <w:jc w:val="center"/>
                    <w:rPr>
                      <w:rFonts w:eastAsiaTheme="minorEastAsia"/>
                      <w:snapToGrid w:val="0"/>
                      <w:color w:val="auto"/>
                      <w:szCs w:val="21"/>
                      <w:highlight w:val="none"/>
                    </w:rPr>
                  </w:pPr>
                </w:p>
              </w:tc>
              <w:tc>
                <w:tcPr>
                  <w:tcW w:w="870" w:type="dxa"/>
                  <w:vMerge w:val="continue"/>
                  <w:vAlign w:val="center"/>
                </w:tcPr>
                <w:p>
                  <w:pPr>
                    <w:spacing w:line="276" w:lineRule="auto"/>
                    <w:jc w:val="center"/>
                    <w:rPr>
                      <w:rFonts w:eastAsiaTheme="minorEastAsia"/>
                      <w:snapToGrid w:val="0"/>
                      <w:color w:val="auto"/>
                      <w:szCs w:val="21"/>
                      <w:highlight w:val="none"/>
                    </w:rPr>
                  </w:pPr>
                </w:p>
              </w:tc>
              <w:tc>
                <w:tcPr>
                  <w:tcW w:w="780" w:type="dxa"/>
                  <w:vMerge w:val="continue"/>
                  <w:vAlign w:val="center"/>
                </w:tcPr>
                <w:p>
                  <w:pPr>
                    <w:spacing w:line="276" w:lineRule="auto"/>
                    <w:jc w:val="center"/>
                    <w:rPr>
                      <w:rFonts w:eastAsiaTheme="minorEastAsia"/>
                      <w:snapToGrid w:val="0"/>
                      <w:color w:val="auto"/>
                      <w:szCs w:val="21"/>
                      <w:highlight w:val="none"/>
                    </w:rPr>
                  </w:pPr>
                </w:p>
              </w:tc>
              <w:tc>
                <w:tcPr>
                  <w:tcW w:w="855" w:type="dxa"/>
                  <w:vMerge w:val="continue"/>
                  <w:vAlign w:val="center"/>
                </w:tcPr>
                <w:p>
                  <w:pPr>
                    <w:spacing w:line="276" w:lineRule="auto"/>
                    <w:jc w:val="center"/>
                    <w:rPr>
                      <w:rFonts w:eastAsiaTheme="minorEastAsia"/>
                      <w:snapToGrid w:val="0"/>
                      <w:color w:val="auto"/>
                      <w:szCs w:val="21"/>
                      <w:highlight w:val="none"/>
                    </w:rPr>
                  </w:pPr>
                </w:p>
              </w:tc>
              <w:tc>
                <w:tcPr>
                  <w:tcW w:w="720" w:type="dxa"/>
                  <w:vMerge w:val="continue"/>
                  <w:vAlign w:val="center"/>
                </w:tcPr>
                <w:p>
                  <w:pPr>
                    <w:spacing w:line="276" w:lineRule="auto"/>
                    <w:jc w:val="center"/>
                    <w:rPr>
                      <w:rFonts w:eastAsiaTheme="minorEastAsia"/>
                      <w:snapToGrid w:val="0"/>
                      <w:color w:val="auto"/>
                      <w:szCs w:val="21"/>
                      <w:highlight w:val="none"/>
                    </w:rPr>
                  </w:pPr>
                </w:p>
              </w:tc>
              <w:tc>
                <w:tcPr>
                  <w:tcW w:w="1571" w:type="dxa"/>
                  <w:vMerge w:val="continue"/>
                  <w:vAlign w:val="center"/>
                </w:tcPr>
                <w:p>
                  <w:pPr>
                    <w:spacing w:line="276" w:lineRule="auto"/>
                    <w:jc w:val="center"/>
                    <w:rPr>
                      <w:rFonts w:eastAsiaTheme="minorEastAsia"/>
                      <w:snapToGrid w:val="0"/>
                      <w:color w:val="auto"/>
                      <w:szCs w:val="21"/>
                      <w:highlight w:val="none"/>
                    </w:rPr>
                  </w:pPr>
                </w:p>
              </w:tc>
              <w:tc>
                <w:tcPr>
                  <w:tcW w:w="435" w:type="dxa"/>
                  <w:vMerge w:val="continue"/>
                  <w:vAlign w:val="center"/>
                </w:tcPr>
                <w:p>
                  <w:pPr>
                    <w:spacing w:line="276" w:lineRule="auto"/>
                    <w:jc w:val="center"/>
                    <w:rPr>
                      <w:rFonts w:eastAsiaTheme="minorEastAsia"/>
                      <w:snapToGrid w:val="0"/>
                      <w:color w:val="auto"/>
                      <w:szCs w:val="21"/>
                      <w:highlight w:val="none"/>
                    </w:rPr>
                  </w:pPr>
                </w:p>
              </w:tc>
              <w:tc>
                <w:tcPr>
                  <w:tcW w:w="825" w:type="dxa"/>
                  <w:vMerge w:val="continue"/>
                  <w:vAlign w:val="center"/>
                </w:tcPr>
                <w:p>
                  <w:pPr>
                    <w:spacing w:line="276" w:lineRule="auto"/>
                    <w:jc w:val="center"/>
                    <w:rPr>
                      <w:rFonts w:eastAsiaTheme="minorEastAsia"/>
                      <w:snapToGrid w:val="0"/>
                      <w:color w:val="auto"/>
                      <w:szCs w:val="21"/>
                      <w:highlight w:val="none"/>
                    </w:rPr>
                  </w:pPr>
                </w:p>
              </w:tc>
              <w:tc>
                <w:tcPr>
                  <w:tcW w:w="822" w:type="dxa"/>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BOD</w:t>
                  </w:r>
                  <w:r>
                    <w:rPr>
                      <w:rFonts w:eastAsiaTheme="minorEastAsia"/>
                      <w:snapToGrid w:val="0"/>
                      <w:color w:val="auto"/>
                      <w:szCs w:val="21"/>
                      <w:highlight w:val="none"/>
                      <w:vertAlign w:val="subscript"/>
                    </w:rPr>
                    <w:t>5</w:t>
                  </w:r>
                </w:p>
              </w:tc>
              <w:tc>
                <w:tcPr>
                  <w:tcW w:w="1199" w:type="dxa"/>
                  <w:vAlign w:val="center"/>
                </w:tcPr>
                <w:p>
                  <w:pPr>
                    <w:spacing w:line="276" w:lineRule="auto"/>
                    <w:jc w:val="center"/>
                    <w:rPr>
                      <w:rFonts w:eastAsiaTheme="minorEastAsia"/>
                      <w:snapToGrid w:val="0"/>
                      <w:color w:val="auto"/>
                      <w:szCs w:val="21"/>
                      <w:highlight w:val="none"/>
                    </w:rPr>
                  </w:pPr>
                  <w:r>
                    <w:rPr>
                      <w:rFonts w:hint="eastAsia" w:eastAsiaTheme="minorEastAsia"/>
                      <w:snapToGrid w:val="0"/>
                      <w:color w:val="auto"/>
                      <w:szCs w:val="21"/>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5" w:hRule="atLeast"/>
                <w:jc w:val="center"/>
              </w:trPr>
              <w:tc>
                <w:tcPr>
                  <w:tcW w:w="410" w:type="dxa"/>
                  <w:vMerge w:val="continue"/>
                  <w:vAlign w:val="center"/>
                </w:tcPr>
                <w:p>
                  <w:pPr>
                    <w:spacing w:line="276" w:lineRule="auto"/>
                    <w:jc w:val="center"/>
                    <w:rPr>
                      <w:rFonts w:eastAsiaTheme="minorEastAsia"/>
                      <w:snapToGrid w:val="0"/>
                      <w:color w:val="auto"/>
                      <w:szCs w:val="21"/>
                      <w:highlight w:val="none"/>
                    </w:rPr>
                  </w:pPr>
                </w:p>
              </w:tc>
              <w:tc>
                <w:tcPr>
                  <w:tcW w:w="529" w:type="dxa"/>
                  <w:vMerge w:val="continue"/>
                  <w:vAlign w:val="center"/>
                </w:tcPr>
                <w:p>
                  <w:pPr>
                    <w:spacing w:line="276" w:lineRule="auto"/>
                    <w:jc w:val="center"/>
                    <w:rPr>
                      <w:rFonts w:eastAsiaTheme="minorEastAsia"/>
                      <w:snapToGrid w:val="0"/>
                      <w:color w:val="auto"/>
                      <w:szCs w:val="21"/>
                      <w:highlight w:val="none"/>
                    </w:rPr>
                  </w:pPr>
                </w:p>
              </w:tc>
              <w:tc>
                <w:tcPr>
                  <w:tcW w:w="870" w:type="dxa"/>
                  <w:vMerge w:val="continue"/>
                  <w:vAlign w:val="center"/>
                </w:tcPr>
                <w:p>
                  <w:pPr>
                    <w:spacing w:line="276" w:lineRule="auto"/>
                    <w:jc w:val="center"/>
                    <w:rPr>
                      <w:rFonts w:eastAsiaTheme="minorEastAsia"/>
                      <w:snapToGrid w:val="0"/>
                      <w:color w:val="auto"/>
                      <w:szCs w:val="21"/>
                      <w:highlight w:val="none"/>
                    </w:rPr>
                  </w:pPr>
                </w:p>
              </w:tc>
              <w:tc>
                <w:tcPr>
                  <w:tcW w:w="780" w:type="dxa"/>
                  <w:vMerge w:val="continue"/>
                  <w:vAlign w:val="center"/>
                </w:tcPr>
                <w:p>
                  <w:pPr>
                    <w:spacing w:line="276" w:lineRule="auto"/>
                    <w:jc w:val="center"/>
                    <w:rPr>
                      <w:rFonts w:eastAsiaTheme="minorEastAsia"/>
                      <w:snapToGrid w:val="0"/>
                      <w:color w:val="auto"/>
                      <w:szCs w:val="21"/>
                      <w:highlight w:val="none"/>
                    </w:rPr>
                  </w:pPr>
                </w:p>
              </w:tc>
              <w:tc>
                <w:tcPr>
                  <w:tcW w:w="855" w:type="dxa"/>
                  <w:vMerge w:val="continue"/>
                  <w:vAlign w:val="center"/>
                </w:tcPr>
                <w:p>
                  <w:pPr>
                    <w:spacing w:line="276" w:lineRule="auto"/>
                    <w:jc w:val="center"/>
                    <w:rPr>
                      <w:rFonts w:eastAsiaTheme="minorEastAsia"/>
                      <w:snapToGrid w:val="0"/>
                      <w:color w:val="auto"/>
                      <w:szCs w:val="21"/>
                      <w:highlight w:val="none"/>
                    </w:rPr>
                  </w:pPr>
                </w:p>
              </w:tc>
              <w:tc>
                <w:tcPr>
                  <w:tcW w:w="720" w:type="dxa"/>
                  <w:vMerge w:val="continue"/>
                  <w:vAlign w:val="center"/>
                </w:tcPr>
                <w:p>
                  <w:pPr>
                    <w:spacing w:line="276" w:lineRule="auto"/>
                    <w:jc w:val="center"/>
                    <w:rPr>
                      <w:rFonts w:eastAsiaTheme="minorEastAsia"/>
                      <w:snapToGrid w:val="0"/>
                      <w:color w:val="auto"/>
                      <w:szCs w:val="21"/>
                      <w:highlight w:val="none"/>
                    </w:rPr>
                  </w:pPr>
                </w:p>
              </w:tc>
              <w:tc>
                <w:tcPr>
                  <w:tcW w:w="1571" w:type="dxa"/>
                  <w:vMerge w:val="continue"/>
                  <w:vAlign w:val="center"/>
                </w:tcPr>
                <w:p>
                  <w:pPr>
                    <w:spacing w:line="276" w:lineRule="auto"/>
                    <w:jc w:val="center"/>
                    <w:rPr>
                      <w:rFonts w:eastAsiaTheme="minorEastAsia"/>
                      <w:snapToGrid w:val="0"/>
                      <w:color w:val="auto"/>
                      <w:szCs w:val="21"/>
                      <w:highlight w:val="none"/>
                    </w:rPr>
                  </w:pPr>
                </w:p>
              </w:tc>
              <w:tc>
                <w:tcPr>
                  <w:tcW w:w="435" w:type="dxa"/>
                  <w:vMerge w:val="continue"/>
                  <w:vAlign w:val="center"/>
                </w:tcPr>
                <w:p>
                  <w:pPr>
                    <w:spacing w:line="276" w:lineRule="auto"/>
                    <w:jc w:val="center"/>
                    <w:rPr>
                      <w:rFonts w:eastAsiaTheme="minorEastAsia"/>
                      <w:snapToGrid w:val="0"/>
                      <w:color w:val="auto"/>
                      <w:szCs w:val="21"/>
                      <w:highlight w:val="none"/>
                    </w:rPr>
                  </w:pPr>
                </w:p>
              </w:tc>
              <w:tc>
                <w:tcPr>
                  <w:tcW w:w="825" w:type="dxa"/>
                  <w:vMerge w:val="continue"/>
                  <w:vAlign w:val="center"/>
                </w:tcPr>
                <w:p>
                  <w:pPr>
                    <w:spacing w:line="276" w:lineRule="auto"/>
                    <w:jc w:val="center"/>
                    <w:rPr>
                      <w:rFonts w:eastAsiaTheme="minorEastAsia"/>
                      <w:snapToGrid w:val="0"/>
                      <w:color w:val="auto"/>
                      <w:szCs w:val="21"/>
                      <w:highlight w:val="none"/>
                    </w:rPr>
                  </w:pPr>
                </w:p>
              </w:tc>
              <w:tc>
                <w:tcPr>
                  <w:tcW w:w="822" w:type="dxa"/>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SS</w:t>
                  </w:r>
                </w:p>
              </w:tc>
              <w:tc>
                <w:tcPr>
                  <w:tcW w:w="1199" w:type="dxa"/>
                  <w:vAlign w:val="center"/>
                </w:tcPr>
                <w:p>
                  <w:pPr>
                    <w:spacing w:line="276" w:lineRule="auto"/>
                    <w:jc w:val="center"/>
                    <w:rPr>
                      <w:rFonts w:eastAsiaTheme="minorEastAsia"/>
                      <w:snapToGrid w:val="0"/>
                      <w:color w:val="auto"/>
                      <w:szCs w:val="21"/>
                      <w:highlight w:val="none"/>
                    </w:rPr>
                  </w:pPr>
                  <w:r>
                    <w:rPr>
                      <w:rFonts w:hint="eastAsia" w:eastAsiaTheme="minorEastAsia"/>
                      <w:snapToGrid w:val="0"/>
                      <w:color w:val="auto"/>
                      <w:szCs w:val="21"/>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4" w:hRule="atLeast"/>
                <w:jc w:val="center"/>
              </w:trPr>
              <w:tc>
                <w:tcPr>
                  <w:tcW w:w="410" w:type="dxa"/>
                  <w:vMerge w:val="continue"/>
                  <w:vAlign w:val="center"/>
                </w:tcPr>
                <w:p>
                  <w:pPr>
                    <w:spacing w:line="276" w:lineRule="auto"/>
                    <w:jc w:val="center"/>
                    <w:rPr>
                      <w:rFonts w:eastAsiaTheme="minorEastAsia"/>
                      <w:snapToGrid w:val="0"/>
                      <w:color w:val="auto"/>
                      <w:szCs w:val="21"/>
                      <w:highlight w:val="none"/>
                    </w:rPr>
                  </w:pPr>
                </w:p>
              </w:tc>
              <w:tc>
                <w:tcPr>
                  <w:tcW w:w="529" w:type="dxa"/>
                  <w:vMerge w:val="continue"/>
                  <w:vAlign w:val="center"/>
                </w:tcPr>
                <w:p>
                  <w:pPr>
                    <w:spacing w:line="276" w:lineRule="auto"/>
                    <w:jc w:val="center"/>
                    <w:rPr>
                      <w:rFonts w:eastAsiaTheme="minorEastAsia"/>
                      <w:snapToGrid w:val="0"/>
                      <w:color w:val="auto"/>
                      <w:szCs w:val="21"/>
                      <w:highlight w:val="none"/>
                    </w:rPr>
                  </w:pPr>
                </w:p>
              </w:tc>
              <w:tc>
                <w:tcPr>
                  <w:tcW w:w="870" w:type="dxa"/>
                  <w:vMerge w:val="continue"/>
                  <w:vAlign w:val="center"/>
                </w:tcPr>
                <w:p>
                  <w:pPr>
                    <w:spacing w:line="276" w:lineRule="auto"/>
                    <w:jc w:val="center"/>
                    <w:rPr>
                      <w:rFonts w:eastAsiaTheme="minorEastAsia"/>
                      <w:snapToGrid w:val="0"/>
                      <w:color w:val="auto"/>
                      <w:szCs w:val="21"/>
                      <w:highlight w:val="none"/>
                    </w:rPr>
                  </w:pPr>
                </w:p>
              </w:tc>
              <w:tc>
                <w:tcPr>
                  <w:tcW w:w="780" w:type="dxa"/>
                  <w:vMerge w:val="continue"/>
                  <w:vAlign w:val="center"/>
                </w:tcPr>
                <w:p>
                  <w:pPr>
                    <w:spacing w:line="276" w:lineRule="auto"/>
                    <w:jc w:val="center"/>
                    <w:rPr>
                      <w:rFonts w:eastAsiaTheme="minorEastAsia"/>
                      <w:snapToGrid w:val="0"/>
                      <w:color w:val="auto"/>
                      <w:szCs w:val="21"/>
                      <w:highlight w:val="none"/>
                    </w:rPr>
                  </w:pPr>
                </w:p>
              </w:tc>
              <w:tc>
                <w:tcPr>
                  <w:tcW w:w="855" w:type="dxa"/>
                  <w:vMerge w:val="continue"/>
                  <w:vAlign w:val="center"/>
                </w:tcPr>
                <w:p>
                  <w:pPr>
                    <w:spacing w:line="276" w:lineRule="auto"/>
                    <w:jc w:val="center"/>
                    <w:rPr>
                      <w:rFonts w:eastAsiaTheme="minorEastAsia"/>
                      <w:snapToGrid w:val="0"/>
                      <w:color w:val="auto"/>
                      <w:szCs w:val="21"/>
                      <w:highlight w:val="none"/>
                    </w:rPr>
                  </w:pPr>
                </w:p>
              </w:tc>
              <w:tc>
                <w:tcPr>
                  <w:tcW w:w="720" w:type="dxa"/>
                  <w:vMerge w:val="continue"/>
                  <w:vAlign w:val="center"/>
                </w:tcPr>
                <w:p>
                  <w:pPr>
                    <w:spacing w:line="276" w:lineRule="auto"/>
                    <w:jc w:val="center"/>
                    <w:rPr>
                      <w:rFonts w:eastAsiaTheme="minorEastAsia"/>
                      <w:snapToGrid w:val="0"/>
                      <w:color w:val="auto"/>
                      <w:szCs w:val="21"/>
                      <w:highlight w:val="none"/>
                    </w:rPr>
                  </w:pPr>
                </w:p>
              </w:tc>
              <w:tc>
                <w:tcPr>
                  <w:tcW w:w="1571" w:type="dxa"/>
                  <w:vMerge w:val="continue"/>
                  <w:vAlign w:val="center"/>
                </w:tcPr>
                <w:p>
                  <w:pPr>
                    <w:spacing w:line="276" w:lineRule="auto"/>
                    <w:jc w:val="center"/>
                    <w:rPr>
                      <w:rFonts w:eastAsiaTheme="minorEastAsia"/>
                      <w:snapToGrid w:val="0"/>
                      <w:color w:val="auto"/>
                      <w:szCs w:val="21"/>
                      <w:highlight w:val="none"/>
                    </w:rPr>
                  </w:pPr>
                </w:p>
              </w:tc>
              <w:tc>
                <w:tcPr>
                  <w:tcW w:w="435" w:type="dxa"/>
                  <w:vMerge w:val="continue"/>
                  <w:vAlign w:val="center"/>
                </w:tcPr>
                <w:p>
                  <w:pPr>
                    <w:spacing w:line="276" w:lineRule="auto"/>
                    <w:jc w:val="center"/>
                    <w:rPr>
                      <w:rFonts w:eastAsiaTheme="minorEastAsia"/>
                      <w:snapToGrid w:val="0"/>
                      <w:color w:val="auto"/>
                      <w:szCs w:val="21"/>
                      <w:highlight w:val="none"/>
                    </w:rPr>
                  </w:pPr>
                </w:p>
              </w:tc>
              <w:tc>
                <w:tcPr>
                  <w:tcW w:w="825" w:type="dxa"/>
                  <w:vMerge w:val="continue"/>
                  <w:vAlign w:val="center"/>
                </w:tcPr>
                <w:p>
                  <w:pPr>
                    <w:spacing w:line="276" w:lineRule="auto"/>
                    <w:jc w:val="center"/>
                    <w:rPr>
                      <w:rFonts w:eastAsiaTheme="minorEastAsia"/>
                      <w:snapToGrid w:val="0"/>
                      <w:color w:val="auto"/>
                      <w:szCs w:val="21"/>
                      <w:highlight w:val="none"/>
                    </w:rPr>
                  </w:pPr>
                </w:p>
              </w:tc>
              <w:tc>
                <w:tcPr>
                  <w:tcW w:w="822" w:type="dxa"/>
                  <w:vAlign w:val="center"/>
                </w:tcPr>
                <w:p>
                  <w:pPr>
                    <w:spacing w:line="276" w:lineRule="auto"/>
                    <w:jc w:val="center"/>
                    <w:rPr>
                      <w:rFonts w:eastAsiaTheme="minorEastAsia"/>
                      <w:snapToGrid w:val="0"/>
                      <w:color w:val="auto"/>
                      <w:szCs w:val="21"/>
                      <w:highlight w:val="none"/>
                    </w:rPr>
                  </w:pPr>
                  <w:r>
                    <w:rPr>
                      <w:rFonts w:eastAsiaTheme="minorEastAsia"/>
                      <w:snapToGrid w:val="0"/>
                      <w:color w:val="auto"/>
                      <w:szCs w:val="21"/>
                      <w:highlight w:val="none"/>
                    </w:rPr>
                    <w:t>NH</w:t>
                  </w:r>
                  <w:r>
                    <w:rPr>
                      <w:rFonts w:eastAsiaTheme="minorEastAsia"/>
                      <w:snapToGrid w:val="0"/>
                      <w:color w:val="auto"/>
                      <w:szCs w:val="21"/>
                      <w:highlight w:val="none"/>
                      <w:vertAlign w:val="subscript"/>
                    </w:rPr>
                    <w:t>3</w:t>
                  </w:r>
                  <w:r>
                    <w:rPr>
                      <w:rFonts w:eastAsiaTheme="minorEastAsia"/>
                      <w:snapToGrid w:val="0"/>
                      <w:color w:val="auto"/>
                      <w:szCs w:val="21"/>
                      <w:highlight w:val="none"/>
                    </w:rPr>
                    <w:t>-N</w:t>
                  </w:r>
                </w:p>
              </w:tc>
              <w:tc>
                <w:tcPr>
                  <w:tcW w:w="1199" w:type="dxa"/>
                  <w:vAlign w:val="center"/>
                </w:tcPr>
                <w:p>
                  <w:pPr>
                    <w:spacing w:line="276" w:lineRule="auto"/>
                    <w:jc w:val="center"/>
                    <w:rPr>
                      <w:rFonts w:eastAsiaTheme="minorEastAsia"/>
                      <w:snapToGrid w:val="0"/>
                      <w:color w:val="auto"/>
                      <w:szCs w:val="21"/>
                      <w:highlight w:val="none"/>
                    </w:rPr>
                  </w:pPr>
                  <w:r>
                    <w:rPr>
                      <w:rFonts w:hint="eastAsia" w:eastAsiaTheme="minorEastAsia"/>
                      <w:snapToGrid w:val="0"/>
                      <w:color w:val="auto"/>
                      <w:szCs w:val="21"/>
                      <w:highlight w:val="none"/>
                    </w:rPr>
                    <w:t>5</w:t>
                  </w:r>
                </w:p>
              </w:tc>
            </w:tr>
          </w:tbl>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废水污染物排放执行标准表</w:t>
            </w:r>
          </w:p>
          <w:tbl>
            <w:tblPr>
              <w:tblStyle w:val="41"/>
              <w:tblW w:w="90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52"/>
              <w:gridCol w:w="1446"/>
              <w:gridCol w:w="1284"/>
              <w:gridCol w:w="3651"/>
              <w:gridCol w:w="2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4" w:hRule="atLeast"/>
                <w:jc w:val="center"/>
              </w:trPr>
              <w:tc>
                <w:tcPr>
                  <w:tcW w:w="552"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序号</w:t>
                  </w:r>
                </w:p>
              </w:tc>
              <w:tc>
                <w:tcPr>
                  <w:tcW w:w="1446"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排放口</w:t>
                  </w:r>
                </w:p>
                <w:p>
                  <w:pPr>
                    <w:spacing w:line="276" w:lineRule="auto"/>
                    <w:jc w:val="center"/>
                    <w:rPr>
                      <w:rFonts w:eastAsiaTheme="minorEastAsia"/>
                      <w:color w:val="auto"/>
                      <w:szCs w:val="21"/>
                      <w:highlight w:val="none"/>
                    </w:rPr>
                  </w:pPr>
                  <w:r>
                    <w:rPr>
                      <w:rFonts w:eastAsiaTheme="minorEastAsia"/>
                      <w:color w:val="auto"/>
                      <w:szCs w:val="21"/>
                      <w:highlight w:val="none"/>
                    </w:rPr>
                    <w:t>编号</w:t>
                  </w:r>
                </w:p>
              </w:tc>
              <w:tc>
                <w:tcPr>
                  <w:tcW w:w="1284"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污染物种类</w:t>
                  </w:r>
                </w:p>
              </w:tc>
              <w:tc>
                <w:tcPr>
                  <w:tcW w:w="5734" w:type="dxa"/>
                  <w:gridSpan w:val="2"/>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国家或地方污染物排放标准及其他按规定商定的排放协议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52" w:type="dxa"/>
                  <w:vMerge w:val="continue"/>
                  <w:vAlign w:val="center"/>
                </w:tcPr>
                <w:p>
                  <w:pPr>
                    <w:spacing w:line="276" w:lineRule="auto"/>
                    <w:jc w:val="center"/>
                    <w:rPr>
                      <w:rFonts w:eastAsiaTheme="minorEastAsia"/>
                      <w:color w:val="auto"/>
                      <w:szCs w:val="21"/>
                      <w:highlight w:val="none"/>
                    </w:rPr>
                  </w:pPr>
                </w:p>
              </w:tc>
              <w:tc>
                <w:tcPr>
                  <w:tcW w:w="1446" w:type="dxa"/>
                  <w:vMerge w:val="continue"/>
                  <w:vAlign w:val="center"/>
                </w:tcPr>
                <w:p>
                  <w:pPr>
                    <w:spacing w:line="276" w:lineRule="auto"/>
                    <w:jc w:val="center"/>
                    <w:rPr>
                      <w:rFonts w:eastAsiaTheme="minorEastAsia"/>
                      <w:color w:val="auto"/>
                      <w:szCs w:val="21"/>
                      <w:highlight w:val="none"/>
                    </w:rPr>
                  </w:pPr>
                </w:p>
              </w:tc>
              <w:tc>
                <w:tcPr>
                  <w:tcW w:w="1284" w:type="dxa"/>
                  <w:vMerge w:val="continue"/>
                  <w:vAlign w:val="center"/>
                </w:tcPr>
                <w:p>
                  <w:pPr>
                    <w:spacing w:line="276" w:lineRule="auto"/>
                    <w:jc w:val="center"/>
                    <w:rPr>
                      <w:rFonts w:eastAsiaTheme="minorEastAsia"/>
                      <w:color w:val="auto"/>
                      <w:szCs w:val="21"/>
                      <w:highlight w:val="none"/>
                    </w:rPr>
                  </w:pPr>
                </w:p>
              </w:tc>
              <w:tc>
                <w:tcPr>
                  <w:tcW w:w="5734" w:type="dxa"/>
                  <w:gridSpan w:val="2"/>
                  <w:vMerge w:val="continue"/>
                  <w:vAlign w:val="center"/>
                </w:tcPr>
                <w:p>
                  <w:pPr>
                    <w:spacing w:line="276" w:lineRule="auto"/>
                    <w:jc w:val="center"/>
                    <w:rPr>
                      <w:rFonts w:eastAsiaTheme="minorEastAsia"/>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552" w:type="dxa"/>
                  <w:vMerge w:val="continue"/>
                  <w:vAlign w:val="center"/>
                </w:tcPr>
                <w:p>
                  <w:pPr>
                    <w:spacing w:line="276" w:lineRule="auto"/>
                    <w:jc w:val="center"/>
                    <w:rPr>
                      <w:rFonts w:eastAsiaTheme="minorEastAsia"/>
                      <w:color w:val="auto"/>
                      <w:szCs w:val="21"/>
                      <w:highlight w:val="none"/>
                    </w:rPr>
                  </w:pPr>
                </w:p>
              </w:tc>
              <w:tc>
                <w:tcPr>
                  <w:tcW w:w="1446" w:type="dxa"/>
                  <w:vMerge w:val="continue"/>
                  <w:vAlign w:val="center"/>
                </w:tcPr>
                <w:p>
                  <w:pPr>
                    <w:spacing w:line="276" w:lineRule="auto"/>
                    <w:jc w:val="center"/>
                    <w:rPr>
                      <w:rFonts w:eastAsiaTheme="minorEastAsia"/>
                      <w:color w:val="auto"/>
                      <w:szCs w:val="21"/>
                      <w:highlight w:val="none"/>
                    </w:rPr>
                  </w:pPr>
                </w:p>
              </w:tc>
              <w:tc>
                <w:tcPr>
                  <w:tcW w:w="1284" w:type="dxa"/>
                  <w:vMerge w:val="continue"/>
                  <w:vAlign w:val="center"/>
                </w:tcPr>
                <w:p>
                  <w:pPr>
                    <w:spacing w:line="276" w:lineRule="auto"/>
                    <w:jc w:val="center"/>
                    <w:rPr>
                      <w:rFonts w:eastAsiaTheme="minorEastAsia"/>
                      <w:color w:val="auto"/>
                      <w:szCs w:val="21"/>
                      <w:highlight w:val="none"/>
                    </w:rPr>
                  </w:pPr>
                </w:p>
              </w:tc>
              <w:tc>
                <w:tcPr>
                  <w:tcW w:w="3651"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名称</w:t>
                  </w:r>
                </w:p>
              </w:tc>
              <w:tc>
                <w:tcPr>
                  <w:tcW w:w="2083"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准浓度限值（mg/L）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0" w:hRule="atLeast"/>
                <w:jc w:val="center"/>
              </w:trPr>
              <w:tc>
                <w:tcPr>
                  <w:tcW w:w="552"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1</w:t>
                  </w:r>
                </w:p>
              </w:tc>
              <w:tc>
                <w:tcPr>
                  <w:tcW w:w="1446"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WS-01</w:t>
                  </w:r>
                </w:p>
              </w:tc>
              <w:tc>
                <w:tcPr>
                  <w:tcW w:w="1284"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pH</w:t>
                  </w:r>
                </w:p>
              </w:tc>
              <w:tc>
                <w:tcPr>
                  <w:tcW w:w="3651" w:type="dxa"/>
                  <w:vMerge w:val="restart"/>
                  <w:vAlign w:val="center"/>
                </w:tcPr>
                <w:p>
                  <w:pPr>
                    <w:spacing w:line="276" w:lineRule="auto"/>
                    <w:jc w:val="center"/>
                    <w:rPr>
                      <w:rFonts w:eastAsiaTheme="minorEastAsia"/>
                      <w:color w:val="auto"/>
                      <w:szCs w:val="21"/>
                      <w:highlight w:val="none"/>
                    </w:rPr>
                  </w:pPr>
                  <w:r>
                    <w:rPr>
                      <w:rStyle w:val="46"/>
                      <w:color w:val="auto"/>
                      <w:highlight w:val="none"/>
                    </w:rPr>
                    <w:t>广东省地方标准《水污染物排放限值》（DB44/26-2001）第二时段三级标准和</w:t>
                  </w:r>
                  <w:r>
                    <w:rPr>
                      <w:rStyle w:val="46"/>
                      <w:rFonts w:hint="eastAsia"/>
                      <w:color w:val="auto"/>
                      <w:highlight w:val="none"/>
                      <w:lang w:eastAsia="zh-CN"/>
                    </w:rPr>
                    <w:t>《污水排入城镇下水道水质标准》(GB/T31962-2015 )B级标准</w:t>
                  </w:r>
                  <w:r>
                    <w:rPr>
                      <w:rStyle w:val="46"/>
                      <w:color w:val="auto"/>
                      <w:highlight w:val="none"/>
                    </w:rPr>
                    <w:t>较严者</w:t>
                  </w:r>
                </w:p>
              </w:tc>
              <w:tc>
                <w:tcPr>
                  <w:tcW w:w="2083"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6.0~9.0</w:t>
                  </w:r>
                </w:p>
                <w:p>
                  <w:pPr>
                    <w:spacing w:line="276" w:lineRule="auto"/>
                    <w:jc w:val="center"/>
                    <w:rPr>
                      <w:rFonts w:eastAsiaTheme="minorEastAsia"/>
                      <w:color w:val="auto"/>
                      <w:szCs w:val="21"/>
                      <w:highlight w:val="none"/>
                    </w:rPr>
                  </w:pPr>
                  <w:r>
                    <w:rPr>
                      <w:rFonts w:eastAsiaTheme="minorEastAsia"/>
                      <w:color w:val="auto"/>
                      <w:szCs w:val="21"/>
                      <w:highlight w:val="none"/>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7" w:hRule="atLeast"/>
                <w:jc w:val="center"/>
              </w:trPr>
              <w:tc>
                <w:tcPr>
                  <w:tcW w:w="552" w:type="dxa"/>
                  <w:vMerge w:val="continue"/>
                  <w:vAlign w:val="center"/>
                </w:tcPr>
                <w:p>
                  <w:pPr>
                    <w:spacing w:line="276" w:lineRule="auto"/>
                    <w:jc w:val="center"/>
                    <w:rPr>
                      <w:rFonts w:eastAsiaTheme="minorEastAsia"/>
                      <w:color w:val="auto"/>
                      <w:szCs w:val="21"/>
                      <w:highlight w:val="none"/>
                    </w:rPr>
                  </w:pPr>
                </w:p>
              </w:tc>
              <w:tc>
                <w:tcPr>
                  <w:tcW w:w="1446" w:type="dxa"/>
                  <w:vMerge w:val="continue"/>
                  <w:vAlign w:val="center"/>
                </w:tcPr>
                <w:p>
                  <w:pPr>
                    <w:spacing w:line="276" w:lineRule="auto"/>
                    <w:jc w:val="center"/>
                    <w:rPr>
                      <w:rFonts w:eastAsiaTheme="minorEastAsia"/>
                      <w:color w:val="auto"/>
                      <w:szCs w:val="21"/>
                      <w:highlight w:val="none"/>
                    </w:rPr>
                  </w:pPr>
                </w:p>
              </w:tc>
              <w:tc>
                <w:tcPr>
                  <w:tcW w:w="1284"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COD</w:t>
                  </w:r>
                  <w:r>
                    <w:rPr>
                      <w:rFonts w:eastAsiaTheme="minorEastAsia"/>
                      <w:color w:val="auto"/>
                      <w:szCs w:val="21"/>
                      <w:highlight w:val="none"/>
                      <w:vertAlign w:val="subscript"/>
                    </w:rPr>
                    <w:t>Cr</w:t>
                  </w:r>
                </w:p>
              </w:tc>
              <w:tc>
                <w:tcPr>
                  <w:tcW w:w="3651" w:type="dxa"/>
                  <w:vMerge w:val="continue"/>
                  <w:vAlign w:val="center"/>
                </w:tcPr>
                <w:p>
                  <w:pPr>
                    <w:spacing w:line="276" w:lineRule="auto"/>
                    <w:jc w:val="center"/>
                    <w:rPr>
                      <w:rFonts w:eastAsiaTheme="minorEastAsia"/>
                      <w:color w:val="auto"/>
                      <w:szCs w:val="21"/>
                      <w:highlight w:val="none"/>
                    </w:rPr>
                  </w:pPr>
                </w:p>
              </w:tc>
              <w:tc>
                <w:tcPr>
                  <w:tcW w:w="2083"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52" w:type="dxa"/>
                  <w:vMerge w:val="continue"/>
                  <w:vAlign w:val="center"/>
                </w:tcPr>
                <w:p>
                  <w:pPr>
                    <w:spacing w:line="276" w:lineRule="auto"/>
                    <w:jc w:val="center"/>
                    <w:rPr>
                      <w:rFonts w:eastAsiaTheme="minorEastAsia"/>
                      <w:color w:val="auto"/>
                      <w:szCs w:val="21"/>
                      <w:highlight w:val="none"/>
                    </w:rPr>
                  </w:pPr>
                </w:p>
              </w:tc>
              <w:tc>
                <w:tcPr>
                  <w:tcW w:w="1446" w:type="dxa"/>
                  <w:vMerge w:val="continue"/>
                  <w:vAlign w:val="center"/>
                </w:tcPr>
                <w:p>
                  <w:pPr>
                    <w:spacing w:line="276" w:lineRule="auto"/>
                    <w:jc w:val="center"/>
                    <w:rPr>
                      <w:rFonts w:eastAsiaTheme="minorEastAsia"/>
                      <w:color w:val="auto"/>
                      <w:szCs w:val="21"/>
                      <w:highlight w:val="none"/>
                    </w:rPr>
                  </w:pPr>
                </w:p>
              </w:tc>
              <w:tc>
                <w:tcPr>
                  <w:tcW w:w="1284"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BOD</w:t>
                  </w:r>
                  <w:r>
                    <w:rPr>
                      <w:rFonts w:eastAsiaTheme="minorEastAsia"/>
                      <w:color w:val="auto"/>
                      <w:szCs w:val="21"/>
                      <w:highlight w:val="none"/>
                      <w:vertAlign w:val="subscript"/>
                    </w:rPr>
                    <w:t>5</w:t>
                  </w:r>
                </w:p>
              </w:tc>
              <w:tc>
                <w:tcPr>
                  <w:tcW w:w="3651" w:type="dxa"/>
                  <w:vMerge w:val="continue"/>
                  <w:vAlign w:val="center"/>
                </w:tcPr>
                <w:p>
                  <w:pPr>
                    <w:spacing w:line="276" w:lineRule="auto"/>
                    <w:jc w:val="center"/>
                    <w:rPr>
                      <w:rFonts w:eastAsiaTheme="minorEastAsia"/>
                      <w:color w:val="auto"/>
                      <w:szCs w:val="21"/>
                      <w:highlight w:val="none"/>
                    </w:rPr>
                  </w:pPr>
                </w:p>
              </w:tc>
              <w:tc>
                <w:tcPr>
                  <w:tcW w:w="2083"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52" w:type="dxa"/>
                  <w:vMerge w:val="continue"/>
                  <w:vAlign w:val="center"/>
                </w:tcPr>
                <w:p>
                  <w:pPr>
                    <w:spacing w:line="276" w:lineRule="auto"/>
                    <w:jc w:val="center"/>
                    <w:rPr>
                      <w:rFonts w:eastAsiaTheme="minorEastAsia"/>
                      <w:color w:val="auto"/>
                      <w:szCs w:val="21"/>
                      <w:highlight w:val="none"/>
                    </w:rPr>
                  </w:pPr>
                </w:p>
              </w:tc>
              <w:tc>
                <w:tcPr>
                  <w:tcW w:w="1446" w:type="dxa"/>
                  <w:vMerge w:val="continue"/>
                  <w:vAlign w:val="center"/>
                </w:tcPr>
                <w:p>
                  <w:pPr>
                    <w:spacing w:line="276" w:lineRule="auto"/>
                    <w:jc w:val="center"/>
                    <w:rPr>
                      <w:rFonts w:eastAsiaTheme="minorEastAsia"/>
                      <w:color w:val="auto"/>
                      <w:szCs w:val="21"/>
                      <w:highlight w:val="none"/>
                    </w:rPr>
                  </w:pPr>
                </w:p>
              </w:tc>
              <w:tc>
                <w:tcPr>
                  <w:tcW w:w="1284"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SS</w:t>
                  </w:r>
                </w:p>
              </w:tc>
              <w:tc>
                <w:tcPr>
                  <w:tcW w:w="3651" w:type="dxa"/>
                  <w:vMerge w:val="continue"/>
                  <w:vAlign w:val="center"/>
                </w:tcPr>
                <w:p>
                  <w:pPr>
                    <w:spacing w:line="276" w:lineRule="auto"/>
                    <w:jc w:val="center"/>
                    <w:rPr>
                      <w:rFonts w:eastAsiaTheme="minorEastAsia"/>
                      <w:color w:val="auto"/>
                      <w:szCs w:val="21"/>
                      <w:highlight w:val="none"/>
                    </w:rPr>
                  </w:pPr>
                </w:p>
              </w:tc>
              <w:tc>
                <w:tcPr>
                  <w:tcW w:w="2083"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7" w:hRule="atLeast"/>
                <w:jc w:val="center"/>
              </w:trPr>
              <w:tc>
                <w:tcPr>
                  <w:tcW w:w="552" w:type="dxa"/>
                  <w:vMerge w:val="continue"/>
                  <w:vAlign w:val="center"/>
                </w:tcPr>
                <w:p>
                  <w:pPr>
                    <w:spacing w:line="276" w:lineRule="auto"/>
                    <w:jc w:val="center"/>
                    <w:rPr>
                      <w:rFonts w:eastAsiaTheme="minorEastAsia"/>
                      <w:color w:val="auto"/>
                      <w:szCs w:val="21"/>
                      <w:highlight w:val="none"/>
                    </w:rPr>
                  </w:pPr>
                </w:p>
              </w:tc>
              <w:tc>
                <w:tcPr>
                  <w:tcW w:w="1446" w:type="dxa"/>
                  <w:vMerge w:val="continue"/>
                  <w:vAlign w:val="center"/>
                </w:tcPr>
                <w:p>
                  <w:pPr>
                    <w:spacing w:line="276" w:lineRule="auto"/>
                    <w:jc w:val="center"/>
                    <w:rPr>
                      <w:rFonts w:eastAsiaTheme="minorEastAsia"/>
                      <w:color w:val="auto"/>
                      <w:szCs w:val="21"/>
                      <w:highlight w:val="none"/>
                    </w:rPr>
                  </w:pPr>
                </w:p>
              </w:tc>
              <w:tc>
                <w:tcPr>
                  <w:tcW w:w="1284"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NH</w:t>
                  </w:r>
                  <w:r>
                    <w:rPr>
                      <w:rFonts w:eastAsiaTheme="minorEastAsia"/>
                      <w:color w:val="auto"/>
                      <w:szCs w:val="21"/>
                      <w:highlight w:val="none"/>
                      <w:vertAlign w:val="subscript"/>
                    </w:rPr>
                    <w:t>3</w:t>
                  </w:r>
                  <w:r>
                    <w:rPr>
                      <w:rFonts w:eastAsiaTheme="minorEastAsia"/>
                      <w:color w:val="auto"/>
                      <w:szCs w:val="21"/>
                      <w:highlight w:val="none"/>
                    </w:rPr>
                    <w:t>-N</w:t>
                  </w:r>
                </w:p>
              </w:tc>
              <w:tc>
                <w:tcPr>
                  <w:tcW w:w="3651" w:type="dxa"/>
                  <w:vMerge w:val="continue"/>
                  <w:vAlign w:val="center"/>
                </w:tcPr>
                <w:p>
                  <w:pPr>
                    <w:spacing w:line="276" w:lineRule="auto"/>
                    <w:jc w:val="center"/>
                    <w:rPr>
                      <w:rFonts w:eastAsiaTheme="minorEastAsia"/>
                      <w:color w:val="auto"/>
                      <w:szCs w:val="21"/>
                      <w:highlight w:val="none"/>
                    </w:rPr>
                  </w:pPr>
                </w:p>
              </w:tc>
              <w:tc>
                <w:tcPr>
                  <w:tcW w:w="2083"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45</w:t>
                  </w:r>
                </w:p>
              </w:tc>
            </w:tr>
          </w:tbl>
          <w:p>
            <w:pPr>
              <w:pStyle w:val="138"/>
              <w:numPr>
                <w:ilvl w:val="0"/>
                <w:numId w:val="5"/>
              </w:numPr>
              <w:tabs>
                <w:tab w:val="left" w:pos="420"/>
              </w:tabs>
              <w:spacing w:line="360" w:lineRule="auto"/>
              <w:ind w:left="0" w:firstLine="471"/>
              <w:rPr>
                <w:rFonts w:eastAsia="宋体" w:cs="Times New Roman"/>
                <w:b/>
                <w:color w:val="auto"/>
                <w:sz w:val="21"/>
                <w:szCs w:val="21"/>
                <w:highlight w:val="none"/>
                <w:lang w:val="en-GB" w:eastAsia="zh-TW"/>
              </w:rPr>
            </w:pPr>
            <w:r>
              <w:rPr>
                <w:rFonts w:cs="Times New Roman" w:eastAsiaTheme="minorEastAsia"/>
                <w:color w:val="auto"/>
                <w:szCs w:val="24"/>
                <w:highlight w:val="none"/>
              </w:rPr>
              <w:t xml:space="preserve"> </w:t>
            </w:r>
            <w:r>
              <w:rPr>
                <w:rFonts w:eastAsia="宋体" w:cs="Times New Roman"/>
                <w:b/>
                <w:color w:val="auto"/>
                <w:sz w:val="21"/>
                <w:szCs w:val="21"/>
                <w:highlight w:val="none"/>
                <w:lang w:val="en-GB" w:eastAsia="zh-TW"/>
              </w:rPr>
              <w:t>废水污染物排放信息表</w:t>
            </w:r>
          </w:p>
          <w:tbl>
            <w:tblPr>
              <w:tblStyle w:val="41"/>
              <w:tblW w:w="901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89"/>
              <w:gridCol w:w="1769"/>
              <w:gridCol w:w="1769"/>
              <w:gridCol w:w="1554"/>
              <w:gridCol w:w="1560"/>
              <w:gridCol w:w="147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8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序号</w:t>
                  </w:r>
                </w:p>
              </w:tc>
              <w:tc>
                <w:tcPr>
                  <w:tcW w:w="176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排放口编号</w:t>
                  </w:r>
                </w:p>
              </w:tc>
              <w:tc>
                <w:tcPr>
                  <w:tcW w:w="176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污染物种类</w:t>
                  </w:r>
                </w:p>
              </w:tc>
              <w:tc>
                <w:tcPr>
                  <w:tcW w:w="1554"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排放浓度</w:t>
                  </w:r>
                </w:p>
                <w:p>
                  <w:pPr>
                    <w:spacing w:line="276" w:lineRule="auto"/>
                    <w:jc w:val="center"/>
                    <w:rPr>
                      <w:rFonts w:eastAsiaTheme="minorEastAsia"/>
                      <w:color w:val="auto"/>
                      <w:szCs w:val="21"/>
                      <w:highlight w:val="none"/>
                    </w:rPr>
                  </w:pPr>
                  <w:r>
                    <w:rPr>
                      <w:rFonts w:eastAsiaTheme="minorEastAsia"/>
                      <w:color w:val="auto"/>
                      <w:szCs w:val="21"/>
                      <w:highlight w:val="none"/>
                    </w:rPr>
                    <w:t>（mg/L）</w:t>
                  </w:r>
                </w:p>
              </w:tc>
              <w:tc>
                <w:tcPr>
                  <w:tcW w:w="1560"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日排放量</w:t>
                  </w:r>
                </w:p>
                <w:p>
                  <w:pPr>
                    <w:spacing w:line="276" w:lineRule="auto"/>
                    <w:jc w:val="center"/>
                    <w:rPr>
                      <w:rFonts w:eastAsiaTheme="minorEastAsia"/>
                      <w:color w:val="auto"/>
                      <w:szCs w:val="21"/>
                      <w:highlight w:val="none"/>
                    </w:rPr>
                  </w:pPr>
                  <w:r>
                    <w:rPr>
                      <w:rFonts w:eastAsiaTheme="minorEastAsia"/>
                      <w:color w:val="auto"/>
                      <w:szCs w:val="21"/>
                      <w:highlight w:val="none"/>
                    </w:rPr>
                    <w:t>（t/d）</w:t>
                  </w:r>
                </w:p>
              </w:tc>
              <w:tc>
                <w:tcPr>
                  <w:tcW w:w="1475"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年排放量</w:t>
                  </w:r>
                </w:p>
                <w:p>
                  <w:pPr>
                    <w:spacing w:line="276" w:lineRule="auto"/>
                    <w:jc w:val="center"/>
                    <w:rPr>
                      <w:rFonts w:eastAsiaTheme="minorEastAsia"/>
                      <w:color w:val="auto"/>
                      <w:szCs w:val="21"/>
                      <w:highlight w:val="none"/>
                    </w:rPr>
                  </w:pPr>
                  <w:r>
                    <w:rPr>
                      <w:rFonts w:eastAsiaTheme="minorEastAsia"/>
                      <w:color w:val="auto"/>
                      <w:szCs w:val="21"/>
                      <w:highlight w:val="none"/>
                    </w:rPr>
                    <w:t>（t/a）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7" w:hRule="atLeast"/>
                <w:jc w:val="center"/>
              </w:trPr>
              <w:tc>
                <w:tcPr>
                  <w:tcW w:w="889"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1</w:t>
                  </w:r>
                </w:p>
              </w:tc>
              <w:tc>
                <w:tcPr>
                  <w:tcW w:w="1769"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WS-01</w:t>
                  </w:r>
                </w:p>
              </w:tc>
              <w:tc>
                <w:tcPr>
                  <w:tcW w:w="176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CODcr</w:t>
                  </w:r>
                </w:p>
              </w:tc>
              <w:tc>
                <w:tcPr>
                  <w:tcW w:w="1554" w:type="dxa"/>
                  <w:vAlign w:val="center"/>
                </w:tcPr>
                <w:p>
                  <w:pPr>
                    <w:widowControl/>
                    <w:jc w:val="center"/>
                    <w:rPr>
                      <w:rFonts w:eastAsiaTheme="minorEastAsia"/>
                      <w:color w:val="auto"/>
                      <w:szCs w:val="21"/>
                      <w:highlight w:val="none"/>
                    </w:rPr>
                  </w:pPr>
                  <w:r>
                    <w:rPr>
                      <w:color w:val="auto"/>
                      <w:kern w:val="0"/>
                      <w:szCs w:val="21"/>
                      <w:highlight w:val="none"/>
                    </w:rPr>
                    <w:t>200</w:t>
                  </w:r>
                </w:p>
              </w:tc>
              <w:tc>
                <w:tcPr>
                  <w:tcW w:w="1560" w:type="dxa"/>
                  <w:vAlign w:val="bottom"/>
                </w:tcPr>
                <w:p>
                  <w:pPr>
                    <w:widowControl/>
                    <w:jc w:val="center"/>
                    <w:textAlignment w:val="bottom"/>
                    <w:rPr>
                      <w:rFonts w:eastAsiaTheme="minorEastAsia"/>
                      <w:color w:val="auto"/>
                      <w:szCs w:val="21"/>
                      <w:highlight w:val="none"/>
                    </w:rPr>
                  </w:pPr>
                  <w:r>
                    <w:rPr>
                      <w:color w:val="auto"/>
                      <w:kern w:val="0"/>
                      <w:szCs w:val="21"/>
                      <w:highlight w:val="none"/>
                      <w:lang w:bidi="ar"/>
                    </w:rPr>
                    <w:t>0.00007</w:t>
                  </w:r>
                </w:p>
              </w:tc>
              <w:tc>
                <w:tcPr>
                  <w:tcW w:w="1475" w:type="dxa"/>
                  <w:vAlign w:val="center"/>
                </w:tcPr>
                <w:p>
                  <w:pPr>
                    <w:widowControl/>
                    <w:jc w:val="center"/>
                    <w:textAlignment w:val="center"/>
                    <w:rPr>
                      <w:rFonts w:eastAsiaTheme="minorEastAsia"/>
                      <w:color w:val="auto"/>
                      <w:szCs w:val="21"/>
                      <w:highlight w:val="none"/>
                    </w:rPr>
                  </w:pPr>
                  <w:r>
                    <w:rPr>
                      <w:color w:val="auto"/>
                      <w:kern w:val="0"/>
                      <w:szCs w:val="21"/>
                      <w:highlight w:val="none"/>
                      <w:lang w:bidi="ar"/>
                    </w:rPr>
                    <w:t xml:space="preserve">0.022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2" w:hRule="atLeast"/>
                <w:jc w:val="center"/>
              </w:trPr>
              <w:tc>
                <w:tcPr>
                  <w:tcW w:w="889" w:type="dxa"/>
                  <w:vMerge w:val="continue"/>
                  <w:vAlign w:val="center"/>
                </w:tcPr>
                <w:p>
                  <w:pPr>
                    <w:spacing w:line="276" w:lineRule="auto"/>
                    <w:jc w:val="center"/>
                    <w:rPr>
                      <w:rFonts w:eastAsiaTheme="minorEastAsia"/>
                      <w:color w:val="auto"/>
                      <w:szCs w:val="21"/>
                      <w:highlight w:val="none"/>
                    </w:rPr>
                  </w:pPr>
                </w:p>
              </w:tc>
              <w:tc>
                <w:tcPr>
                  <w:tcW w:w="1769" w:type="dxa"/>
                  <w:vMerge w:val="continue"/>
                  <w:vAlign w:val="center"/>
                </w:tcPr>
                <w:p>
                  <w:pPr>
                    <w:spacing w:line="276" w:lineRule="auto"/>
                    <w:jc w:val="center"/>
                    <w:rPr>
                      <w:rFonts w:eastAsiaTheme="minorEastAsia"/>
                      <w:color w:val="auto"/>
                      <w:szCs w:val="21"/>
                      <w:highlight w:val="none"/>
                    </w:rPr>
                  </w:pPr>
                </w:p>
              </w:tc>
              <w:tc>
                <w:tcPr>
                  <w:tcW w:w="176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BOD</w:t>
                  </w:r>
                  <w:r>
                    <w:rPr>
                      <w:rFonts w:eastAsiaTheme="minorEastAsia"/>
                      <w:color w:val="auto"/>
                      <w:szCs w:val="21"/>
                      <w:highlight w:val="none"/>
                      <w:vertAlign w:val="subscript"/>
                    </w:rPr>
                    <w:t>5</w:t>
                  </w:r>
                </w:p>
              </w:tc>
              <w:tc>
                <w:tcPr>
                  <w:tcW w:w="1554" w:type="dxa"/>
                  <w:vAlign w:val="center"/>
                </w:tcPr>
                <w:p>
                  <w:pPr>
                    <w:widowControl/>
                    <w:jc w:val="center"/>
                    <w:rPr>
                      <w:rFonts w:eastAsiaTheme="minorEastAsia"/>
                      <w:color w:val="auto"/>
                      <w:szCs w:val="21"/>
                      <w:highlight w:val="none"/>
                    </w:rPr>
                  </w:pPr>
                  <w:r>
                    <w:rPr>
                      <w:color w:val="auto"/>
                      <w:kern w:val="0"/>
                      <w:szCs w:val="21"/>
                      <w:highlight w:val="none"/>
                    </w:rPr>
                    <w:t>120</w:t>
                  </w:r>
                </w:p>
              </w:tc>
              <w:tc>
                <w:tcPr>
                  <w:tcW w:w="1560" w:type="dxa"/>
                  <w:vAlign w:val="bottom"/>
                </w:tcPr>
                <w:p>
                  <w:pPr>
                    <w:widowControl/>
                    <w:jc w:val="center"/>
                    <w:textAlignment w:val="bottom"/>
                    <w:rPr>
                      <w:rFonts w:eastAsiaTheme="minorEastAsia"/>
                      <w:color w:val="auto"/>
                      <w:szCs w:val="21"/>
                      <w:highlight w:val="none"/>
                    </w:rPr>
                  </w:pPr>
                  <w:r>
                    <w:rPr>
                      <w:color w:val="auto"/>
                      <w:kern w:val="0"/>
                      <w:szCs w:val="21"/>
                      <w:highlight w:val="none"/>
                      <w:lang w:bidi="ar"/>
                    </w:rPr>
                    <w:t>0.00004</w:t>
                  </w:r>
                </w:p>
              </w:tc>
              <w:tc>
                <w:tcPr>
                  <w:tcW w:w="1475" w:type="dxa"/>
                  <w:vAlign w:val="center"/>
                </w:tcPr>
                <w:p>
                  <w:pPr>
                    <w:widowControl/>
                    <w:jc w:val="center"/>
                    <w:textAlignment w:val="center"/>
                    <w:rPr>
                      <w:rFonts w:eastAsiaTheme="minorEastAsia"/>
                      <w:color w:val="auto"/>
                      <w:szCs w:val="21"/>
                      <w:highlight w:val="none"/>
                    </w:rPr>
                  </w:pPr>
                  <w:r>
                    <w:rPr>
                      <w:color w:val="auto"/>
                      <w:kern w:val="0"/>
                      <w:szCs w:val="21"/>
                      <w:highlight w:val="none"/>
                      <w:lang w:bidi="ar"/>
                    </w:rPr>
                    <w:t xml:space="preserve">0.013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889" w:type="dxa"/>
                  <w:vMerge w:val="continue"/>
                  <w:vAlign w:val="center"/>
                </w:tcPr>
                <w:p>
                  <w:pPr>
                    <w:spacing w:line="276" w:lineRule="auto"/>
                    <w:jc w:val="center"/>
                    <w:rPr>
                      <w:rFonts w:eastAsiaTheme="minorEastAsia"/>
                      <w:color w:val="auto"/>
                      <w:szCs w:val="21"/>
                      <w:highlight w:val="none"/>
                    </w:rPr>
                  </w:pPr>
                </w:p>
              </w:tc>
              <w:tc>
                <w:tcPr>
                  <w:tcW w:w="1769" w:type="dxa"/>
                  <w:vMerge w:val="continue"/>
                  <w:vAlign w:val="center"/>
                </w:tcPr>
                <w:p>
                  <w:pPr>
                    <w:spacing w:line="276" w:lineRule="auto"/>
                    <w:jc w:val="center"/>
                    <w:rPr>
                      <w:rFonts w:eastAsiaTheme="minorEastAsia"/>
                      <w:color w:val="auto"/>
                      <w:szCs w:val="21"/>
                      <w:highlight w:val="none"/>
                    </w:rPr>
                  </w:pPr>
                </w:p>
              </w:tc>
              <w:tc>
                <w:tcPr>
                  <w:tcW w:w="176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SS</w:t>
                  </w:r>
                </w:p>
              </w:tc>
              <w:tc>
                <w:tcPr>
                  <w:tcW w:w="1554" w:type="dxa"/>
                  <w:vAlign w:val="center"/>
                </w:tcPr>
                <w:p>
                  <w:pPr>
                    <w:widowControl/>
                    <w:jc w:val="center"/>
                    <w:rPr>
                      <w:rFonts w:eastAsiaTheme="minorEastAsia"/>
                      <w:color w:val="auto"/>
                      <w:szCs w:val="21"/>
                      <w:highlight w:val="none"/>
                    </w:rPr>
                  </w:pPr>
                  <w:r>
                    <w:rPr>
                      <w:color w:val="auto"/>
                      <w:kern w:val="0"/>
                      <w:szCs w:val="21"/>
                      <w:highlight w:val="none"/>
                    </w:rPr>
                    <w:t>120</w:t>
                  </w:r>
                </w:p>
              </w:tc>
              <w:tc>
                <w:tcPr>
                  <w:tcW w:w="1560" w:type="dxa"/>
                  <w:vAlign w:val="bottom"/>
                </w:tcPr>
                <w:p>
                  <w:pPr>
                    <w:widowControl/>
                    <w:jc w:val="center"/>
                    <w:textAlignment w:val="bottom"/>
                    <w:rPr>
                      <w:rFonts w:eastAsiaTheme="minorEastAsia"/>
                      <w:color w:val="auto"/>
                      <w:szCs w:val="21"/>
                      <w:highlight w:val="none"/>
                    </w:rPr>
                  </w:pPr>
                  <w:r>
                    <w:rPr>
                      <w:color w:val="auto"/>
                      <w:kern w:val="0"/>
                      <w:szCs w:val="21"/>
                      <w:highlight w:val="none"/>
                      <w:lang w:bidi="ar"/>
                    </w:rPr>
                    <w:t>0.00004</w:t>
                  </w:r>
                </w:p>
              </w:tc>
              <w:tc>
                <w:tcPr>
                  <w:tcW w:w="1475" w:type="dxa"/>
                  <w:vAlign w:val="center"/>
                </w:tcPr>
                <w:p>
                  <w:pPr>
                    <w:widowControl/>
                    <w:jc w:val="center"/>
                    <w:textAlignment w:val="center"/>
                    <w:rPr>
                      <w:rFonts w:eastAsiaTheme="minorEastAsia"/>
                      <w:color w:val="auto"/>
                      <w:szCs w:val="21"/>
                      <w:highlight w:val="none"/>
                    </w:rPr>
                  </w:pPr>
                  <w:r>
                    <w:rPr>
                      <w:color w:val="auto"/>
                      <w:kern w:val="0"/>
                      <w:szCs w:val="21"/>
                      <w:highlight w:val="none"/>
                      <w:lang w:bidi="ar"/>
                    </w:rPr>
                    <w:t xml:space="preserve">0.013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89" w:type="dxa"/>
                  <w:vMerge w:val="continue"/>
                  <w:vAlign w:val="center"/>
                </w:tcPr>
                <w:p>
                  <w:pPr>
                    <w:spacing w:line="276" w:lineRule="auto"/>
                    <w:jc w:val="center"/>
                    <w:rPr>
                      <w:rFonts w:eastAsiaTheme="minorEastAsia"/>
                      <w:color w:val="auto"/>
                      <w:szCs w:val="21"/>
                      <w:highlight w:val="none"/>
                    </w:rPr>
                  </w:pPr>
                </w:p>
              </w:tc>
              <w:tc>
                <w:tcPr>
                  <w:tcW w:w="1769" w:type="dxa"/>
                  <w:vMerge w:val="continue"/>
                  <w:vAlign w:val="center"/>
                </w:tcPr>
                <w:p>
                  <w:pPr>
                    <w:spacing w:line="276" w:lineRule="auto"/>
                    <w:jc w:val="center"/>
                    <w:rPr>
                      <w:rFonts w:eastAsiaTheme="minorEastAsia"/>
                      <w:color w:val="auto"/>
                      <w:szCs w:val="21"/>
                      <w:highlight w:val="none"/>
                    </w:rPr>
                  </w:pPr>
                </w:p>
              </w:tc>
              <w:tc>
                <w:tcPr>
                  <w:tcW w:w="176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氨氮</w:t>
                  </w:r>
                </w:p>
              </w:tc>
              <w:tc>
                <w:tcPr>
                  <w:tcW w:w="1554" w:type="dxa"/>
                  <w:vAlign w:val="center"/>
                </w:tcPr>
                <w:p>
                  <w:pPr>
                    <w:widowControl/>
                    <w:jc w:val="center"/>
                    <w:rPr>
                      <w:rFonts w:eastAsiaTheme="minorEastAsia"/>
                      <w:color w:val="auto"/>
                      <w:szCs w:val="21"/>
                      <w:highlight w:val="none"/>
                    </w:rPr>
                  </w:pPr>
                  <w:r>
                    <w:rPr>
                      <w:color w:val="auto"/>
                      <w:kern w:val="0"/>
                      <w:szCs w:val="21"/>
                      <w:highlight w:val="none"/>
                    </w:rPr>
                    <w:t>20</w:t>
                  </w:r>
                </w:p>
              </w:tc>
              <w:tc>
                <w:tcPr>
                  <w:tcW w:w="1560" w:type="dxa"/>
                  <w:vAlign w:val="bottom"/>
                </w:tcPr>
                <w:p>
                  <w:pPr>
                    <w:widowControl/>
                    <w:jc w:val="center"/>
                    <w:textAlignment w:val="bottom"/>
                    <w:rPr>
                      <w:rFonts w:eastAsiaTheme="minorEastAsia"/>
                      <w:color w:val="auto"/>
                      <w:szCs w:val="21"/>
                      <w:highlight w:val="none"/>
                    </w:rPr>
                  </w:pPr>
                  <w:r>
                    <w:rPr>
                      <w:color w:val="auto"/>
                      <w:kern w:val="0"/>
                      <w:szCs w:val="21"/>
                      <w:highlight w:val="none"/>
                      <w:lang w:bidi="ar"/>
                    </w:rPr>
                    <w:t>0.00001</w:t>
                  </w:r>
                </w:p>
              </w:tc>
              <w:tc>
                <w:tcPr>
                  <w:tcW w:w="1475" w:type="dxa"/>
                  <w:vAlign w:val="center"/>
                </w:tcPr>
                <w:p>
                  <w:pPr>
                    <w:widowControl/>
                    <w:jc w:val="center"/>
                    <w:textAlignment w:val="center"/>
                    <w:rPr>
                      <w:rFonts w:eastAsiaTheme="minorEastAsia"/>
                      <w:color w:val="auto"/>
                      <w:szCs w:val="21"/>
                      <w:highlight w:val="none"/>
                    </w:rPr>
                  </w:pPr>
                  <w:r>
                    <w:rPr>
                      <w:color w:val="auto"/>
                      <w:kern w:val="0"/>
                      <w:szCs w:val="21"/>
                      <w:highlight w:val="none"/>
                      <w:lang w:bidi="ar"/>
                    </w:rPr>
                    <w:t xml:space="preserve">0.002 </w:t>
                  </w:r>
                </w:p>
              </w:tc>
            </w:tr>
          </w:tbl>
          <w:p>
            <w:pPr>
              <w:pStyle w:val="29"/>
              <w:spacing w:line="336" w:lineRule="auto"/>
              <w:ind w:firstLine="472" w:firstLineChars="196"/>
              <w:rPr>
                <w:b/>
                <w:color w:val="auto"/>
                <w:kern w:val="2"/>
                <w:highlight w:val="none"/>
              </w:rPr>
            </w:pPr>
            <w:r>
              <w:rPr>
                <w:rFonts w:hint="eastAsia"/>
                <w:b/>
                <w:color w:val="auto"/>
                <w:kern w:val="2"/>
                <w:highlight w:val="none"/>
              </w:rPr>
              <w:t>三、噪声影响分析</w:t>
            </w:r>
            <w:bookmarkEnd w:id="22"/>
            <w:bookmarkEnd w:id="23"/>
          </w:p>
          <w:p>
            <w:pPr>
              <w:spacing w:line="360" w:lineRule="auto"/>
              <w:ind w:firstLine="480" w:firstLineChars="200"/>
              <w:rPr>
                <w:rFonts w:hint="default"/>
                <w:color w:val="auto"/>
                <w:sz w:val="24"/>
                <w:highlight w:val="none"/>
                <w:lang w:val="en-US" w:eastAsia="zh-CN"/>
              </w:rPr>
            </w:pPr>
            <w:r>
              <w:rPr>
                <w:rFonts w:hint="eastAsia"/>
                <w:color w:val="auto"/>
                <w:sz w:val="24"/>
                <w:highlight w:val="none"/>
              </w:rPr>
              <w:t>根据《声环境质量标准》（GB3096-2008）、《声环境功能区划分技术规范》（GB/T159190-2014）</w:t>
            </w:r>
            <w:r>
              <w:rPr>
                <w:rFonts w:hint="eastAsia"/>
                <w:color w:val="auto"/>
                <w:sz w:val="24"/>
                <w:highlight w:val="none"/>
                <w:lang w:eastAsia="zh-CN"/>
              </w:rPr>
              <w:t>以及《环境影响评价技术导则 声环境》（HJ 2.4-2009）</w:t>
            </w:r>
            <w:r>
              <w:rPr>
                <w:rFonts w:hint="eastAsia"/>
                <w:color w:val="auto"/>
                <w:sz w:val="24"/>
                <w:highlight w:val="none"/>
              </w:rPr>
              <w:t>，</w:t>
            </w:r>
            <w:r>
              <w:rPr>
                <w:rFonts w:hint="eastAsia"/>
                <w:color w:val="auto"/>
                <w:sz w:val="24"/>
                <w:highlight w:val="none"/>
                <w:lang w:eastAsia="zh-CN"/>
              </w:rPr>
              <w:t>项目</w:t>
            </w:r>
            <w:r>
              <w:rPr>
                <w:rFonts w:hint="eastAsia"/>
                <w:color w:val="auto"/>
                <w:sz w:val="24"/>
                <w:highlight w:val="none"/>
              </w:rPr>
              <w:t>属2类</w:t>
            </w:r>
            <w:r>
              <w:rPr>
                <w:rFonts w:hint="eastAsia"/>
                <w:color w:val="auto"/>
                <w:sz w:val="24"/>
                <w:highlight w:val="none"/>
                <w:lang w:eastAsia="zh-CN"/>
              </w:rPr>
              <w:t>声功能区</w:t>
            </w:r>
            <w:r>
              <w:rPr>
                <w:rFonts w:hint="eastAsia"/>
                <w:color w:val="auto"/>
                <w:sz w:val="24"/>
                <w:highlight w:val="none"/>
              </w:rPr>
              <w:t>，</w:t>
            </w:r>
            <w:r>
              <w:rPr>
                <w:rFonts w:hint="eastAsia"/>
                <w:color w:val="auto"/>
                <w:sz w:val="24"/>
                <w:highlight w:val="none"/>
                <w:lang w:eastAsia="zh-CN"/>
              </w:rPr>
              <w:t>因此本项目噪声评价等级为二级。</w:t>
            </w:r>
          </w:p>
          <w:p>
            <w:pPr>
              <w:widowControl/>
              <w:spacing w:line="360" w:lineRule="auto"/>
              <w:ind w:firstLine="480" w:firstLineChars="200"/>
              <w:jc w:val="left"/>
              <w:rPr>
                <w:color w:val="auto"/>
                <w:kern w:val="0"/>
                <w:sz w:val="24"/>
                <w:highlight w:val="none"/>
                <w:lang w:bidi="ar"/>
              </w:rPr>
            </w:pPr>
            <w:r>
              <w:rPr>
                <w:color w:val="auto"/>
                <w:kern w:val="0"/>
                <w:sz w:val="24"/>
                <w:highlight w:val="none"/>
                <w:lang w:bidi="ar"/>
              </w:rPr>
              <w:t>本项目的噪声主要来自生产设备运行时产生的噪声，噪声值约为</w:t>
            </w:r>
            <w:r>
              <w:rPr>
                <w:rFonts w:eastAsia="TimesNewRomanPSMT"/>
                <w:color w:val="auto"/>
                <w:kern w:val="0"/>
                <w:sz w:val="24"/>
                <w:highlight w:val="none"/>
                <w:lang w:bidi="ar"/>
              </w:rPr>
              <w:t>70</w:t>
            </w:r>
            <w:r>
              <w:rPr>
                <w:color w:val="auto"/>
                <w:kern w:val="0"/>
                <w:sz w:val="24"/>
                <w:highlight w:val="none"/>
                <w:lang w:bidi="ar"/>
              </w:rPr>
              <w:t>～</w:t>
            </w:r>
            <w:r>
              <w:rPr>
                <w:rFonts w:eastAsia="TimesNewRomanPSMT"/>
                <w:color w:val="auto"/>
                <w:kern w:val="0"/>
                <w:sz w:val="24"/>
                <w:highlight w:val="none"/>
                <w:lang w:bidi="ar"/>
              </w:rPr>
              <w:t>90dB(A)</w:t>
            </w:r>
            <w:r>
              <w:rPr>
                <w:color w:val="auto"/>
                <w:kern w:val="0"/>
                <w:sz w:val="24"/>
                <w:highlight w:val="none"/>
                <w:lang w:bidi="ar"/>
              </w:rPr>
              <w:t>。</w:t>
            </w:r>
            <w:r>
              <w:rPr>
                <w:rFonts w:hint="eastAsia"/>
                <w:color w:val="auto"/>
                <w:sz w:val="24"/>
                <w:highlight w:val="none"/>
              </w:rPr>
              <w:t>云浮市盈安检测技术有限公司</w:t>
            </w:r>
            <w:r>
              <w:rPr>
                <w:color w:val="auto"/>
                <w:sz w:val="24"/>
                <w:highlight w:val="none"/>
              </w:rPr>
              <w:t>于</w:t>
            </w:r>
            <w:r>
              <w:rPr>
                <w:rFonts w:hint="eastAsia"/>
                <w:color w:val="auto"/>
                <w:sz w:val="24"/>
                <w:highlight w:val="none"/>
              </w:rPr>
              <w:t>2019年8月16日-17日对</w:t>
            </w:r>
            <w:r>
              <w:rPr>
                <w:color w:val="auto"/>
                <w:kern w:val="0"/>
                <w:sz w:val="24"/>
                <w:highlight w:val="none"/>
                <w:lang w:bidi="ar"/>
              </w:rPr>
              <w:t>本项目边界噪声进行监测，监测时生产工况达到75%，根据本项目监测数据可知，本项目运营期</w:t>
            </w:r>
            <w:r>
              <w:rPr>
                <w:rFonts w:hint="eastAsia"/>
                <w:color w:val="auto"/>
                <w:kern w:val="0"/>
                <w:sz w:val="24"/>
                <w:highlight w:val="none"/>
                <w:lang w:bidi="ar"/>
              </w:rPr>
              <w:t>东、南、西、北</w:t>
            </w:r>
            <w:r>
              <w:rPr>
                <w:color w:val="auto"/>
                <w:kern w:val="0"/>
                <w:sz w:val="24"/>
                <w:highlight w:val="none"/>
                <w:lang w:bidi="ar"/>
              </w:rPr>
              <w:t>边界</w:t>
            </w:r>
            <w:r>
              <w:rPr>
                <w:rFonts w:hint="eastAsia"/>
                <w:color w:val="auto"/>
                <w:kern w:val="0"/>
                <w:sz w:val="24"/>
                <w:highlight w:val="none"/>
                <w:lang w:bidi="ar"/>
              </w:rPr>
              <w:t>均</w:t>
            </w:r>
            <w:r>
              <w:rPr>
                <w:color w:val="auto"/>
                <w:kern w:val="0"/>
                <w:sz w:val="24"/>
                <w:highlight w:val="none"/>
                <w:lang w:bidi="ar"/>
              </w:rPr>
              <w:t>满足《工业企业厂界环境噪声排放标准》（GB 12348-2008）</w:t>
            </w:r>
            <w:r>
              <w:rPr>
                <w:rFonts w:hint="eastAsia"/>
                <w:color w:val="auto"/>
                <w:kern w:val="0"/>
                <w:sz w:val="24"/>
                <w:highlight w:val="none"/>
                <w:lang w:bidi="ar"/>
              </w:rPr>
              <w:t>2</w:t>
            </w:r>
            <w:r>
              <w:rPr>
                <w:color w:val="auto"/>
                <w:kern w:val="0"/>
                <w:sz w:val="24"/>
                <w:highlight w:val="none"/>
                <w:lang w:bidi="ar"/>
              </w:rPr>
              <w:t>类标准限值要求，说明本项目运营期噪声可达标排放，项目周围200米内敏感点可满足《声环境质量标准》（GB3096-2008）2 类标准限值要求，说明周围声环境状况良好。</w:t>
            </w:r>
          </w:p>
          <w:p>
            <w:pPr>
              <w:widowControl/>
              <w:spacing w:line="360" w:lineRule="auto"/>
              <w:ind w:firstLine="480" w:firstLineChars="200"/>
              <w:jc w:val="left"/>
              <w:rPr>
                <w:color w:val="auto"/>
                <w:kern w:val="0"/>
                <w:sz w:val="24"/>
                <w:highlight w:val="none"/>
                <w:lang w:bidi="ar"/>
              </w:rPr>
            </w:pPr>
            <w:r>
              <w:rPr>
                <w:color w:val="auto"/>
                <w:kern w:val="0"/>
                <w:sz w:val="24"/>
                <w:highlight w:val="none"/>
                <w:lang w:bidi="ar"/>
              </w:rPr>
              <w:t>为避免项目产生的噪声对周围环境造成影响，建议建设单位采取以下措施进行有效防治：</w:t>
            </w:r>
          </w:p>
          <w:p>
            <w:pPr>
              <w:widowControl/>
              <w:spacing w:line="360" w:lineRule="auto"/>
              <w:ind w:firstLine="480" w:firstLineChars="200"/>
              <w:jc w:val="left"/>
              <w:rPr>
                <w:color w:val="auto"/>
                <w:kern w:val="0"/>
                <w:sz w:val="24"/>
                <w:highlight w:val="none"/>
                <w:lang w:bidi="ar"/>
              </w:rPr>
            </w:pPr>
            <w:r>
              <w:rPr>
                <w:color w:val="auto"/>
                <w:kern w:val="0"/>
                <w:sz w:val="24"/>
                <w:highlight w:val="none"/>
                <w:lang w:bidi="ar"/>
              </w:rPr>
              <w:t>①有针对性地对噪声设备进行合理布置，让噪声源尽量远离边界。</w:t>
            </w:r>
          </w:p>
          <w:p>
            <w:pPr>
              <w:widowControl/>
              <w:spacing w:line="360" w:lineRule="auto"/>
              <w:ind w:firstLine="480" w:firstLineChars="200"/>
              <w:jc w:val="left"/>
              <w:rPr>
                <w:color w:val="auto"/>
                <w:kern w:val="0"/>
                <w:sz w:val="24"/>
                <w:highlight w:val="none"/>
                <w:lang w:bidi="ar"/>
              </w:rPr>
            </w:pPr>
            <w:r>
              <w:rPr>
                <w:color w:val="auto"/>
                <w:kern w:val="0"/>
                <w:sz w:val="24"/>
                <w:highlight w:val="none"/>
                <w:lang w:bidi="ar"/>
              </w:rPr>
              <w:t>②对高噪声设备进行隔声、减震等措施。</w:t>
            </w:r>
          </w:p>
          <w:p>
            <w:pPr>
              <w:widowControl/>
              <w:spacing w:line="360" w:lineRule="auto"/>
              <w:ind w:firstLine="480" w:firstLineChars="200"/>
              <w:jc w:val="left"/>
              <w:rPr>
                <w:color w:val="auto"/>
                <w:kern w:val="0"/>
                <w:sz w:val="24"/>
                <w:highlight w:val="none"/>
                <w:lang w:bidi="ar"/>
              </w:rPr>
            </w:pPr>
            <w:r>
              <w:rPr>
                <w:color w:val="auto"/>
                <w:kern w:val="0"/>
                <w:sz w:val="24"/>
                <w:highlight w:val="none"/>
                <w:lang w:bidi="ar"/>
              </w:rPr>
              <w:t>③加强对设备的定期检查、维护和管理，以保证设备的正常运行，避免因设备异常运行所产生的噪声对周围环境的影响。</w:t>
            </w:r>
          </w:p>
          <w:p>
            <w:pPr>
              <w:widowControl/>
              <w:spacing w:line="360" w:lineRule="auto"/>
              <w:ind w:firstLine="480" w:firstLineChars="200"/>
              <w:jc w:val="left"/>
              <w:rPr>
                <w:color w:val="auto"/>
                <w:kern w:val="0"/>
                <w:sz w:val="24"/>
                <w:highlight w:val="none"/>
                <w:lang w:bidi="ar"/>
              </w:rPr>
            </w:pPr>
            <w:r>
              <w:rPr>
                <w:color w:val="auto"/>
                <w:kern w:val="0"/>
                <w:sz w:val="24"/>
                <w:highlight w:val="none"/>
                <w:lang w:bidi="ar"/>
              </w:rPr>
              <w:t>④在生产过程中要加强环保意识，注意轻拿轻放，减少取、放配件时产生的人为噪声。</w:t>
            </w:r>
          </w:p>
          <w:p>
            <w:pPr>
              <w:widowControl/>
              <w:spacing w:line="360" w:lineRule="auto"/>
              <w:ind w:firstLine="480" w:firstLineChars="200"/>
              <w:jc w:val="left"/>
              <w:rPr>
                <w:color w:val="auto"/>
                <w:kern w:val="0"/>
                <w:sz w:val="24"/>
                <w:highlight w:val="none"/>
                <w:lang w:bidi="ar"/>
              </w:rPr>
            </w:pPr>
            <w:r>
              <w:rPr>
                <w:color w:val="auto"/>
                <w:kern w:val="0"/>
                <w:sz w:val="24"/>
                <w:highlight w:val="none"/>
                <w:lang w:bidi="ar"/>
              </w:rPr>
              <w:t>⑤合理安排生产时间，白天作业，夜间禁止生产。</w:t>
            </w:r>
          </w:p>
          <w:p>
            <w:pPr>
              <w:widowControl/>
              <w:spacing w:line="360" w:lineRule="auto"/>
              <w:ind w:firstLine="480" w:firstLineChars="200"/>
              <w:jc w:val="left"/>
              <w:rPr>
                <w:color w:val="auto"/>
                <w:kern w:val="0"/>
                <w:sz w:val="24"/>
                <w:highlight w:val="none"/>
                <w:lang w:bidi="ar"/>
              </w:rPr>
            </w:pPr>
            <w:r>
              <w:rPr>
                <w:color w:val="auto"/>
                <w:kern w:val="0"/>
                <w:sz w:val="24"/>
                <w:highlight w:val="none"/>
                <w:lang w:bidi="ar"/>
              </w:rPr>
              <w:t>完善上述相关防治措施后，可确保</w:t>
            </w:r>
            <w:r>
              <w:rPr>
                <w:rFonts w:hint="eastAsia"/>
                <w:color w:val="auto"/>
                <w:kern w:val="0"/>
                <w:sz w:val="24"/>
                <w:highlight w:val="none"/>
                <w:lang w:bidi="ar"/>
              </w:rPr>
              <w:t>项目</w:t>
            </w:r>
            <w:r>
              <w:rPr>
                <w:color w:val="auto"/>
                <w:kern w:val="0"/>
                <w:sz w:val="24"/>
                <w:highlight w:val="none"/>
                <w:lang w:bidi="ar"/>
              </w:rPr>
              <w:t>边界噪声达到《工业企业厂界环境噪声排放标准》（GB 12348-2008）</w:t>
            </w:r>
            <w:r>
              <w:rPr>
                <w:rFonts w:hint="eastAsia"/>
                <w:color w:val="auto"/>
                <w:kern w:val="0"/>
                <w:sz w:val="24"/>
                <w:highlight w:val="none"/>
                <w:lang w:bidi="ar"/>
              </w:rPr>
              <w:t>2</w:t>
            </w:r>
            <w:r>
              <w:rPr>
                <w:color w:val="auto"/>
                <w:kern w:val="0"/>
                <w:sz w:val="24"/>
                <w:highlight w:val="none"/>
                <w:lang w:bidi="ar"/>
              </w:rPr>
              <w:t>类标准限值要求，则对区域声环境质量的影响较小。</w:t>
            </w:r>
          </w:p>
          <w:p>
            <w:pPr>
              <w:pStyle w:val="29"/>
              <w:spacing w:line="336" w:lineRule="auto"/>
              <w:ind w:firstLine="501" w:firstLineChars="208"/>
              <w:rPr>
                <w:b/>
                <w:color w:val="auto"/>
                <w:kern w:val="2"/>
                <w:highlight w:val="none"/>
              </w:rPr>
            </w:pPr>
            <w:r>
              <w:rPr>
                <w:rFonts w:hint="eastAsia"/>
                <w:b/>
                <w:color w:val="auto"/>
                <w:kern w:val="2"/>
                <w:highlight w:val="none"/>
              </w:rPr>
              <w:t>四、固体废物影响分析</w:t>
            </w:r>
          </w:p>
          <w:p>
            <w:pPr>
              <w:pStyle w:val="53"/>
              <w:autoSpaceDE/>
              <w:autoSpaceDN/>
              <w:snapToGrid w:val="0"/>
              <w:spacing w:line="336" w:lineRule="auto"/>
              <w:ind w:firstLine="475" w:firstLineChars="197"/>
              <w:textAlignment w:val="auto"/>
              <w:rPr>
                <w:rFonts w:hAnsi="宋体" w:eastAsia="宋体"/>
                <w:bCs/>
                <w:color w:val="auto"/>
                <w:highlight w:val="none"/>
              </w:rPr>
            </w:pPr>
            <w:r>
              <w:rPr>
                <w:rFonts w:hint="eastAsia" w:ascii="宋体" w:hAnsi="宋体" w:eastAsia="宋体"/>
                <w:b/>
                <w:color w:val="auto"/>
                <w:kern w:val="2"/>
                <w:szCs w:val="24"/>
                <w:highlight w:val="none"/>
              </w:rPr>
              <w:t>生活垃圾：</w:t>
            </w:r>
            <w:r>
              <w:rPr>
                <w:rFonts w:hint="eastAsia" w:hAnsi="宋体" w:eastAsia="宋体"/>
                <w:bCs/>
                <w:color w:val="auto"/>
                <w:highlight w:val="none"/>
              </w:rPr>
              <w:t>生活垃圾包括平时生活使用的废旧塑料袋、饮料罐、纸盒等。生活垃圾中铝制罐、塑料瓶、玻璃瓶、报纸等可回收利用物质，分类收集再利用。对堆放点进行消毒杀菌，不能再利用的剩余垃圾交予环卫部门进行集中填埋处理处置。</w:t>
            </w:r>
          </w:p>
          <w:p>
            <w:pPr>
              <w:adjustRightInd w:val="0"/>
              <w:snapToGrid w:val="0"/>
              <w:spacing w:line="360" w:lineRule="auto"/>
              <w:ind w:firstLine="482" w:firstLineChars="200"/>
              <w:rPr>
                <w:color w:val="auto"/>
                <w:sz w:val="24"/>
                <w:highlight w:val="none"/>
              </w:rPr>
            </w:pPr>
            <w:r>
              <w:rPr>
                <w:rFonts w:hint="eastAsia" w:ascii="宋体" w:hAnsi="宋体"/>
                <w:b/>
                <w:color w:val="auto"/>
                <w:sz w:val="24"/>
                <w:highlight w:val="none"/>
              </w:rPr>
              <w:t>一般工业固废</w:t>
            </w:r>
            <w:r>
              <w:rPr>
                <w:rFonts w:hint="eastAsia"/>
                <w:color w:val="auto"/>
                <w:sz w:val="24"/>
                <w:highlight w:val="none"/>
              </w:rPr>
              <w:t>：</w:t>
            </w:r>
            <w:r>
              <w:rPr>
                <w:color w:val="auto"/>
                <w:sz w:val="24"/>
                <w:szCs w:val="22"/>
                <w:highlight w:val="none"/>
              </w:rPr>
              <w:t>根据建设单位提供的资料，</w:t>
            </w:r>
            <w:r>
              <w:rPr>
                <w:bCs/>
                <w:color w:val="auto"/>
                <w:sz w:val="24"/>
                <w:highlight w:val="none"/>
              </w:rPr>
              <w:t>项目</w:t>
            </w:r>
            <w:r>
              <w:rPr>
                <w:rFonts w:hint="eastAsia"/>
                <w:bCs/>
                <w:color w:val="auto"/>
                <w:sz w:val="24"/>
                <w:highlight w:val="none"/>
              </w:rPr>
              <w:t>机加工工序</w:t>
            </w:r>
            <w:r>
              <w:rPr>
                <w:bCs/>
                <w:color w:val="auto"/>
                <w:sz w:val="24"/>
                <w:highlight w:val="none"/>
              </w:rPr>
              <w:t>产生</w:t>
            </w:r>
            <w:r>
              <w:rPr>
                <w:rFonts w:hint="eastAsia"/>
                <w:bCs/>
                <w:color w:val="auto"/>
                <w:sz w:val="24"/>
                <w:highlight w:val="none"/>
              </w:rPr>
              <w:t>金属碎屑、金属</w:t>
            </w:r>
            <w:r>
              <w:rPr>
                <w:bCs/>
                <w:color w:val="auto"/>
                <w:sz w:val="24"/>
                <w:highlight w:val="none"/>
              </w:rPr>
              <w:t>边角料，产生量约为</w:t>
            </w:r>
            <w:r>
              <w:rPr>
                <w:rFonts w:hint="eastAsia"/>
                <w:bCs/>
                <w:color w:val="auto"/>
                <w:sz w:val="24"/>
                <w:highlight w:val="none"/>
              </w:rPr>
              <w:t>1</w:t>
            </w:r>
            <w:r>
              <w:rPr>
                <w:color w:val="auto"/>
                <w:spacing w:val="-2"/>
                <w:sz w:val="24"/>
                <w:highlight w:val="none"/>
              </w:rPr>
              <w:t>t/a</w:t>
            </w:r>
            <w:r>
              <w:rPr>
                <w:bCs/>
                <w:color w:val="auto"/>
                <w:sz w:val="24"/>
                <w:highlight w:val="none"/>
              </w:rPr>
              <w:t>；</w:t>
            </w:r>
            <w:r>
              <w:rPr>
                <w:rFonts w:hint="eastAsia"/>
                <w:bCs/>
                <w:color w:val="auto"/>
                <w:sz w:val="24"/>
                <w:highlight w:val="none"/>
              </w:rPr>
              <w:t>测试工序产生少量不合格品，产生量约为1</w:t>
            </w:r>
            <w:r>
              <w:rPr>
                <w:color w:val="auto"/>
                <w:spacing w:val="-2"/>
                <w:sz w:val="24"/>
                <w:highlight w:val="none"/>
              </w:rPr>
              <w:t>t/a</w:t>
            </w:r>
            <w:r>
              <w:rPr>
                <w:rFonts w:hint="eastAsia"/>
                <w:color w:val="auto"/>
                <w:spacing w:val="-2"/>
                <w:sz w:val="24"/>
                <w:highlight w:val="none"/>
              </w:rPr>
              <w:t>；包装工序产生少量废包装材料</w:t>
            </w:r>
            <w:r>
              <w:rPr>
                <w:rFonts w:hint="eastAsia"/>
                <w:bCs/>
                <w:color w:val="auto"/>
                <w:sz w:val="24"/>
                <w:highlight w:val="none"/>
              </w:rPr>
              <w:t>，产生量约为0.1</w:t>
            </w:r>
            <w:r>
              <w:rPr>
                <w:color w:val="auto"/>
                <w:spacing w:val="-2"/>
                <w:sz w:val="24"/>
                <w:highlight w:val="none"/>
              </w:rPr>
              <w:t>t/a</w:t>
            </w:r>
            <w:r>
              <w:rPr>
                <w:rFonts w:hint="eastAsia"/>
                <w:color w:val="auto"/>
                <w:spacing w:val="-2"/>
                <w:sz w:val="24"/>
                <w:highlight w:val="none"/>
              </w:rPr>
              <w:t>。</w:t>
            </w:r>
            <w:r>
              <w:rPr>
                <w:color w:val="auto"/>
                <w:sz w:val="24"/>
                <w:highlight w:val="none"/>
              </w:rPr>
              <w:t>综上所述，项目一般固废产生量为</w:t>
            </w:r>
            <w:r>
              <w:rPr>
                <w:rFonts w:hint="eastAsia"/>
                <w:color w:val="auto"/>
                <w:sz w:val="24"/>
                <w:highlight w:val="none"/>
              </w:rPr>
              <w:t>2.1</w:t>
            </w:r>
            <w:r>
              <w:rPr>
                <w:color w:val="auto"/>
                <w:spacing w:val="-2"/>
                <w:sz w:val="24"/>
                <w:highlight w:val="none"/>
              </w:rPr>
              <w:t>t/a</w:t>
            </w:r>
            <w:r>
              <w:rPr>
                <w:color w:val="auto"/>
                <w:sz w:val="24"/>
                <w:highlight w:val="none"/>
              </w:rPr>
              <w:t>，经收集后</w:t>
            </w:r>
            <w:r>
              <w:rPr>
                <w:color w:val="auto"/>
                <w:spacing w:val="-2"/>
                <w:sz w:val="24"/>
                <w:highlight w:val="none"/>
              </w:rPr>
              <w:t>交专业公司回收处理</w:t>
            </w:r>
            <w:r>
              <w:rPr>
                <w:color w:val="auto"/>
                <w:sz w:val="24"/>
                <w:highlight w:val="none"/>
              </w:rPr>
              <w:t>。</w:t>
            </w:r>
          </w:p>
          <w:p>
            <w:pPr>
              <w:adjustRightInd w:val="0"/>
              <w:snapToGrid w:val="0"/>
              <w:spacing w:line="360" w:lineRule="auto"/>
              <w:ind w:firstLine="482" w:firstLineChars="200"/>
              <w:rPr>
                <w:color w:val="auto"/>
                <w:sz w:val="24"/>
                <w:szCs w:val="22"/>
                <w:highlight w:val="none"/>
              </w:rPr>
            </w:pPr>
            <w:r>
              <w:rPr>
                <w:rFonts w:hint="eastAsia"/>
                <w:b/>
                <w:bCs/>
                <w:color w:val="auto"/>
                <w:sz w:val="24"/>
                <w:szCs w:val="22"/>
                <w:highlight w:val="none"/>
              </w:rPr>
              <w:t>危险废物：</w:t>
            </w:r>
            <w:r>
              <w:rPr>
                <w:rFonts w:hint="eastAsia"/>
                <w:color w:val="auto"/>
                <w:sz w:val="24"/>
                <w:highlight w:val="none"/>
              </w:rPr>
              <w:t>废液压油油桶、废润滑油油桶、废液压油、废润滑油、废</w:t>
            </w:r>
            <w:r>
              <w:rPr>
                <w:color w:val="auto"/>
                <w:sz w:val="24"/>
                <w:szCs w:val="20"/>
                <w:highlight w:val="none"/>
              </w:rPr>
              <w:t>UV灯管</w:t>
            </w:r>
            <w:r>
              <w:rPr>
                <w:rFonts w:hint="eastAsia"/>
                <w:color w:val="auto"/>
                <w:sz w:val="24"/>
                <w:szCs w:val="20"/>
                <w:highlight w:val="none"/>
              </w:rPr>
              <w:t>、</w:t>
            </w:r>
            <w:r>
              <w:rPr>
                <w:rFonts w:hint="eastAsia"/>
                <w:color w:val="auto"/>
                <w:sz w:val="24"/>
                <w:highlight w:val="none"/>
              </w:rPr>
              <w:t>废活性炭</w:t>
            </w:r>
            <w:r>
              <w:rPr>
                <w:rFonts w:hint="eastAsia"/>
                <w:color w:val="auto"/>
                <w:sz w:val="24"/>
                <w:szCs w:val="22"/>
                <w:highlight w:val="none"/>
              </w:rPr>
              <w:t>暂存于危废暂存区，定期交有危险废物处置资质的单位处置。根据项目危险废物产废周期，本项目拟每年将危险废物交有资质公司处置一次，胶桶收集单个容积0.5m</w:t>
            </w:r>
            <w:r>
              <w:rPr>
                <w:rFonts w:hint="eastAsia"/>
                <w:color w:val="auto"/>
                <w:sz w:val="24"/>
                <w:szCs w:val="22"/>
                <w:highlight w:val="none"/>
                <w:vertAlign w:val="superscript"/>
              </w:rPr>
              <w:t>3</w:t>
            </w:r>
            <w:r>
              <w:rPr>
                <w:rFonts w:hint="eastAsia"/>
                <w:color w:val="auto"/>
                <w:sz w:val="24"/>
                <w:szCs w:val="22"/>
                <w:highlight w:val="none"/>
              </w:rPr>
              <w:t>，占地面积约1m</w:t>
            </w:r>
            <w:r>
              <w:rPr>
                <w:rFonts w:hint="eastAsia"/>
                <w:color w:val="auto"/>
                <w:sz w:val="24"/>
                <w:szCs w:val="22"/>
                <w:highlight w:val="none"/>
                <w:vertAlign w:val="superscript"/>
              </w:rPr>
              <w:t>2</w:t>
            </w:r>
            <w:r>
              <w:rPr>
                <w:rFonts w:hint="eastAsia"/>
                <w:color w:val="auto"/>
                <w:sz w:val="24"/>
                <w:szCs w:val="22"/>
                <w:highlight w:val="none"/>
              </w:rPr>
              <w:t>，约需4个，合计约需占地面积4m</w:t>
            </w:r>
            <w:r>
              <w:rPr>
                <w:rFonts w:hint="eastAsia"/>
                <w:color w:val="auto"/>
                <w:sz w:val="24"/>
                <w:szCs w:val="22"/>
                <w:highlight w:val="none"/>
                <w:vertAlign w:val="superscript"/>
              </w:rPr>
              <w:t>2</w:t>
            </w:r>
            <w:r>
              <w:rPr>
                <w:rFonts w:hint="eastAsia"/>
                <w:color w:val="auto"/>
                <w:sz w:val="24"/>
                <w:szCs w:val="22"/>
                <w:highlight w:val="none"/>
              </w:rPr>
              <w:t>，本项目拟设置危险废物暂存区占地面积5m</w:t>
            </w:r>
            <w:r>
              <w:rPr>
                <w:rFonts w:hint="eastAsia"/>
                <w:color w:val="auto"/>
                <w:sz w:val="24"/>
                <w:szCs w:val="22"/>
                <w:highlight w:val="none"/>
                <w:vertAlign w:val="superscript"/>
              </w:rPr>
              <w:t>2</w:t>
            </w:r>
            <w:r>
              <w:rPr>
                <w:rFonts w:hint="eastAsia"/>
                <w:color w:val="auto"/>
                <w:sz w:val="24"/>
                <w:szCs w:val="22"/>
                <w:highlight w:val="none"/>
              </w:rPr>
              <w:t>，可满足最大暂存危险废物要求。故拟设置的危废暂存区能够满足本项目危险废物暂存要求。危险废物暂存区将严格按照《危险废物贮存污染控制标准》（GB18597-2001）及其2013年修改单中的要求建设和维护使用。</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本项目危废</w:t>
            </w:r>
            <w:r>
              <w:rPr>
                <w:rFonts w:hint="eastAsia" w:eastAsia="宋体" w:cs="Times New Roman"/>
                <w:b/>
                <w:color w:val="auto"/>
                <w:sz w:val="21"/>
                <w:szCs w:val="21"/>
                <w:highlight w:val="none"/>
              </w:rPr>
              <w:t>暂存区</w:t>
            </w:r>
            <w:r>
              <w:rPr>
                <w:rFonts w:eastAsia="宋体" w:cs="Times New Roman"/>
                <w:b/>
                <w:color w:val="auto"/>
                <w:sz w:val="21"/>
                <w:szCs w:val="21"/>
                <w:highlight w:val="none"/>
              </w:rPr>
              <w:t>基本情况表</w:t>
            </w:r>
          </w:p>
          <w:tbl>
            <w:tblPr>
              <w:tblStyle w:val="40"/>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0"/>
              <w:gridCol w:w="1092"/>
              <w:gridCol w:w="1089"/>
              <w:gridCol w:w="1130"/>
              <w:gridCol w:w="900"/>
              <w:gridCol w:w="780"/>
              <w:gridCol w:w="810"/>
              <w:gridCol w:w="795"/>
              <w:gridCol w:w="690"/>
              <w:gridCol w:w="7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jc w:val="center"/>
              </w:trPr>
              <w:tc>
                <w:tcPr>
                  <w:tcW w:w="490"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序号</w:t>
                  </w:r>
                </w:p>
              </w:tc>
              <w:tc>
                <w:tcPr>
                  <w:tcW w:w="1092"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贮存场所（设施）</w:t>
                  </w:r>
                </w:p>
                <w:p>
                  <w:pPr>
                    <w:topLinePunct/>
                    <w:adjustRightInd w:val="0"/>
                    <w:snapToGrid w:val="0"/>
                    <w:jc w:val="center"/>
                    <w:rPr>
                      <w:b/>
                      <w:bCs/>
                      <w:color w:val="auto"/>
                      <w:kern w:val="0"/>
                      <w:szCs w:val="21"/>
                      <w:highlight w:val="none"/>
                    </w:rPr>
                  </w:pPr>
                  <w:r>
                    <w:rPr>
                      <w:b/>
                      <w:bCs/>
                      <w:color w:val="auto"/>
                      <w:kern w:val="0"/>
                      <w:szCs w:val="21"/>
                      <w:highlight w:val="none"/>
                    </w:rPr>
                    <w:t>名称</w:t>
                  </w:r>
                </w:p>
              </w:tc>
              <w:tc>
                <w:tcPr>
                  <w:tcW w:w="1089"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危险废物名称</w:t>
                  </w:r>
                </w:p>
              </w:tc>
              <w:tc>
                <w:tcPr>
                  <w:tcW w:w="1130"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危险废物类别</w:t>
                  </w:r>
                </w:p>
              </w:tc>
              <w:tc>
                <w:tcPr>
                  <w:tcW w:w="900"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危险废物代码</w:t>
                  </w:r>
                </w:p>
              </w:tc>
              <w:tc>
                <w:tcPr>
                  <w:tcW w:w="780"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位置</w:t>
                  </w:r>
                </w:p>
              </w:tc>
              <w:tc>
                <w:tcPr>
                  <w:tcW w:w="810"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占地面积</w:t>
                  </w:r>
                </w:p>
              </w:tc>
              <w:tc>
                <w:tcPr>
                  <w:tcW w:w="795"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贮存方式</w:t>
                  </w:r>
                </w:p>
              </w:tc>
              <w:tc>
                <w:tcPr>
                  <w:tcW w:w="690"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贮存</w:t>
                  </w:r>
                </w:p>
                <w:p>
                  <w:pPr>
                    <w:topLinePunct/>
                    <w:adjustRightInd w:val="0"/>
                    <w:snapToGrid w:val="0"/>
                    <w:jc w:val="center"/>
                    <w:rPr>
                      <w:b/>
                      <w:bCs/>
                      <w:color w:val="auto"/>
                      <w:kern w:val="0"/>
                      <w:szCs w:val="21"/>
                      <w:highlight w:val="none"/>
                    </w:rPr>
                  </w:pPr>
                  <w:r>
                    <w:rPr>
                      <w:b/>
                      <w:bCs/>
                      <w:color w:val="auto"/>
                      <w:kern w:val="0"/>
                      <w:szCs w:val="21"/>
                      <w:highlight w:val="none"/>
                    </w:rPr>
                    <w:t>能力</w:t>
                  </w:r>
                </w:p>
              </w:tc>
              <w:tc>
                <w:tcPr>
                  <w:tcW w:w="728" w:type="dxa"/>
                  <w:tcBorders>
                    <w:tl2br w:val="nil"/>
                    <w:tr2bl w:val="nil"/>
                  </w:tcBorders>
                  <w:vAlign w:val="center"/>
                </w:tcPr>
                <w:p>
                  <w:pPr>
                    <w:topLinePunct/>
                    <w:adjustRightInd w:val="0"/>
                    <w:snapToGrid w:val="0"/>
                    <w:jc w:val="center"/>
                    <w:rPr>
                      <w:b/>
                      <w:bCs/>
                      <w:color w:val="auto"/>
                      <w:kern w:val="0"/>
                      <w:szCs w:val="21"/>
                      <w:highlight w:val="none"/>
                    </w:rPr>
                  </w:pPr>
                  <w:r>
                    <w:rPr>
                      <w:b/>
                      <w:bCs/>
                      <w:color w:val="auto"/>
                      <w:kern w:val="0"/>
                      <w:szCs w:val="21"/>
                      <w:highlight w:val="none"/>
                    </w:rPr>
                    <w:t>贮存</w:t>
                  </w:r>
                </w:p>
                <w:p>
                  <w:pPr>
                    <w:topLinePunct/>
                    <w:adjustRightInd w:val="0"/>
                    <w:snapToGrid w:val="0"/>
                    <w:jc w:val="center"/>
                    <w:rPr>
                      <w:b/>
                      <w:bCs/>
                      <w:color w:val="auto"/>
                      <w:kern w:val="0"/>
                      <w:szCs w:val="21"/>
                      <w:highlight w:val="none"/>
                    </w:rPr>
                  </w:pPr>
                  <w:r>
                    <w:rPr>
                      <w:b/>
                      <w:bCs/>
                      <w:color w:val="auto"/>
                      <w:kern w:val="0"/>
                      <w:szCs w:val="21"/>
                      <w:highlight w:val="none"/>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jc w:val="center"/>
              </w:trPr>
              <w:tc>
                <w:tcPr>
                  <w:tcW w:w="490" w:type="dxa"/>
                  <w:tcBorders>
                    <w:tl2br w:val="nil"/>
                    <w:tr2bl w:val="nil"/>
                  </w:tcBorders>
                  <w:vAlign w:val="center"/>
                </w:tcPr>
                <w:p>
                  <w:pPr>
                    <w:topLinePunct/>
                    <w:adjustRightInd w:val="0"/>
                    <w:snapToGrid w:val="0"/>
                    <w:jc w:val="center"/>
                    <w:rPr>
                      <w:color w:val="auto"/>
                      <w:kern w:val="0"/>
                      <w:szCs w:val="21"/>
                      <w:highlight w:val="none"/>
                    </w:rPr>
                  </w:pPr>
                  <w:r>
                    <w:rPr>
                      <w:color w:val="auto"/>
                      <w:kern w:val="0"/>
                      <w:szCs w:val="21"/>
                      <w:highlight w:val="none"/>
                    </w:rPr>
                    <w:t>1</w:t>
                  </w:r>
                </w:p>
              </w:tc>
              <w:tc>
                <w:tcPr>
                  <w:tcW w:w="1092" w:type="dxa"/>
                  <w:vMerge w:val="restart"/>
                  <w:tcBorders>
                    <w:tl2br w:val="nil"/>
                    <w:tr2bl w:val="nil"/>
                  </w:tcBorders>
                  <w:vAlign w:val="center"/>
                </w:tcPr>
                <w:p>
                  <w:pPr>
                    <w:topLinePunct/>
                    <w:adjustRightInd w:val="0"/>
                    <w:snapToGrid w:val="0"/>
                    <w:jc w:val="center"/>
                    <w:rPr>
                      <w:color w:val="auto"/>
                      <w:kern w:val="0"/>
                      <w:szCs w:val="21"/>
                      <w:highlight w:val="none"/>
                    </w:rPr>
                  </w:pPr>
                  <w:r>
                    <w:rPr>
                      <w:color w:val="auto"/>
                      <w:kern w:val="0"/>
                      <w:szCs w:val="21"/>
                      <w:highlight w:val="none"/>
                    </w:rPr>
                    <w:t>危废暂存区</w:t>
                  </w:r>
                </w:p>
              </w:tc>
              <w:tc>
                <w:tcPr>
                  <w:tcW w:w="1089"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szCs w:val="21"/>
                      <w:highlight w:val="none"/>
                    </w:rPr>
                    <w:t>废液压油油桶、废润滑油油桶</w:t>
                  </w:r>
                </w:p>
              </w:tc>
              <w:tc>
                <w:tcPr>
                  <w:tcW w:w="1130"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HW49</w:t>
                  </w:r>
                  <w:r>
                    <w:rPr>
                      <w:color w:val="auto"/>
                      <w:kern w:val="0"/>
                      <w:szCs w:val="21"/>
                      <w:highlight w:val="none"/>
                    </w:rPr>
                    <w:t>其它废物</w:t>
                  </w:r>
                </w:p>
              </w:tc>
              <w:tc>
                <w:tcPr>
                  <w:tcW w:w="900" w:type="dxa"/>
                  <w:tcBorders>
                    <w:tl2br w:val="nil"/>
                    <w:tr2bl w:val="nil"/>
                  </w:tcBorders>
                  <w:vAlign w:val="center"/>
                </w:tcPr>
                <w:p>
                  <w:pPr>
                    <w:topLinePunct/>
                    <w:adjustRightInd w:val="0"/>
                    <w:snapToGrid w:val="0"/>
                    <w:jc w:val="center"/>
                    <w:rPr>
                      <w:color w:val="auto"/>
                      <w:kern w:val="0"/>
                      <w:szCs w:val="21"/>
                      <w:highlight w:val="none"/>
                    </w:rPr>
                  </w:pPr>
                  <w:r>
                    <w:rPr>
                      <w:color w:val="auto"/>
                      <w:szCs w:val="21"/>
                      <w:highlight w:val="none"/>
                    </w:rPr>
                    <w:t>900-041-49</w:t>
                  </w:r>
                </w:p>
              </w:tc>
              <w:tc>
                <w:tcPr>
                  <w:tcW w:w="780" w:type="dxa"/>
                  <w:vMerge w:val="restart"/>
                  <w:tcBorders>
                    <w:tl2br w:val="nil"/>
                    <w:tr2bl w:val="nil"/>
                  </w:tcBorders>
                  <w:vAlign w:val="center"/>
                </w:tcPr>
                <w:p>
                  <w:pPr>
                    <w:topLinePunct/>
                    <w:adjustRightInd w:val="0"/>
                    <w:snapToGrid w:val="0"/>
                    <w:jc w:val="center"/>
                    <w:rPr>
                      <w:color w:val="auto"/>
                      <w:kern w:val="0"/>
                      <w:szCs w:val="21"/>
                      <w:highlight w:val="none"/>
                    </w:rPr>
                  </w:pPr>
                  <w:r>
                    <w:rPr>
                      <w:color w:val="auto"/>
                      <w:kern w:val="0"/>
                      <w:szCs w:val="21"/>
                      <w:highlight w:val="none"/>
                    </w:rPr>
                    <w:t>设置于</w:t>
                  </w:r>
                  <w:r>
                    <w:rPr>
                      <w:rFonts w:hint="eastAsia"/>
                      <w:color w:val="auto"/>
                      <w:kern w:val="0"/>
                      <w:szCs w:val="21"/>
                      <w:highlight w:val="none"/>
                    </w:rPr>
                    <w:t>车间内</w:t>
                  </w:r>
                </w:p>
              </w:tc>
              <w:tc>
                <w:tcPr>
                  <w:tcW w:w="810" w:type="dxa"/>
                  <w:vMerge w:val="restart"/>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5</w:t>
                  </w:r>
                  <w:r>
                    <w:rPr>
                      <w:color w:val="auto"/>
                      <w:kern w:val="0"/>
                      <w:szCs w:val="21"/>
                      <w:highlight w:val="none"/>
                    </w:rPr>
                    <w:t>m</w:t>
                  </w:r>
                  <w:r>
                    <w:rPr>
                      <w:color w:val="auto"/>
                      <w:kern w:val="0"/>
                      <w:szCs w:val="21"/>
                      <w:highlight w:val="none"/>
                      <w:vertAlign w:val="superscript"/>
                    </w:rPr>
                    <w:t>2</w:t>
                  </w:r>
                </w:p>
              </w:tc>
              <w:tc>
                <w:tcPr>
                  <w:tcW w:w="795"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胶</w:t>
                  </w:r>
                  <w:r>
                    <w:rPr>
                      <w:color w:val="auto"/>
                      <w:kern w:val="0"/>
                      <w:szCs w:val="21"/>
                      <w:highlight w:val="none"/>
                    </w:rPr>
                    <w:t>桶</w:t>
                  </w:r>
                </w:p>
              </w:tc>
              <w:tc>
                <w:tcPr>
                  <w:tcW w:w="690" w:type="dxa"/>
                  <w:vMerge w:val="restart"/>
                  <w:tcBorders>
                    <w:tl2br w:val="nil"/>
                    <w:tr2bl w:val="nil"/>
                  </w:tcBorders>
                  <w:vAlign w:val="center"/>
                </w:tcPr>
                <w:p>
                  <w:pPr>
                    <w:topLinePunct/>
                    <w:adjustRightInd w:val="0"/>
                    <w:snapToGrid w:val="0"/>
                    <w:jc w:val="center"/>
                    <w:rPr>
                      <w:color w:val="auto"/>
                      <w:kern w:val="0"/>
                      <w:szCs w:val="21"/>
                      <w:highlight w:val="none"/>
                    </w:rPr>
                  </w:pPr>
                  <w:r>
                    <w:rPr>
                      <w:color w:val="auto"/>
                      <w:kern w:val="0"/>
                      <w:szCs w:val="21"/>
                      <w:highlight w:val="none"/>
                    </w:rPr>
                    <w:t>可储存</w:t>
                  </w:r>
                  <w:r>
                    <w:rPr>
                      <w:rFonts w:hint="eastAsia"/>
                      <w:color w:val="auto"/>
                      <w:kern w:val="0"/>
                      <w:szCs w:val="21"/>
                      <w:highlight w:val="none"/>
                    </w:rPr>
                    <w:t>1年</w:t>
                  </w:r>
                  <w:r>
                    <w:rPr>
                      <w:color w:val="auto"/>
                      <w:kern w:val="0"/>
                      <w:szCs w:val="21"/>
                      <w:highlight w:val="none"/>
                    </w:rPr>
                    <w:t>的转移量</w:t>
                  </w:r>
                </w:p>
              </w:tc>
              <w:tc>
                <w:tcPr>
                  <w:tcW w:w="728" w:type="dxa"/>
                  <w:vMerge w:val="restart"/>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0"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2</w:t>
                  </w:r>
                </w:p>
              </w:tc>
              <w:tc>
                <w:tcPr>
                  <w:tcW w:w="1092" w:type="dxa"/>
                  <w:vMerge w:val="continue"/>
                  <w:tcBorders>
                    <w:tl2br w:val="nil"/>
                    <w:tr2bl w:val="nil"/>
                  </w:tcBorders>
                  <w:vAlign w:val="center"/>
                </w:tcPr>
                <w:p>
                  <w:pPr>
                    <w:topLinePunct/>
                    <w:adjustRightInd w:val="0"/>
                    <w:snapToGrid w:val="0"/>
                    <w:jc w:val="center"/>
                    <w:rPr>
                      <w:color w:val="auto"/>
                      <w:kern w:val="0"/>
                      <w:szCs w:val="21"/>
                      <w:highlight w:val="none"/>
                    </w:rPr>
                  </w:pPr>
                </w:p>
              </w:tc>
              <w:tc>
                <w:tcPr>
                  <w:tcW w:w="1089" w:type="dxa"/>
                  <w:tcBorders>
                    <w:tl2br w:val="nil"/>
                    <w:tr2bl w:val="nil"/>
                  </w:tcBorders>
                  <w:vAlign w:val="center"/>
                </w:tcPr>
                <w:p>
                  <w:pPr>
                    <w:topLinePunct/>
                    <w:adjustRightInd w:val="0"/>
                    <w:snapToGrid w:val="0"/>
                    <w:jc w:val="center"/>
                    <w:rPr>
                      <w:color w:val="auto"/>
                      <w:kern w:val="0"/>
                      <w:szCs w:val="21"/>
                      <w:highlight w:val="none"/>
                    </w:rPr>
                  </w:pPr>
                  <w:r>
                    <w:rPr>
                      <w:bCs/>
                      <w:color w:val="auto"/>
                      <w:szCs w:val="21"/>
                      <w:highlight w:val="none"/>
                    </w:rPr>
                    <w:t>废</w:t>
                  </w:r>
                  <w:r>
                    <w:rPr>
                      <w:rFonts w:hint="eastAsia"/>
                      <w:bCs/>
                      <w:color w:val="auto"/>
                      <w:szCs w:val="21"/>
                      <w:highlight w:val="none"/>
                    </w:rPr>
                    <w:t>液压油、废润滑油</w:t>
                  </w:r>
                </w:p>
              </w:tc>
              <w:tc>
                <w:tcPr>
                  <w:tcW w:w="1130" w:type="dxa"/>
                  <w:tcBorders>
                    <w:tl2br w:val="nil"/>
                    <w:tr2bl w:val="nil"/>
                  </w:tcBorders>
                  <w:vAlign w:val="center"/>
                </w:tcPr>
                <w:p>
                  <w:pPr>
                    <w:topLinePunct/>
                    <w:adjustRightInd w:val="0"/>
                    <w:snapToGrid w:val="0"/>
                    <w:jc w:val="center"/>
                    <w:rPr>
                      <w:color w:val="auto"/>
                      <w:kern w:val="0"/>
                      <w:szCs w:val="21"/>
                      <w:highlight w:val="none"/>
                    </w:rPr>
                  </w:pPr>
                  <w:r>
                    <w:rPr>
                      <w:rFonts w:hint="eastAsia"/>
                      <w:bCs/>
                      <w:color w:val="auto"/>
                      <w:szCs w:val="21"/>
                      <w:highlight w:val="none"/>
                    </w:rPr>
                    <w:t>HW08</w:t>
                  </w:r>
                  <w:r>
                    <w:rPr>
                      <w:bCs/>
                      <w:color w:val="auto"/>
                      <w:szCs w:val="21"/>
                      <w:highlight w:val="none"/>
                    </w:rPr>
                    <w:t>废矿物油与含矿物油废物</w:t>
                  </w:r>
                </w:p>
              </w:tc>
              <w:tc>
                <w:tcPr>
                  <w:tcW w:w="900" w:type="dxa"/>
                  <w:tcBorders>
                    <w:tl2br w:val="nil"/>
                    <w:tr2bl w:val="nil"/>
                  </w:tcBorders>
                  <w:vAlign w:val="center"/>
                </w:tcPr>
                <w:p>
                  <w:pPr>
                    <w:topLinePunct/>
                    <w:adjustRightInd w:val="0"/>
                    <w:snapToGrid w:val="0"/>
                    <w:jc w:val="center"/>
                    <w:rPr>
                      <w:color w:val="auto"/>
                      <w:kern w:val="0"/>
                      <w:szCs w:val="21"/>
                      <w:highlight w:val="none"/>
                    </w:rPr>
                  </w:pPr>
                  <w:r>
                    <w:rPr>
                      <w:color w:val="auto"/>
                      <w:szCs w:val="21"/>
                      <w:highlight w:val="none"/>
                    </w:rPr>
                    <w:t>900-217-08</w:t>
                  </w:r>
                </w:p>
              </w:tc>
              <w:tc>
                <w:tcPr>
                  <w:tcW w:w="780" w:type="dxa"/>
                  <w:vMerge w:val="continue"/>
                  <w:tcBorders>
                    <w:tl2br w:val="nil"/>
                    <w:tr2bl w:val="nil"/>
                  </w:tcBorders>
                  <w:vAlign w:val="center"/>
                </w:tcPr>
                <w:p>
                  <w:pPr>
                    <w:topLinePunct/>
                    <w:adjustRightInd w:val="0"/>
                    <w:snapToGrid w:val="0"/>
                    <w:jc w:val="center"/>
                    <w:rPr>
                      <w:color w:val="auto"/>
                      <w:kern w:val="0"/>
                      <w:szCs w:val="21"/>
                      <w:highlight w:val="none"/>
                    </w:rPr>
                  </w:pPr>
                </w:p>
              </w:tc>
              <w:tc>
                <w:tcPr>
                  <w:tcW w:w="810" w:type="dxa"/>
                  <w:vMerge w:val="continue"/>
                  <w:tcBorders>
                    <w:tl2br w:val="nil"/>
                    <w:tr2bl w:val="nil"/>
                  </w:tcBorders>
                  <w:vAlign w:val="center"/>
                </w:tcPr>
                <w:p>
                  <w:pPr>
                    <w:topLinePunct/>
                    <w:adjustRightInd w:val="0"/>
                    <w:snapToGrid w:val="0"/>
                    <w:jc w:val="center"/>
                    <w:rPr>
                      <w:color w:val="auto"/>
                      <w:kern w:val="0"/>
                      <w:szCs w:val="21"/>
                      <w:highlight w:val="none"/>
                    </w:rPr>
                  </w:pPr>
                </w:p>
              </w:tc>
              <w:tc>
                <w:tcPr>
                  <w:tcW w:w="795" w:type="dxa"/>
                  <w:tcBorders>
                    <w:tl2br w:val="nil"/>
                    <w:tr2bl w:val="nil"/>
                  </w:tcBorders>
                  <w:vAlign w:val="center"/>
                </w:tcPr>
                <w:p>
                  <w:pPr>
                    <w:topLinePunct/>
                    <w:adjustRightInd w:val="0"/>
                    <w:snapToGrid w:val="0"/>
                    <w:jc w:val="center"/>
                    <w:rPr>
                      <w:color w:val="auto"/>
                      <w:kern w:val="0"/>
                      <w:szCs w:val="21"/>
                      <w:highlight w:val="none"/>
                    </w:rPr>
                  </w:pPr>
                  <w:r>
                    <w:rPr>
                      <w:color w:val="auto"/>
                      <w:kern w:val="0"/>
                      <w:szCs w:val="21"/>
                      <w:highlight w:val="none"/>
                    </w:rPr>
                    <w:t>胶桶</w:t>
                  </w:r>
                </w:p>
              </w:tc>
              <w:tc>
                <w:tcPr>
                  <w:tcW w:w="690" w:type="dxa"/>
                  <w:vMerge w:val="continue"/>
                  <w:tcBorders>
                    <w:tl2br w:val="nil"/>
                    <w:tr2bl w:val="nil"/>
                  </w:tcBorders>
                  <w:vAlign w:val="center"/>
                </w:tcPr>
                <w:p>
                  <w:pPr>
                    <w:topLinePunct/>
                    <w:adjustRightInd w:val="0"/>
                    <w:snapToGrid w:val="0"/>
                    <w:jc w:val="center"/>
                    <w:rPr>
                      <w:color w:val="auto"/>
                      <w:kern w:val="0"/>
                      <w:szCs w:val="21"/>
                      <w:highlight w:val="none"/>
                    </w:rPr>
                  </w:pPr>
                </w:p>
              </w:tc>
              <w:tc>
                <w:tcPr>
                  <w:tcW w:w="728" w:type="dxa"/>
                  <w:vMerge w:val="continue"/>
                  <w:tcBorders>
                    <w:tl2br w:val="nil"/>
                    <w:tr2bl w:val="nil"/>
                  </w:tcBorders>
                  <w:vAlign w:val="center"/>
                </w:tcPr>
                <w:p>
                  <w:pPr>
                    <w:topLinePunct/>
                    <w:adjustRightInd w:val="0"/>
                    <w:snapToGrid w:val="0"/>
                    <w:jc w:val="center"/>
                    <w:rPr>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0"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3</w:t>
                  </w:r>
                </w:p>
              </w:tc>
              <w:tc>
                <w:tcPr>
                  <w:tcW w:w="1092" w:type="dxa"/>
                  <w:vMerge w:val="continue"/>
                  <w:tcBorders>
                    <w:tl2br w:val="nil"/>
                    <w:tr2bl w:val="nil"/>
                  </w:tcBorders>
                  <w:vAlign w:val="center"/>
                </w:tcPr>
                <w:p>
                  <w:pPr>
                    <w:topLinePunct/>
                    <w:adjustRightInd w:val="0"/>
                    <w:snapToGrid w:val="0"/>
                    <w:jc w:val="center"/>
                    <w:rPr>
                      <w:color w:val="auto"/>
                      <w:kern w:val="0"/>
                      <w:szCs w:val="21"/>
                      <w:highlight w:val="none"/>
                    </w:rPr>
                  </w:pPr>
                </w:p>
              </w:tc>
              <w:tc>
                <w:tcPr>
                  <w:tcW w:w="1089" w:type="dxa"/>
                  <w:tcBorders>
                    <w:tl2br w:val="nil"/>
                    <w:tr2bl w:val="nil"/>
                  </w:tcBorders>
                  <w:vAlign w:val="center"/>
                </w:tcPr>
                <w:p>
                  <w:pPr>
                    <w:topLinePunct/>
                    <w:adjustRightInd w:val="0"/>
                    <w:snapToGrid w:val="0"/>
                    <w:jc w:val="center"/>
                    <w:rPr>
                      <w:bCs/>
                      <w:color w:val="auto"/>
                      <w:szCs w:val="21"/>
                      <w:highlight w:val="none"/>
                    </w:rPr>
                  </w:pPr>
                  <w:r>
                    <w:rPr>
                      <w:rFonts w:hint="eastAsia"/>
                      <w:color w:val="auto"/>
                      <w:kern w:val="0"/>
                      <w:szCs w:val="21"/>
                      <w:highlight w:val="none"/>
                    </w:rPr>
                    <w:t>废UV灯管</w:t>
                  </w:r>
                </w:p>
              </w:tc>
              <w:tc>
                <w:tcPr>
                  <w:tcW w:w="1130"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HW29含汞废物</w:t>
                  </w:r>
                </w:p>
              </w:tc>
              <w:tc>
                <w:tcPr>
                  <w:tcW w:w="900" w:type="dxa"/>
                  <w:tcBorders>
                    <w:tl2br w:val="nil"/>
                    <w:tr2bl w:val="nil"/>
                  </w:tcBorders>
                  <w:vAlign w:val="center"/>
                </w:tcPr>
                <w:p>
                  <w:pPr>
                    <w:topLinePunct/>
                    <w:adjustRightInd w:val="0"/>
                    <w:snapToGrid w:val="0"/>
                    <w:jc w:val="center"/>
                    <w:rPr>
                      <w:color w:val="auto"/>
                      <w:szCs w:val="21"/>
                      <w:highlight w:val="none"/>
                    </w:rPr>
                  </w:pPr>
                  <w:r>
                    <w:rPr>
                      <w:rFonts w:hint="eastAsia"/>
                      <w:color w:val="auto"/>
                      <w:szCs w:val="21"/>
                      <w:highlight w:val="none"/>
                    </w:rPr>
                    <w:t>900-023-29</w:t>
                  </w:r>
                </w:p>
              </w:tc>
              <w:tc>
                <w:tcPr>
                  <w:tcW w:w="780" w:type="dxa"/>
                  <w:vMerge w:val="continue"/>
                  <w:tcBorders>
                    <w:tl2br w:val="nil"/>
                    <w:tr2bl w:val="nil"/>
                  </w:tcBorders>
                  <w:vAlign w:val="center"/>
                </w:tcPr>
                <w:p>
                  <w:pPr>
                    <w:topLinePunct/>
                    <w:adjustRightInd w:val="0"/>
                    <w:snapToGrid w:val="0"/>
                    <w:jc w:val="center"/>
                    <w:rPr>
                      <w:color w:val="auto"/>
                      <w:kern w:val="0"/>
                      <w:szCs w:val="21"/>
                      <w:highlight w:val="none"/>
                    </w:rPr>
                  </w:pPr>
                </w:p>
              </w:tc>
              <w:tc>
                <w:tcPr>
                  <w:tcW w:w="810" w:type="dxa"/>
                  <w:vMerge w:val="continue"/>
                  <w:tcBorders>
                    <w:tl2br w:val="nil"/>
                    <w:tr2bl w:val="nil"/>
                  </w:tcBorders>
                  <w:vAlign w:val="center"/>
                </w:tcPr>
                <w:p>
                  <w:pPr>
                    <w:topLinePunct/>
                    <w:adjustRightInd w:val="0"/>
                    <w:snapToGrid w:val="0"/>
                    <w:jc w:val="center"/>
                    <w:rPr>
                      <w:color w:val="auto"/>
                      <w:kern w:val="0"/>
                      <w:szCs w:val="21"/>
                      <w:highlight w:val="none"/>
                    </w:rPr>
                  </w:pPr>
                </w:p>
              </w:tc>
              <w:tc>
                <w:tcPr>
                  <w:tcW w:w="795" w:type="dxa"/>
                  <w:tcBorders>
                    <w:tl2br w:val="nil"/>
                    <w:tr2bl w:val="nil"/>
                  </w:tcBorders>
                  <w:vAlign w:val="center"/>
                </w:tcPr>
                <w:p>
                  <w:pPr>
                    <w:topLinePunct/>
                    <w:adjustRightInd w:val="0"/>
                    <w:snapToGrid w:val="0"/>
                    <w:jc w:val="center"/>
                    <w:rPr>
                      <w:color w:val="auto"/>
                      <w:kern w:val="0"/>
                      <w:szCs w:val="21"/>
                      <w:highlight w:val="none"/>
                    </w:rPr>
                  </w:pPr>
                  <w:r>
                    <w:rPr>
                      <w:color w:val="auto"/>
                      <w:kern w:val="0"/>
                      <w:szCs w:val="21"/>
                      <w:highlight w:val="none"/>
                    </w:rPr>
                    <w:t>胶桶</w:t>
                  </w:r>
                </w:p>
              </w:tc>
              <w:tc>
                <w:tcPr>
                  <w:tcW w:w="690" w:type="dxa"/>
                  <w:vMerge w:val="continue"/>
                  <w:tcBorders>
                    <w:tl2br w:val="nil"/>
                    <w:tr2bl w:val="nil"/>
                  </w:tcBorders>
                  <w:vAlign w:val="center"/>
                </w:tcPr>
                <w:p>
                  <w:pPr>
                    <w:topLinePunct/>
                    <w:adjustRightInd w:val="0"/>
                    <w:snapToGrid w:val="0"/>
                    <w:jc w:val="center"/>
                    <w:rPr>
                      <w:color w:val="auto"/>
                      <w:kern w:val="0"/>
                      <w:szCs w:val="21"/>
                      <w:highlight w:val="none"/>
                    </w:rPr>
                  </w:pPr>
                </w:p>
              </w:tc>
              <w:tc>
                <w:tcPr>
                  <w:tcW w:w="728" w:type="dxa"/>
                  <w:vMerge w:val="continue"/>
                  <w:tcBorders>
                    <w:tl2br w:val="nil"/>
                    <w:tr2bl w:val="nil"/>
                  </w:tcBorders>
                  <w:vAlign w:val="center"/>
                </w:tcPr>
                <w:p>
                  <w:pPr>
                    <w:topLinePunct/>
                    <w:adjustRightInd w:val="0"/>
                    <w:snapToGrid w:val="0"/>
                    <w:jc w:val="center"/>
                    <w:rPr>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0"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4</w:t>
                  </w:r>
                </w:p>
              </w:tc>
              <w:tc>
                <w:tcPr>
                  <w:tcW w:w="1092" w:type="dxa"/>
                  <w:vMerge w:val="continue"/>
                  <w:tcBorders>
                    <w:tl2br w:val="nil"/>
                    <w:tr2bl w:val="nil"/>
                  </w:tcBorders>
                  <w:vAlign w:val="center"/>
                </w:tcPr>
                <w:p>
                  <w:pPr>
                    <w:topLinePunct/>
                    <w:adjustRightInd w:val="0"/>
                    <w:snapToGrid w:val="0"/>
                    <w:jc w:val="center"/>
                    <w:rPr>
                      <w:color w:val="auto"/>
                      <w:kern w:val="0"/>
                      <w:szCs w:val="21"/>
                      <w:highlight w:val="none"/>
                    </w:rPr>
                  </w:pPr>
                </w:p>
              </w:tc>
              <w:tc>
                <w:tcPr>
                  <w:tcW w:w="1089" w:type="dxa"/>
                  <w:tcBorders>
                    <w:tl2br w:val="nil"/>
                    <w:tr2bl w:val="nil"/>
                  </w:tcBorders>
                  <w:vAlign w:val="center"/>
                </w:tcPr>
                <w:p>
                  <w:pPr>
                    <w:topLinePunct/>
                    <w:adjustRightInd w:val="0"/>
                    <w:snapToGrid w:val="0"/>
                    <w:jc w:val="center"/>
                    <w:rPr>
                      <w:bCs/>
                      <w:color w:val="auto"/>
                      <w:szCs w:val="21"/>
                      <w:highlight w:val="none"/>
                    </w:rPr>
                  </w:pPr>
                  <w:r>
                    <w:rPr>
                      <w:color w:val="auto"/>
                      <w:kern w:val="0"/>
                      <w:szCs w:val="21"/>
                      <w:highlight w:val="none"/>
                    </w:rPr>
                    <w:t>废活性炭</w:t>
                  </w:r>
                </w:p>
              </w:tc>
              <w:tc>
                <w:tcPr>
                  <w:tcW w:w="1130" w:type="dxa"/>
                  <w:tcBorders>
                    <w:tl2br w:val="nil"/>
                    <w:tr2bl w:val="nil"/>
                  </w:tcBorders>
                  <w:vAlign w:val="center"/>
                </w:tcPr>
                <w:p>
                  <w:pPr>
                    <w:topLinePunct/>
                    <w:adjustRightInd w:val="0"/>
                    <w:snapToGrid w:val="0"/>
                    <w:jc w:val="center"/>
                    <w:rPr>
                      <w:color w:val="auto"/>
                      <w:kern w:val="0"/>
                      <w:szCs w:val="21"/>
                      <w:highlight w:val="none"/>
                    </w:rPr>
                  </w:pPr>
                  <w:r>
                    <w:rPr>
                      <w:rFonts w:hint="eastAsia"/>
                      <w:color w:val="auto"/>
                      <w:kern w:val="0"/>
                      <w:szCs w:val="21"/>
                      <w:highlight w:val="none"/>
                    </w:rPr>
                    <w:t>HW49</w:t>
                  </w:r>
                  <w:r>
                    <w:rPr>
                      <w:color w:val="auto"/>
                      <w:kern w:val="0"/>
                      <w:szCs w:val="21"/>
                      <w:highlight w:val="none"/>
                    </w:rPr>
                    <w:t>其它废物</w:t>
                  </w:r>
                </w:p>
              </w:tc>
              <w:tc>
                <w:tcPr>
                  <w:tcW w:w="900" w:type="dxa"/>
                  <w:tcBorders>
                    <w:tl2br w:val="nil"/>
                    <w:tr2bl w:val="nil"/>
                  </w:tcBorders>
                  <w:vAlign w:val="center"/>
                </w:tcPr>
                <w:p>
                  <w:pPr>
                    <w:topLinePunct/>
                    <w:adjustRightInd w:val="0"/>
                    <w:snapToGrid w:val="0"/>
                    <w:jc w:val="center"/>
                    <w:rPr>
                      <w:color w:val="auto"/>
                      <w:szCs w:val="21"/>
                      <w:highlight w:val="none"/>
                    </w:rPr>
                  </w:pPr>
                  <w:r>
                    <w:rPr>
                      <w:color w:val="auto"/>
                      <w:szCs w:val="21"/>
                      <w:highlight w:val="none"/>
                    </w:rPr>
                    <w:t>900-041-49</w:t>
                  </w:r>
                </w:p>
              </w:tc>
              <w:tc>
                <w:tcPr>
                  <w:tcW w:w="780" w:type="dxa"/>
                  <w:vMerge w:val="continue"/>
                  <w:tcBorders>
                    <w:tl2br w:val="nil"/>
                    <w:tr2bl w:val="nil"/>
                  </w:tcBorders>
                  <w:vAlign w:val="center"/>
                </w:tcPr>
                <w:p>
                  <w:pPr>
                    <w:topLinePunct/>
                    <w:adjustRightInd w:val="0"/>
                    <w:snapToGrid w:val="0"/>
                    <w:jc w:val="center"/>
                    <w:rPr>
                      <w:color w:val="auto"/>
                      <w:kern w:val="0"/>
                      <w:szCs w:val="21"/>
                      <w:highlight w:val="none"/>
                    </w:rPr>
                  </w:pPr>
                </w:p>
              </w:tc>
              <w:tc>
                <w:tcPr>
                  <w:tcW w:w="810" w:type="dxa"/>
                  <w:vMerge w:val="continue"/>
                  <w:tcBorders>
                    <w:tl2br w:val="nil"/>
                    <w:tr2bl w:val="nil"/>
                  </w:tcBorders>
                  <w:vAlign w:val="center"/>
                </w:tcPr>
                <w:p>
                  <w:pPr>
                    <w:topLinePunct/>
                    <w:adjustRightInd w:val="0"/>
                    <w:snapToGrid w:val="0"/>
                    <w:jc w:val="center"/>
                    <w:rPr>
                      <w:color w:val="auto"/>
                      <w:kern w:val="0"/>
                      <w:szCs w:val="21"/>
                      <w:highlight w:val="none"/>
                    </w:rPr>
                  </w:pPr>
                </w:p>
              </w:tc>
              <w:tc>
                <w:tcPr>
                  <w:tcW w:w="795" w:type="dxa"/>
                  <w:tcBorders>
                    <w:tl2br w:val="nil"/>
                    <w:tr2bl w:val="nil"/>
                  </w:tcBorders>
                  <w:vAlign w:val="center"/>
                </w:tcPr>
                <w:p>
                  <w:pPr>
                    <w:topLinePunct/>
                    <w:adjustRightInd w:val="0"/>
                    <w:snapToGrid w:val="0"/>
                    <w:jc w:val="center"/>
                    <w:rPr>
                      <w:color w:val="auto"/>
                      <w:kern w:val="0"/>
                      <w:szCs w:val="21"/>
                      <w:highlight w:val="none"/>
                    </w:rPr>
                  </w:pPr>
                  <w:r>
                    <w:rPr>
                      <w:color w:val="auto"/>
                      <w:kern w:val="0"/>
                      <w:szCs w:val="21"/>
                      <w:highlight w:val="none"/>
                    </w:rPr>
                    <w:t>胶桶</w:t>
                  </w:r>
                </w:p>
              </w:tc>
              <w:tc>
                <w:tcPr>
                  <w:tcW w:w="690" w:type="dxa"/>
                  <w:vMerge w:val="continue"/>
                  <w:tcBorders>
                    <w:tl2br w:val="nil"/>
                    <w:tr2bl w:val="nil"/>
                  </w:tcBorders>
                  <w:vAlign w:val="center"/>
                </w:tcPr>
                <w:p>
                  <w:pPr>
                    <w:topLinePunct/>
                    <w:adjustRightInd w:val="0"/>
                    <w:snapToGrid w:val="0"/>
                    <w:jc w:val="center"/>
                    <w:rPr>
                      <w:color w:val="auto"/>
                      <w:kern w:val="0"/>
                      <w:szCs w:val="21"/>
                      <w:highlight w:val="none"/>
                    </w:rPr>
                  </w:pPr>
                </w:p>
              </w:tc>
              <w:tc>
                <w:tcPr>
                  <w:tcW w:w="728" w:type="dxa"/>
                  <w:vMerge w:val="continue"/>
                  <w:tcBorders>
                    <w:tl2br w:val="nil"/>
                    <w:tr2bl w:val="nil"/>
                  </w:tcBorders>
                  <w:vAlign w:val="center"/>
                </w:tcPr>
                <w:p>
                  <w:pPr>
                    <w:topLinePunct/>
                    <w:adjustRightInd w:val="0"/>
                    <w:snapToGrid w:val="0"/>
                    <w:jc w:val="center"/>
                    <w:rPr>
                      <w:color w:val="auto"/>
                      <w:kern w:val="0"/>
                      <w:szCs w:val="21"/>
                      <w:highlight w:val="none"/>
                    </w:rPr>
                  </w:pPr>
                </w:p>
              </w:tc>
            </w:tr>
          </w:tbl>
          <w:p>
            <w:pPr>
              <w:spacing w:line="360" w:lineRule="auto"/>
              <w:ind w:firstLine="480" w:firstLineChars="200"/>
              <w:rPr>
                <w:color w:val="auto"/>
                <w:sz w:val="24"/>
                <w:highlight w:val="none"/>
              </w:rPr>
            </w:pPr>
            <w:r>
              <w:rPr>
                <w:color w:val="auto"/>
                <w:sz w:val="24"/>
                <w:highlight w:val="none"/>
              </w:rPr>
              <w:t>经上述措施治理后，项目产生的固体废物对周边环境的影响不大。</w:t>
            </w:r>
          </w:p>
          <w:p>
            <w:pPr>
              <w:spacing w:line="360" w:lineRule="auto"/>
              <w:ind w:firstLine="482" w:firstLineChars="200"/>
              <w:rPr>
                <w:rFonts w:eastAsiaTheme="minorEastAsia"/>
                <w:b/>
                <w:bCs/>
                <w:color w:val="auto"/>
                <w:sz w:val="24"/>
                <w:highlight w:val="none"/>
              </w:rPr>
            </w:pPr>
            <w:r>
              <w:rPr>
                <w:rFonts w:eastAsiaTheme="minorEastAsia"/>
                <w:b/>
                <w:bCs/>
                <w:color w:val="auto"/>
                <w:sz w:val="24"/>
                <w:highlight w:val="none"/>
              </w:rPr>
              <w:t>五、环境风险评价</w:t>
            </w:r>
          </w:p>
          <w:p>
            <w:pPr>
              <w:spacing w:line="360" w:lineRule="auto"/>
              <w:ind w:firstLine="480" w:firstLineChars="200"/>
              <w:rPr>
                <w:rFonts w:eastAsiaTheme="minorEastAsia"/>
                <w:color w:val="auto"/>
                <w:sz w:val="24"/>
                <w:highlight w:val="none"/>
              </w:rPr>
            </w:pPr>
            <w:r>
              <w:rPr>
                <w:rFonts w:eastAsiaTheme="minorEastAsia"/>
                <w:color w:val="auto"/>
                <w:sz w:val="24"/>
                <w:highlight w:val="none"/>
              </w:rPr>
              <w:t>环境风险评价的目的是分析和预测建设项目存在的潜在危险、有害因素，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pPr>
              <w:spacing w:line="360" w:lineRule="auto"/>
              <w:ind w:firstLine="480" w:firstLineChars="200"/>
              <w:rPr>
                <w:color w:val="auto"/>
                <w:kern w:val="0"/>
                <w:sz w:val="24"/>
                <w:highlight w:val="none"/>
              </w:rPr>
            </w:pPr>
            <w:bookmarkStart w:id="24" w:name="_Toc419969485"/>
            <w:bookmarkStart w:id="25" w:name="_Toc20313"/>
            <w:bookmarkStart w:id="26" w:name="_Toc1698"/>
            <w:bookmarkStart w:id="27" w:name="_Toc28577"/>
            <w:bookmarkStart w:id="28" w:name="_Toc32585"/>
            <w:bookmarkStart w:id="29" w:name="_Toc2791"/>
            <w:bookmarkStart w:id="30" w:name="_Toc21432"/>
            <w:bookmarkStart w:id="31" w:name="_Toc4390"/>
            <w:bookmarkStart w:id="32" w:name="_Toc30266"/>
            <w:bookmarkStart w:id="33" w:name="_Toc5681"/>
            <w:bookmarkStart w:id="34" w:name="_Toc28157"/>
            <w:bookmarkStart w:id="35" w:name="_Toc26501"/>
            <w:bookmarkStart w:id="36" w:name="_Toc909"/>
            <w:bookmarkStart w:id="37" w:name="_Toc1185"/>
            <w:r>
              <w:rPr>
                <w:rFonts w:hint="eastAsia"/>
                <w:color w:val="auto"/>
                <w:kern w:val="0"/>
                <w:sz w:val="24"/>
                <w:highlight w:val="none"/>
              </w:rPr>
              <w:t>（一）评价工作等级</w:t>
            </w:r>
            <w:bookmarkEnd w:id="24"/>
            <w:bookmarkEnd w:id="25"/>
            <w:bookmarkEnd w:id="26"/>
            <w:bookmarkEnd w:id="27"/>
            <w:bookmarkEnd w:id="28"/>
            <w:bookmarkEnd w:id="29"/>
            <w:bookmarkEnd w:id="30"/>
            <w:bookmarkEnd w:id="31"/>
            <w:bookmarkEnd w:id="32"/>
            <w:bookmarkEnd w:id="33"/>
            <w:bookmarkEnd w:id="34"/>
            <w:bookmarkEnd w:id="35"/>
            <w:bookmarkEnd w:id="36"/>
            <w:bookmarkEnd w:id="37"/>
            <w:r>
              <w:rPr>
                <w:rFonts w:hint="eastAsia"/>
                <w:color w:val="auto"/>
                <w:kern w:val="0"/>
                <w:sz w:val="24"/>
                <w:highlight w:val="none"/>
              </w:rPr>
              <w:t xml:space="preserve"> </w:t>
            </w:r>
          </w:p>
          <w:p>
            <w:pPr>
              <w:spacing w:line="360" w:lineRule="auto"/>
              <w:ind w:firstLine="480" w:firstLineChars="200"/>
              <w:rPr>
                <w:color w:val="auto"/>
                <w:kern w:val="0"/>
                <w:sz w:val="24"/>
                <w:highlight w:val="none"/>
              </w:rPr>
            </w:pPr>
            <w:r>
              <w:rPr>
                <w:rFonts w:hint="eastAsia"/>
                <w:color w:val="auto"/>
                <w:kern w:val="0"/>
                <w:sz w:val="24"/>
                <w:highlight w:val="none"/>
              </w:rPr>
              <w:t xml:space="preserve">1、划分依据 </w:t>
            </w:r>
          </w:p>
          <w:p>
            <w:pPr>
              <w:spacing w:line="360" w:lineRule="auto"/>
              <w:ind w:firstLine="480" w:firstLineChars="200"/>
              <w:rPr>
                <w:color w:val="auto"/>
                <w:sz w:val="24"/>
                <w:highlight w:val="none"/>
              </w:rPr>
            </w:pPr>
            <w:r>
              <w:rPr>
                <w:rFonts w:hint="eastAsia"/>
                <w:color w:val="auto"/>
                <w:kern w:val="0"/>
                <w:sz w:val="24"/>
                <w:highlight w:val="none"/>
              </w:rPr>
              <w:t>根据建设项目涉及的</w:t>
            </w:r>
            <w:r>
              <w:rPr>
                <w:rFonts w:hint="eastAsia"/>
                <w:color w:val="auto"/>
                <w:sz w:val="24"/>
                <w:highlight w:val="none"/>
              </w:rPr>
              <w:t>物质及工艺系统危险性和所在地的环境敏感性确定环境风险潜势，按照下表确定工作等级。风险潜势为</w:t>
            </w:r>
            <w:r>
              <w:rPr>
                <w:rFonts w:hint="eastAsia" w:ascii="宋体" w:hAnsi="宋体" w:cs="宋体"/>
                <w:color w:val="auto"/>
                <w:sz w:val="24"/>
                <w:highlight w:val="none"/>
              </w:rPr>
              <w:t>Ⅳ</w:t>
            </w:r>
            <w:r>
              <w:rPr>
                <w:rFonts w:hint="eastAsia"/>
                <w:color w:val="auto"/>
                <w:sz w:val="24"/>
                <w:highlight w:val="none"/>
              </w:rPr>
              <w:t>及以上，进行一级评级；风险潜势为</w:t>
            </w:r>
            <w:r>
              <w:rPr>
                <w:rFonts w:hint="eastAsia" w:ascii="宋体" w:hAnsi="宋体" w:cs="宋体"/>
                <w:color w:val="auto"/>
                <w:sz w:val="24"/>
                <w:highlight w:val="none"/>
              </w:rPr>
              <w:t>Ⅲ</w:t>
            </w:r>
            <w:r>
              <w:rPr>
                <w:rFonts w:hint="eastAsia"/>
                <w:color w:val="auto"/>
                <w:sz w:val="24"/>
                <w:highlight w:val="none"/>
              </w:rPr>
              <w:t>，进行二级评价；风险潜势为</w:t>
            </w:r>
            <w:r>
              <w:rPr>
                <w:rFonts w:hint="eastAsia" w:ascii="微软雅黑" w:hAnsi="微软雅黑" w:eastAsia="微软雅黑" w:cs="微软雅黑"/>
                <w:color w:val="auto"/>
                <w:sz w:val="24"/>
                <w:highlight w:val="none"/>
              </w:rPr>
              <w:t>Ⅱ</w:t>
            </w:r>
            <w:r>
              <w:rPr>
                <w:rFonts w:hint="eastAsia"/>
                <w:color w:val="auto"/>
                <w:sz w:val="24"/>
                <w:highlight w:val="none"/>
              </w:rPr>
              <w:t>，进行三级评价；风险潜势为</w:t>
            </w:r>
            <w:r>
              <w:rPr>
                <w:rFonts w:hint="eastAsia" w:ascii="微软雅黑" w:hAnsi="微软雅黑" w:eastAsia="微软雅黑" w:cs="微软雅黑"/>
                <w:color w:val="auto"/>
                <w:sz w:val="24"/>
                <w:highlight w:val="none"/>
              </w:rPr>
              <w:t>Ⅰ</w:t>
            </w:r>
            <w:r>
              <w:rPr>
                <w:rFonts w:hint="eastAsia"/>
                <w:color w:val="auto"/>
                <w:sz w:val="24"/>
                <w:highlight w:val="none"/>
              </w:rPr>
              <w:t>，可开展简单分析。</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hint="eastAsia" w:eastAsia="宋体" w:cs="Times New Roman"/>
                <w:b/>
                <w:color w:val="auto"/>
                <w:sz w:val="21"/>
                <w:szCs w:val="21"/>
                <w:highlight w:val="none"/>
              </w:rPr>
              <w:t>评价工作等级划分</w:t>
            </w:r>
          </w:p>
          <w:tbl>
            <w:tblPr>
              <w:tblStyle w:val="41"/>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0"/>
              <w:gridCol w:w="1701"/>
              <w:gridCol w:w="1701"/>
              <w:gridCol w:w="1701"/>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700" w:type="dxa"/>
                  <w:tcBorders>
                    <w:tl2br w:val="nil"/>
                    <w:tr2bl w:val="nil"/>
                  </w:tcBorders>
                  <w:vAlign w:val="center"/>
                </w:tcPr>
                <w:p>
                  <w:pPr>
                    <w:autoSpaceDE w:val="0"/>
                    <w:autoSpaceDN w:val="0"/>
                    <w:jc w:val="center"/>
                    <w:rPr>
                      <w:color w:val="auto"/>
                      <w:szCs w:val="21"/>
                      <w:highlight w:val="none"/>
                    </w:rPr>
                  </w:pPr>
                  <w:r>
                    <w:rPr>
                      <w:color w:val="auto"/>
                      <w:szCs w:val="21"/>
                      <w:highlight w:val="none"/>
                    </w:rPr>
                    <w:t>环境风险潜势</w:t>
                  </w:r>
                </w:p>
              </w:tc>
              <w:tc>
                <w:tcPr>
                  <w:tcW w:w="1701" w:type="dxa"/>
                  <w:tcBorders>
                    <w:tl2br w:val="nil"/>
                    <w:tr2bl w:val="nil"/>
                  </w:tcBorders>
                  <w:vAlign w:val="center"/>
                </w:tcPr>
                <w:p>
                  <w:pPr>
                    <w:autoSpaceDE w:val="0"/>
                    <w:autoSpaceDN w:val="0"/>
                    <w:jc w:val="center"/>
                    <w:rPr>
                      <w:color w:val="auto"/>
                      <w:szCs w:val="21"/>
                      <w:highlight w:val="none"/>
                    </w:rPr>
                  </w:pPr>
                  <w:r>
                    <w:rPr>
                      <w:color w:val="auto"/>
                      <w:szCs w:val="21"/>
                      <w:highlight w:val="none"/>
                    </w:rPr>
                    <w:t>Ⅳ、Ⅳ</w:t>
                  </w:r>
                  <w:r>
                    <w:rPr>
                      <w:color w:val="auto"/>
                      <w:szCs w:val="21"/>
                      <w:highlight w:val="none"/>
                      <w:vertAlign w:val="superscript"/>
                    </w:rPr>
                    <w:t>+</w:t>
                  </w:r>
                </w:p>
              </w:tc>
              <w:tc>
                <w:tcPr>
                  <w:tcW w:w="1701" w:type="dxa"/>
                  <w:tcBorders>
                    <w:tl2br w:val="nil"/>
                    <w:tr2bl w:val="nil"/>
                  </w:tcBorders>
                  <w:vAlign w:val="center"/>
                </w:tcPr>
                <w:p>
                  <w:pPr>
                    <w:autoSpaceDE w:val="0"/>
                    <w:autoSpaceDN w:val="0"/>
                    <w:jc w:val="center"/>
                    <w:rPr>
                      <w:color w:val="auto"/>
                      <w:szCs w:val="21"/>
                      <w:highlight w:val="none"/>
                    </w:rPr>
                  </w:pPr>
                  <w:r>
                    <w:rPr>
                      <w:color w:val="auto"/>
                      <w:szCs w:val="21"/>
                      <w:highlight w:val="none"/>
                    </w:rPr>
                    <w:t>Ⅲ</w:t>
                  </w:r>
                </w:p>
              </w:tc>
              <w:tc>
                <w:tcPr>
                  <w:tcW w:w="1701" w:type="dxa"/>
                  <w:tcBorders>
                    <w:tl2br w:val="nil"/>
                    <w:tr2bl w:val="nil"/>
                  </w:tcBorders>
                  <w:vAlign w:val="center"/>
                </w:tcPr>
                <w:p>
                  <w:pPr>
                    <w:autoSpaceDE w:val="0"/>
                    <w:autoSpaceDN w:val="0"/>
                    <w:jc w:val="center"/>
                    <w:rPr>
                      <w:color w:val="auto"/>
                      <w:szCs w:val="21"/>
                      <w:highlight w:val="none"/>
                    </w:rPr>
                  </w:pPr>
                  <w:r>
                    <w:rPr>
                      <w:rFonts w:eastAsia="微软雅黑"/>
                      <w:color w:val="auto"/>
                      <w:szCs w:val="21"/>
                      <w:highlight w:val="none"/>
                    </w:rPr>
                    <w:t>Ⅱ</w:t>
                  </w:r>
                </w:p>
              </w:tc>
              <w:tc>
                <w:tcPr>
                  <w:tcW w:w="1701" w:type="dxa"/>
                  <w:tcBorders>
                    <w:tl2br w:val="nil"/>
                    <w:tr2bl w:val="nil"/>
                  </w:tcBorders>
                  <w:vAlign w:val="center"/>
                </w:tcPr>
                <w:p>
                  <w:pPr>
                    <w:autoSpaceDE w:val="0"/>
                    <w:autoSpaceDN w:val="0"/>
                    <w:jc w:val="center"/>
                    <w:rPr>
                      <w:color w:val="auto"/>
                      <w:szCs w:val="21"/>
                      <w:highlight w:val="none"/>
                    </w:rPr>
                  </w:pPr>
                  <w:r>
                    <w:rPr>
                      <w:rFonts w:eastAsia="微软雅黑"/>
                      <w:color w:val="auto"/>
                      <w:szCs w:val="21"/>
                      <w:highlight w:val="none"/>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700" w:type="dxa"/>
                  <w:tcBorders>
                    <w:tl2br w:val="nil"/>
                    <w:tr2bl w:val="nil"/>
                  </w:tcBorders>
                  <w:vAlign w:val="center"/>
                </w:tcPr>
                <w:p>
                  <w:pPr>
                    <w:autoSpaceDE w:val="0"/>
                    <w:autoSpaceDN w:val="0"/>
                    <w:jc w:val="center"/>
                    <w:rPr>
                      <w:color w:val="auto"/>
                      <w:szCs w:val="21"/>
                      <w:highlight w:val="none"/>
                    </w:rPr>
                  </w:pPr>
                  <w:r>
                    <w:rPr>
                      <w:rFonts w:hint="eastAsia"/>
                      <w:color w:val="auto"/>
                      <w:szCs w:val="21"/>
                      <w:highlight w:val="none"/>
                    </w:rPr>
                    <w:t>评价工作等级</w:t>
                  </w:r>
                </w:p>
              </w:tc>
              <w:tc>
                <w:tcPr>
                  <w:tcW w:w="1701" w:type="dxa"/>
                  <w:tcBorders>
                    <w:tl2br w:val="nil"/>
                    <w:tr2bl w:val="nil"/>
                  </w:tcBorders>
                  <w:vAlign w:val="center"/>
                </w:tcPr>
                <w:p>
                  <w:pPr>
                    <w:autoSpaceDE w:val="0"/>
                    <w:autoSpaceDN w:val="0"/>
                    <w:jc w:val="center"/>
                    <w:rPr>
                      <w:color w:val="auto"/>
                      <w:szCs w:val="21"/>
                      <w:highlight w:val="none"/>
                    </w:rPr>
                  </w:pPr>
                  <w:r>
                    <w:rPr>
                      <w:rFonts w:hint="eastAsia"/>
                      <w:color w:val="auto"/>
                      <w:szCs w:val="21"/>
                      <w:highlight w:val="none"/>
                    </w:rPr>
                    <w:t>一</w:t>
                  </w:r>
                </w:p>
              </w:tc>
              <w:tc>
                <w:tcPr>
                  <w:tcW w:w="1701" w:type="dxa"/>
                  <w:tcBorders>
                    <w:tl2br w:val="nil"/>
                    <w:tr2bl w:val="nil"/>
                  </w:tcBorders>
                  <w:vAlign w:val="center"/>
                </w:tcPr>
                <w:p>
                  <w:pPr>
                    <w:autoSpaceDE w:val="0"/>
                    <w:autoSpaceDN w:val="0"/>
                    <w:jc w:val="center"/>
                    <w:rPr>
                      <w:color w:val="auto"/>
                      <w:szCs w:val="21"/>
                      <w:highlight w:val="none"/>
                    </w:rPr>
                  </w:pPr>
                  <w:r>
                    <w:rPr>
                      <w:rFonts w:hint="eastAsia"/>
                      <w:color w:val="auto"/>
                      <w:szCs w:val="21"/>
                      <w:highlight w:val="none"/>
                    </w:rPr>
                    <w:t>二</w:t>
                  </w:r>
                </w:p>
              </w:tc>
              <w:tc>
                <w:tcPr>
                  <w:tcW w:w="1701" w:type="dxa"/>
                  <w:tcBorders>
                    <w:tl2br w:val="nil"/>
                    <w:tr2bl w:val="nil"/>
                  </w:tcBorders>
                  <w:vAlign w:val="center"/>
                </w:tcPr>
                <w:p>
                  <w:pPr>
                    <w:autoSpaceDE w:val="0"/>
                    <w:autoSpaceDN w:val="0"/>
                    <w:jc w:val="center"/>
                    <w:rPr>
                      <w:color w:val="auto"/>
                      <w:szCs w:val="21"/>
                      <w:highlight w:val="none"/>
                    </w:rPr>
                  </w:pPr>
                  <w:r>
                    <w:rPr>
                      <w:rFonts w:hint="eastAsia"/>
                      <w:color w:val="auto"/>
                      <w:szCs w:val="21"/>
                      <w:highlight w:val="none"/>
                    </w:rPr>
                    <w:t>三</w:t>
                  </w:r>
                </w:p>
              </w:tc>
              <w:tc>
                <w:tcPr>
                  <w:tcW w:w="1701" w:type="dxa"/>
                  <w:tcBorders>
                    <w:tl2br w:val="nil"/>
                    <w:tr2bl w:val="nil"/>
                  </w:tcBorders>
                  <w:vAlign w:val="center"/>
                </w:tcPr>
                <w:p>
                  <w:pPr>
                    <w:autoSpaceDE w:val="0"/>
                    <w:autoSpaceDN w:val="0"/>
                    <w:jc w:val="center"/>
                    <w:rPr>
                      <w:color w:val="auto"/>
                      <w:szCs w:val="21"/>
                      <w:highlight w:val="none"/>
                    </w:rPr>
                  </w:pPr>
                  <w:r>
                    <w:rPr>
                      <w:rFonts w:hint="eastAsia"/>
                      <w:color w:val="auto"/>
                      <w:szCs w:val="21"/>
                      <w:highlight w:val="none"/>
                    </w:rPr>
                    <w:t>简单分析</w:t>
                  </w:r>
                </w:p>
              </w:tc>
            </w:tr>
          </w:tbl>
          <w:p>
            <w:pPr>
              <w:autoSpaceDE w:val="0"/>
              <w:autoSpaceDN w:val="0"/>
              <w:spacing w:line="360" w:lineRule="auto"/>
              <w:ind w:firstLine="480" w:firstLineChars="200"/>
              <w:rPr>
                <w:color w:val="auto"/>
                <w:sz w:val="24"/>
                <w:highlight w:val="none"/>
              </w:rPr>
            </w:pPr>
            <w:r>
              <w:rPr>
                <w:rFonts w:hint="eastAsia"/>
                <w:color w:val="auto"/>
                <w:sz w:val="24"/>
                <w:highlight w:val="none"/>
              </w:rPr>
              <w:t>（二）环境风险潜势初判</w:t>
            </w:r>
          </w:p>
          <w:p>
            <w:pPr>
              <w:autoSpaceDE w:val="0"/>
              <w:autoSpaceDN w:val="0"/>
              <w:spacing w:line="360" w:lineRule="auto"/>
              <w:ind w:firstLine="480" w:firstLineChars="200"/>
              <w:rPr>
                <w:color w:val="auto"/>
                <w:sz w:val="24"/>
                <w:highlight w:val="none"/>
              </w:rPr>
            </w:pPr>
            <w:r>
              <w:rPr>
                <w:rFonts w:hint="eastAsia"/>
                <w:color w:val="auto"/>
                <w:sz w:val="24"/>
                <w:highlight w:val="none"/>
              </w:rPr>
              <w:t>1、环境风险潜势划分</w:t>
            </w:r>
          </w:p>
          <w:p>
            <w:pPr>
              <w:autoSpaceDE w:val="0"/>
              <w:autoSpaceDN w:val="0"/>
              <w:spacing w:line="360" w:lineRule="auto"/>
              <w:ind w:firstLine="480" w:firstLineChars="200"/>
              <w:rPr>
                <w:color w:val="auto"/>
                <w:highlight w:val="none"/>
              </w:rPr>
            </w:pPr>
            <w:r>
              <w:rPr>
                <w:rFonts w:hint="eastAsia"/>
                <w:color w:val="auto"/>
                <w:sz w:val="24"/>
                <w:highlight w:val="none"/>
              </w:rPr>
              <w:t>根据建设项目涉及的物质和工艺系统的危险性及其所在地的环境敏感程度，结合事故情形下环境影响途径，对建设项目潜在环境危害程度进行概化分析，按照下表确定环境风险潜势。</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建设项目环境风险潜势划分</w:t>
            </w:r>
          </w:p>
          <w:tbl>
            <w:tblPr>
              <w:tblStyle w:val="41"/>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0"/>
              <w:gridCol w:w="1701"/>
              <w:gridCol w:w="1701"/>
              <w:gridCol w:w="1701"/>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0" w:type="dxa"/>
                  <w:vMerge w:val="restart"/>
                  <w:tcBorders>
                    <w:tl2br w:val="nil"/>
                    <w:tr2bl w:val="nil"/>
                  </w:tcBorders>
                  <w:vAlign w:val="center"/>
                </w:tcPr>
                <w:p>
                  <w:pPr>
                    <w:autoSpaceDE w:val="0"/>
                    <w:autoSpaceDN w:val="0"/>
                    <w:jc w:val="center"/>
                    <w:rPr>
                      <w:b/>
                      <w:bCs/>
                      <w:color w:val="auto"/>
                      <w:szCs w:val="21"/>
                      <w:highlight w:val="none"/>
                    </w:rPr>
                  </w:pPr>
                  <w:r>
                    <w:rPr>
                      <w:b/>
                      <w:bCs/>
                      <w:color w:val="auto"/>
                      <w:szCs w:val="21"/>
                      <w:highlight w:val="none"/>
                    </w:rPr>
                    <w:t>环境敏感程度（E）</w:t>
                  </w:r>
                </w:p>
              </w:tc>
              <w:tc>
                <w:tcPr>
                  <w:tcW w:w="6804" w:type="dxa"/>
                  <w:gridSpan w:val="4"/>
                  <w:tcBorders>
                    <w:tl2br w:val="nil"/>
                    <w:tr2bl w:val="nil"/>
                  </w:tcBorders>
                  <w:vAlign w:val="center"/>
                </w:tcPr>
                <w:p>
                  <w:pPr>
                    <w:autoSpaceDE w:val="0"/>
                    <w:autoSpaceDN w:val="0"/>
                    <w:jc w:val="center"/>
                    <w:rPr>
                      <w:b/>
                      <w:bCs/>
                      <w:color w:val="auto"/>
                      <w:szCs w:val="21"/>
                      <w:highlight w:val="none"/>
                    </w:rPr>
                  </w:pPr>
                  <w:r>
                    <w:rPr>
                      <w:b/>
                      <w:bCs/>
                      <w:color w:val="auto"/>
                      <w:szCs w:val="21"/>
                      <w:highlight w:val="none"/>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0" w:type="dxa"/>
                  <w:vMerge w:val="continue"/>
                  <w:tcBorders>
                    <w:tl2br w:val="nil"/>
                    <w:tr2bl w:val="nil"/>
                  </w:tcBorders>
                  <w:vAlign w:val="center"/>
                </w:tcPr>
                <w:p>
                  <w:pPr>
                    <w:autoSpaceDE w:val="0"/>
                    <w:autoSpaceDN w:val="0"/>
                    <w:jc w:val="center"/>
                    <w:rPr>
                      <w:b/>
                      <w:bCs/>
                      <w:color w:val="auto"/>
                      <w:szCs w:val="21"/>
                      <w:highlight w:val="none"/>
                    </w:rPr>
                  </w:pPr>
                </w:p>
              </w:tc>
              <w:tc>
                <w:tcPr>
                  <w:tcW w:w="1701" w:type="dxa"/>
                  <w:tcBorders>
                    <w:tl2br w:val="nil"/>
                    <w:tr2bl w:val="nil"/>
                  </w:tcBorders>
                  <w:vAlign w:val="center"/>
                </w:tcPr>
                <w:p>
                  <w:pPr>
                    <w:autoSpaceDE w:val="0"/>
                    <w:autoSpaceDN w:val="0"/>
                    <w:jc w:val="center"/>
                    <w:rPr>
                      <w:b/>
                      <w:bCs/>
                      <w:color w:val="auto"/>
                      <w:szCs w:val="21"/>
                      <w:highlight w:val="none"/>
                    </w:rPr>
                  </w:pPr>
                  <w:r>
                    <w:rPr>
                      <w:b/>
                      <w:bCs/>
                      <w:color w:val="auto"/>
                      <w:szCs w:val="21"/>
                      <w:highlight w:val="none"/>
                    </w:rPr>
                    <w:t>极高危害（P1）</w:t>
                  </w:r>
                </w:p>
              </w:tc>
              <w:tc>
                <w:tcPr>
                  <w:tcW w:w="1701" w:type="dxa"/>
                  <w:tcBorders>
                    <w:tl2br w:val="nil"/>
                    <w:tr2bl w:val="nil"/>
                  </w:tcBorders>
                  <w:vAlign w:val="center"/>
                </w:tcPr>
                <w:p>
                  <w:pPr>
                    <w:autoSpaceDE w:val="0"/>
                    <w:autoSpaceDN w:val="0"/>
                    <w:jc w:val="center"/>
                    <w:rPr>
                      <w:b/>
                      <w:bCs/>
                      <w:color w:val="auto"/>
                      <w:szCs w:val="21"/>
                      <w:highlight w:val="none"/>
                    </w:rPr>
                  </w:pPr>
                  <w:r>
                    <w:rPr>
                      <w:b/>
                      <w:bCs/>
                      <w:color w:val="auto"/>
                      <w:szCs w:val="21"/>
                      <w:highlight w:val="none"/>
                    </w:rPr>
                    <w:t>高度危害（P2）</w:t>
                  </w:r>
                </w:p>
              </w:tc>
              <w:tc>
                <w:tcPr>
                  <w:tcW w:w="1701" w:type="dxa"/>
                  <w:tcBorders>
                    <w:tl2br w:val="nil"/>
                    <w:tr2bl w:val="nil"/>
                  </w:tcBorders>
                  <w:vAlign w:val="center"/>
                </w:tcPr>
                <w:p>
                  <w:pPr>
                    <w:autoSpaceDE w:val="0"/>
                    <w:autoSpaceDN w:val="0"/>
                    <w:jc w:val="center"/>
                    <w:rPr>
                      <w:b/>
                      <w:bCs/>
                      <w:color w:val="auto"/>
                      <w:szCs w:val="21"/>
                      <w:highlight w:val="none"/>
                    </w:rPr>
                  </w:pPr>
                  <w:r>
                    <w:rPr>
                      <w:b/>
                      <w:bCs/>
                      <w:color w:val="auto"/>
                      <w:szCs w:val="21"/>
                      <w:highlight w:val="none"/>
                    </w:rPr>
                    <w:t>中度危害（P3）</w:t>
                  </w:r>
                </w:p>
              </w:tc>
              <w:tc>
                <w:tcPr>
                  <w:tcW w:w="1701" w:type="dxa"/>
                  <w:tcBorders>
                    <w:tl2br w:val="nil"/>
                    <w:tr2bl w:val="nil"/>
                  </w:tcBorders>
                  <w:vAlign w:val="center"/>
                </w:tcPr>
                <w:p>
                  <w:pPr>
                    <w:autoSpaceDE w:val="0"/>
                    <w:autoSpaceDN w:val="0"/>
                    <w:jc w:val="center"/>
                    <w:rPr>
                      <w:b/>
                      <w:bCs/>
                      <w:color w:val="auto"/>
                      <w:szCs w:val="21"/>
                      <w:highlight w:val="none"/>
                    </w:rPr>
                  </w:pPr>
                  <w:r>
                    <w:rPr>
                      <w:b/>
                      <w:bCs/>
                      <w:color w:val="auto"/>
                      <w:szCs w:val="21"/>
                      <w:highlight w:val="none"/>
                    </w:rPr>
                    <w:t>轻度危害（P4）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0" w:type="dxa"/>
                  <w:tcBorders>
                    <w:tl2br w:val="nil"/>
                    <w:tr2bl w:val="nil"/>
                  </w:tcBorders>
                  <w:vAlign w:val="center"/>
                </w:tcPr>
                <w:p>
                  <w:pPr>
                    <w:autoSpaceDE w:val="0"/>
                    <w:autoSpaceDN w:val="0"/>
                    <w:jc w:val="center"/>
                    <w:rPr>
                      <w:color w:val="auto"/>
                      <w:szCs w:val="21"/>
                      <w:highlight w:val="none"/>
                    </w:rPr>
                  </w:pPr>
                  <w:r>
                    <w:rPr>
                      <w:color w:val="auto"/>
                      <w:szCs w:val="21"/>
                      <w:highlight w:val="none"/>
                    </w:rPr>
                    <w:t>环境高度敏感区（E1）</w:t>
                  </w:r>
                </w:p>
              </w:tc>
              <w:tc>
                <w:tcPr>
                  <w:tcW w:w="1701" w:type="dxa"/>
                  <w:tcBorders>
                    <w:tl2br w:val="nil"/>
                    <w:tr2bl w:val="nil"/>
                  </w:tcBorders>
                  <w:vAlign w:val="center"/>
                </w:tcPr>
                <w:p>
                  <w:pPr>
                    <w:autoSpaceDE w:val="0"/>
                    <w:autoSpaceDN w:val="0"/>
                    <w:jc w:val="center"/>
                    <w:rPr>
                      <w:color w:val="auto"/>
                      <w:szCs w:val="21"/>
                      <w:highlight w:val="none"/>
                    </w:rPr>
                  </w:pPr>
                  <w:r>
                    <w:rPr>
                      <w:color w:val="auto"/>
                      <w:szCs w:val="21"/>
                      <w:highlight w:val="none"/>
                    </w:rPr>
                    <w:t>Ⅳ</w:t>
                  </w:r>
                  <w:r>
                    <w:rPr>
                      <w:color w:val="auto"/>
                      <w:szCs w:val="21"/>
                      <w:highlight w:val="none"/>
                      <w:vertAlign w:val="superscript"/>
                    </w:rPr>
                    <w:t>+</w:t>
                  </w:r>
                </w:p>
              </w:tc>
              <w:tc>
                <w:tcPr>
                  <w:tcW w:w="1701" w:type="dxa"/>
                  <w:tcBorders>
                    <w:tl2br w:val="nil"/>
                    <w:tr2bl w:val="nil"/>
                  </w:tcBorders>
                  <w:vAlign w:val="center"/>
                </w:tcPr>
                <w:p>
                  <w:pPr>
                    <w:autoSpaceDE w:val="0"/>
                    <w:autoSpaceDN w:val="0"/>
                    <w:jc w:val="center"/>
                    <w:rPr>
                      <w:color w:val="auto"/>
                      <w:szCs w:val="21"/>
                      <w:highlight w:val="none"/>
                    </w:rPr>
                  </w:pPr>
                  <w:r>
                    <w:rPr>
                      <w:color w:val="auto"/>
                      <w:szCs w:val="21"/>
                      <w:highlight w:val="none"/>
                    </w:rPr>
                    <w:t>Ⅳ</w:t>
                  </w:r>
                </w:p>
              </w:tc>
              <w:tc>
                <w:tcPr>
                  <w:tcW w:w="1701" w:type="dxa"/>
                  <w:tcBorders>
                    <w:tl2br w:val="nil"/>
                    <w:tr2bl w:val="nil"/>
                  </w:tcBorders>
                  <w:vAlign w:val="center"/>
                </w:tcPr>
                <w:p>
                  <w:pPr>
                    <w:autoSpaceDE w:val="0"/>
                    <w:autoSpaceDN w:val="0"/>
                    <w:jc w:val="center"/>
                    <w:rPr>
                      <w:color w:val="auto"/>
                      <w:szCs w:val="21"/>
                      <w:highlight w:val="none"/>
                    </w:rPr>
                  </w:pPr>
                  <w:r>
                    <w:rPr>
                      <w:color w:val="auto"/>
                      <w:szCs w:val="21"/>
                      <w:highlight w:val="none"/>
                    </w:rPr>
                    <w:t>Ⅲ</w:t>
                  </w:r>
                </w:p>
              </w:tc>
              <w:tc>
                <w:tcPr>
                  <w:tcW w:w="1701" w:type="dxa"/>
                  <w:tcBorders>
                    <w:tl2br w:val="nil"/>
                    <w:tr2bl w:val="nil"/>
                  </w:tcBorders>
                  <w:vAlign w:val="center"/>
                </w:tcPr>
                <w:p>
                  <w:pPr>
                    <w:autoSpaceDE w:val="0"/>
                    <w:autoSpaceDN w:val="0"/>
                    <w:jc w:val="center"/>
                    <w:rPr>
                      <w:color w:val="auto"/>
                      <w:szCs w:val="21"/>
                      <w:highlight w:val="none"/>
                    </w:rPr>
                  </w:pPr>
                  <w:r>
                    <w:rPr>
                      <w:color w:val="auto"/>
                      <w:szCs w:val="21"/>
                      <w:highlight w:val="none"/>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0" w:type="dxa"/>
                  <w:tcBorders>
                    <w:tl2br w:val="nil"/>
                    <w:tr2bl w:val="nil"/>
                  </w:tcBorders>
                  <w:vAlign w:val="center"/>
                </w:tcPr>
                <w:p>
                  <w:pPr>
                    <w:autoSpaceDE w:val="0"/>
                    <w:autoSpaceDN w:val="0"/>
                    <w:jc w:val="center"/>
                    <w:rPr>
                      <w:color w:val="auto"/>
                      <w:szCs w:val="21"/>
                      <w:highlight w:val="none"/>
                    </w:rPr>
                  </w:pPr>
                  <w:r>
                    <w:rPr>
                      <w:color w:val="auto"/>
                      <w:szCs w:val="21"/>
                      <w:highlight w:val="none"/>
                    </w:rPr>
                    <w:t>环境中度敏感区（E2）</w:t>
                  </w:r>
                </w:p>
              </w:tc>
              <w:tc>
                <w:tcPr>
                  <w:tcW w:w="1701" w:type="dxa"/>
                  <w:tcBorders>
                    <w:tl2br w:val="nil"/>
                    <w:tr2bl w:val="nil"/>
                  </w:tcBorders>
                  <w:vAlign w:val="center"/>
                </w:tcPr>
                <w:p>
                  <w:pPr>
                    <w:autoSpaceDE w:val="0"/>
                    <w:autoSpaceDN w:val="0"/>
                    <w:jc w:val="center"/>
                    <w:rPr>
                      <w:color w:val="auto"/>
                      <w:szCs w:val="21"/>
                      <w:highlight w:val="none"/>
                    </w:rPr>
                  </w:pPr>
                  <w:r>
                    <w:rPr>
                      <w:color w:val="auto"/>
                      <w:szCs w:val="21"/>
                      <w:highlight w:val="none"/>
                    </w:rPr>
                    <w:t>Ⅳ</w:t>
                  </w:r>
                </w:p>
              </w:tc>
              <w:tc>
                <w:tcPr>
                  <w:tcW w:w="1701" w:type="dxa"/>
                  <w:tcBorders>
                    <w:tl2br w:val="nil"/>
                    <w:tr2bl w:val="nil"/>
                  </w:tcBorders>
                  <w:vAlign w:val="center"/>
                </w:tcPr>
                <w:p>
                  <w:pPr>
                    <w:autoSpaceDE w:val="0"/>
                    <w:autoSpaceDN w:val="0"/>
                    <w:jc w:val="center"/>
                    <w:rPr>
                      <w:color w:val="auto"/>
                      <w:szCs w:val="21"/>
                      <w:highlight w:val="none"/>
                    </w:rPr>
                  </w:pPr>
                  <w:r>
                    <w:rPr>
                      <w:color w:val="auto"/>
                      <w:szCs w:val="21"/>
                      <w:highlight w:val="none"/>
                    </w:rPr>
                    <w:t>Ⅲ</w:t>
                  </w:r>
                </w:p>
              </w:tc>
              <w:tc>
                <w:tcPr>
                  <w:tcW w:w="1701" w:type="dxa"/>
                  <w:tcBorders>
                    <w:tl2br w:val="nil"/>
                    <w:tr2bl w:val="nil"/>
                  </w:tcBorders>
                  <w:vAlign w:val="center"/>
                </w:tcPr>
                <w:p>
                  <w:pPr>
                    <w:autoSpaceDE w:val="0"/>
                    <w:autoSpaceDN w:val="0"/>
                    <w:jc w:val="center"/>
                    <w:rPr>
                      <w:color w:val="auto"/>
                      <w:szCs w:val="21"/>
                      <w:highlight w:val="none"/>
                    </w:rPr>
                  </w:pPr>
                  <w:r>
                    <w:rPr>
                      <w:color w:val="auto"/>
                      <w:szCs w:val="21"/>
                      <w:highlight w:val="none"/>
                    </w:rPr>
                    <w:t>Ⅲ</w:t>
                  </w:r>
                </w:p>
              </w:tc>
              <w:tc>
                <w:tcPr>
                  <w:tcW w:w="1701" w:type="dxa"/>
                  <w:tcBorders>
                    <w:tl2br w:val="nil"/>
                    <w:tr2bl w:val="nil"/>
                  </w:tcBorders>
                  <w:vAlign w:val="center"/>
                </w:tcPr>
                <w:p>
                  <w:pPr>
                    <w:autoSpaceDE w:val="0"/>
                    <w:autoSpaceDN w:val="0"/>
                    <w:jc w:val="center"/>
                    <w:rPr>
                      <w:color w:val="auto"/>
                      <w:szCs w:val="21"/>
                      <w:highlight w:val="none"/>
                    </w:rPr>
                  </w:pPr>
                  <w:r>
                    <w:rPr>
                      <w:color w:val="auto"/>
                      <w:szCs w:val="21"/>
                      <w:highlight w:val="none"/>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0" w:type="dxa"/>
                  <w:tcBorders>
                    <w:tl2br w:val="nil"/>
                    <w:tr2bl w:val="nil"/>
                  </w:tcBorders>
                  <w:vAlign w:val="center"/>
                </w:tcPr>
                <w:p>
                  <w:pPr>
                    <w:autoSpaceDE w:val="0"/>
                    <w:autoSpaceDN w:val="0"/>
                    <w:jc w:val="center"/>
                    <w:rPr>
                      <w:color w:val="auto"/>
                      <w:szCs w:val="21"/>
                      <w:highlight w:val="none"/>
                    </w:rPr>
                  </w:pPr>
                  <w:r>
                    <w:rPr>
                      <w:color w:val="auto"/>
                      <w:szCs w:val="21"/>
                      <w:highlight w:val="none"/>
                    </w:rPr>
                    <w:t>环境低度敏感区（E3）</w:t>
                  </w:r>
                </w:p>
              </w:tc>
              <w:tc>
                <w:tcPr>
                  <w:tcW w:w="1701" w:type="dxa"/>
                  <w:tcBorders>
                    <w:tl2br w:val="nil"/>
                    <w:tr2bl w:val="nil"/>
                  </w:tcBorders>
                  <w:vAlign w:val="center"/>
                </w:tcPr>
                <w:p>
                  <w:pPr>
                    <w:autoSpaceDE w:val="0"/>
                    <w:autoSpaceDN w:val="0"/>
                    <w:jc w:val="center"/>
                    <w:rPr>
                      <w:color w:val="auto"/>
                      <w:szCs w:val="21"/>
                      <w:highlight w:val="none"/>
                    </w:rPr>
                  </w:pPr>
                  <w:r>
                    <w:rPr>
                      <w:color w:val="auto"/>
                      <w:szCs w:val="21"/>
                      <w:highlight w:val="none"/>
                    </w:rPr>
                    <w:t>Ⅲ</w:t>
                  </w:r>
                </w:p>
              </w:tc>
              <w:tc>
                <w:tcPr>
                  <w:tcW w:w="1701" w:type="dxa"/>
                  <w:tcBorders>
                    <w:tl2br w:val="nil"/>
                    <w:tr2bl w:val="nil"/>
                  </w:tcBorders>
                  <w:vAlign w:val="center"/>
                </w:tcPr>
                <w:p>
                  <w:pPr>
                    <w:autoSpaceDE w:val="0"/>
                    <w:autoSpaceDN w:val="0"/>
                    <w:jc w:val="center"/>
                    <w:rPr>
                      <w:color w:val="auto"/>
                      <w:szCs w:val="21"/>
                      <w:highlight w:val="none"/>
                    </w:rPr>
                  </w:pPr>
                  <w:r>
                    <w:rPr>
                      <w:color w:val="auto"/>
                      <w:szCs w:val="21"/>
                      <w:highlight w:val="none"/>
                    </w:rPr>
                    <w:t>Ⅲ</w:t>
                  </w:r>
                </w:p>
              </w:tc>
              <w:tc>
                <w:tcPr>
                  <w:tcW w:w="1701" w:type="dxa"/>
                  <w:tcBorders>
                    <w:tl2br w:val="nil"/>
                    <w:tr2bl w:val="nil"/>
                  </w:tcBorders>
                  <w:vAlign w:val="center"/>
                </w:tcPr>
                <w:p>
                  <w:pPr>
                    <w:autoSpaceDE w:val="0"/>
                    <w:autoSpaceDN w:val="0"/>
                    <w:jc w:val="center"/>
                    <w:rPr>
                      <w:color w:val="auto"/>
                      <w:szCs w:val="21"/>
                      <w:highlight w:val="none"/>
                    </w:rPr>
                  </w:pPr>
                  <w:r>
                    <w:rPr>
                      <w:color w:val="auto"/>
                      <w:szCs w:val="21"/>
                      <w:highlight w:val="none"/>
                    </w:rPr>
                    <w:t>Ⅱ</w:t>
                  </w:r>
                </w:p>
              </w:tc>
              <w:tc>
                <w:tcPr>
                  <w:tcW w:w="1701" w:type="dxa"/>
                  <w:tcBorders>
                    <w:tl2br w:val="nil"/>
                    <w:tr2bl w:val="nil"/>
                  </w:tcBorders>
                  <w:vAlign w:val="center"/>
                </w:tcPr>
                <w:p>
                  <w:pPr>
                    <w:autoSpaceDE w:val="0"/>
                    <w:autoSpaceDN w:val="0"/>
                    <w:jc w:val="center"/>
                    <w:rPr>
                      <w:color w:val="auto"/>
                      <w:szCs w:val="21"/>
                      <w:highlight w:val="none"/>
                    </w:rPr>
                  </w:pPr>
                  <w:r>
                    <w:rPr>
                      <w:color w:val="auto"/>
                      <w:szCs w:val="21"/>
                      <w:highlight w:val="none"/>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4" w:type="dxa"/>
                  <w:gridSpan w:val="5"/>
                  <w:tcBorders>
                    <w:tl2br w:val="nil"/>
                    <w:tr2bl w:val="nil"/>
                  </w:tcBorders>
                  <w:vAlign w:val="center"/>
                </w:tcPr>
                <w:p>
                  <w:pPr>
                    <w:autoSpaceDE w:val="0"/>
                    <w:autoSpaceDN w:val="0"/>
                    <w:jc w:val="left"/>
                    <w:rPr>
                      <w:color w:val="auto"/>
                      <w:szCs w:val="21"/>
                      <w:highlight w:val="none"/>
                    </w:rPr>
                  </w:pPr>
                  <w:r>
                    <w:rPr>
                      <w:rFonts w:hint="eastAsia"/>
                      <w:color w:val="auto"/>
                      <w:szCs w:val="21"/>
                      <w:highlight w:val="none"/>
                    </w:rPr>
                    <w:t>注：</w:t>
                  </w:r>
                  <w:r>
                    <w:rPr>
                      <w:color w:val="auto"/>
                      <w:szCs w:val="21"/>
                      <w:highlight w:val="none"/>
                    </w:rPr>
                    <w:t>Ⅳ</w:t>
                  </w:r>
                  <w:r>
                    <w:rPr>
                      <w:color w:val="auto"/>
                      <w:szCs w:val="21"/>
                      <w:highlight w:val="none"/>
                      <w:vertAlign w:val="superscript"/>
                    </w:rPr>
                    <w:t>+</w:t>
                  </w:r>
                  <w:r>
                    <w:rPr>
                      <w:rFonts w:hint="eastAsia"/>
                      <w:color w:val="auto"/>
                      <w:szCs w:val="21"/>
                      <w:highlight w:val="none"/>
                    </w:rPr>
                    <w:t>为极高环境风险。</w:t>
                  </w:r>
                </w:p>
              </w:tc>
            </w:tr>
          </w:tbl>
          <w:p>
            <w:pPr>
              <w:autoSpaceDE w:val="0"/>
              <w:autoSpaceDN w:val="0"/>
              <w:spacing w:line="360" w:lineRule="auto"/>
              <w:ind w:firstLine="480" w:firstLineChars="200"/>
              <w:rPr>
                <w:color w:val="auto"/>
                <w:sz w:val="24"/>
                <w:highlight w:val="none"/>
              </w:rPr>
            </w:pPr>
            <w:r>
              <w:rPr>
                <w:rFonts w:hint="eastAsia"/>
                <w:color w:val="auto"/>
                <w:sz w:val="24"/>
                <w:highlight w:val="none"/>
              </w:rPr>
              <w:t>2、P的分级确定</w:t>
            </w:r>
          </w:p>
          <w:p>
            <w:pPr>
              <w:autoSpaceDE w:val="0"/>
              <w:autoSpaceDN w:val="0"/>
              <w:spacing w:line="360" w:lineRule="auto"/>
              <w:ind w:firstLine="480" w:firstLineChars="200"/>
              <w:rPr>
                <w:color w:val="auto"/>
                <w:sz w:val="24"/>
                <w:highlight w:val="none"/>
              </w:rPr>
            </w:pPr>
            <w:r>
              <w:rPr>
                <w:rFonts w:hint="eastAsia"/>
                <w:color w:val="auto"/>
                <w:sz w:val="24"/>
                <w:highlight w:val="none"/>
              </w:rPr>
              <w:t>定量分析危险物质数量与临界量的比值（Q）和所属行业及生产工艺特点（M），对危险物质及工艺系统危险性（P）等级进行判断。</w:t>
            </w:r>
          </w:p>
          <w:p>
            <w:pPr>
              <w:autoSpaceDE w:val="0"/>
              <w:autoSpaceDN w:val="0"/>
              <w:spacing w:line="360" w:lineRule="auto"/>
              <w:ind w:firstLine="480" w:firstLineChars="200"/>
              <w:rPr>
                <w:color w:val="auto"/>
                <w:sz w:val="24"/>
                <w:highlight w:val="none"/>
              </w:rPr>
            </w:pPr>
            <w:r>
              <w:rPr>
                <w:rFonts w:hint="eastAsia"/>
                <w:color w:val="auto"/>
                <w:sz w:val="24"/>
                <w:highlight w:val="none"/>
              </w:rPr>
              <w:t>计算所涉及的每种危险物质在厂界内的最大存在总量与其在</w:t>
            </w:r>
            <w:r>
              <w:rPr>
                <w:color w:val="auto"/>
                <w:sz w:val="24"/>
                <w:highlight w:val="none"/>
              </w:rPr>
              <w:t>《建设项目环境风险评价技术导则》（</w:t>
            </w:r>
            <w:r>
              <w:rPr>
                <w:rFonts w:hint="eastAsia"/>
                <w:color w:val="auto"/>
                <w:sz w:val="24"/>
                <w:highlight w:val="none"/>
              </w:rPr>
              <w:t>HJ 169-2018</w:t>
            </w:r>
            <w:r>
              <w:rPr>
                <w:color w:val="auto"/>
                <w:sz w:val="24"/>
                <w:highlight w:val="none"/>
              </w:rPr>
              <w:t>）</w:t>
            </w:r>
            <w:r>
              <w:rPr>
                <w:rFonts w:hint="eastAsia"/>
                <w:color w:val="auto"/>
                <w:sz w:val="24"/>
                <w:highlight w:val="none"/>
              </w:rPr>
              <w:t>附录B中对应临界量的比值Q。在不同厂区的同一种物质，按其在厂界内的最大存在总量计算。对于长输管线项目，按照两个截断阀室之间管段危险物质最大存在总量计算。</w:t>
            </w:r>
          </w:p>
          <w:p>
            <w:pPr>
              <w:autoSpaceDE w:val="0"/>
              <w:autoSpaceDN w:val="0"/>
              <w:spacing w:line="360" w:lineRule="auto"/>
              <w:ind w:firstLine="480" w:firstLineChars="200"/>
              <w:rPr>
                <w:color w:val="auto"/>
                <w:sz w:val="24"/>
                <w:highlight w:val="none"/>
              </w:rPr>
            </w:pPr>
            <w:r>
              <w:rPr>
                <w:rFonts w:hint="eastAsia"/>
                <w:color w:val="auto"/>
                <w:sz w:val="24"/>
                <w:highlight w:val="none"/>
              </w:rPr>
              <w:t>当只涉及一种危险物质时，计算该物质的总量与其临界量比值，即为Q；</w:t>
            </w:r>
          </w:p>
          <w:p>
            <w:pPr>
              <w:autoSpaceDE w:val="0"/>
              <w:autoSpaceDN w:val="0"/>
              <w:spacing w:line="360" w:lineRule="auto"/>
              <w:ind w:firstLine="480" w:firstLineChars="200"/>
              <w:rPr>
                <w:color w:val="auto"/>
                <w:sz w:val="24"/>
                <w:highlight w:val="none"/>
              </w:rPr>
            </w:pPr>
            <w:r>
              <w:rPr>
                <w:rFonts w:hint="eastAsia"/>
                <w:color w:val="auto"/>
                <w:sz w:val="24"/>
                <w:highlight w:val="none"/>
              </w:rPr>
              <w:t>当存在多种危险物质时，则按下式计算物质总量与其临界量比值Q：</w:t>
            </w:r>
          </w:p>
          <w:p>
            <w:pPr>
              <w:autoSpaceDE w:val="0"/>
              <w:autoSpaceDN w:val="0"/>
              <w:spacing w:line="360" w:lineRule="auto"/>
              <w:ind w:firstLine="480" w:firstLineChars="200"/>
              <w:jc w:val="center"/>
              <w:rPr>
                <w:color w:val="auto"/>
                <w:sz w:val="24"/>
                <w:highlight w:val="none"/>
              </w:rPr>
            </w:pPr>
            <w:r>
              <w:rPr>
                <w:color w:val="auto"/>
                <w:position w:val="-30"/>
                <w:sz w:val="24"/>
                <w:highlight w:val="none"/>
              </w:rPr>
              <w:object>
                <v:shape id="_x0000_i1026" o:spt="75" type="#_x0000_t75" style="height:33.5pt;width:117.2pt;" o:ole="t" filled="f" o:preferrelative="t" stroked="f" coordsize="21600,21600">
                  <v:path/>
                  <v:fill on="f" focussize="0,0"/>
                  <v:stroke on="f"/>
                  <v:imagedata r:id="rId44" o:title=""/>
                  <o:lock v:ext="edit" aspectratio="t"/>
                  <w10:wrap type="none"/>
                  <w10:anchorlock/>
                </v:shape>
                <o:OLEObject Type="Embed" ProgID="Equation.3" ShapeID="_x0000_i1026" DrawAspect="Content" ObjectID="_1468075726" r:id="rId43">
                  <o:LockedField>false</o:LockedField>
                </o:OLEObject>
              </w:object>
            </w:r>
          </w:p>
          <w:p>
            <w:pPr>
              <w:autoSpaceDE w:val="0"/>
              <w:autoSpaceDN w:val="0"/>
              <w:spacing w:line="360" w:lineRule="auto"/>
              <w:ind w:firstLine="480" w:firstLineChars="200"/>
              <w:rPr>
                <w:color w:val="auto"/>
                <w:sz w:val="24"/>
                <w:highlight w:val="none"/>
              </w:rPr>
            </w:pPr>
            <w:r>
              <w:rPr>
                <w:color w:val="auto"/>
                <w:sz w:val="24"/>
                <w:highlight w:val="none"/>
              </w:rPr>
              <w:t>式中：</w:t>
            </w:r>
            <w:r>
              <w:rPr>
                <w:color w:val="auto"/>
                <w:position w:val="-10"/>
                <w:sz w:val="24"/>
                <w:highlight w:val="none"/>
              </w:rPr>
              <w:object>
                <v:shape id="_x0000_i1027" o:spt="75" type="#_x0000_t75" style="height:17.6pt;width:11.7pt;" o:ole="t" filled="f" o:preferrelative="t" stroked="f" coordsize="21600,21600">
                  <v:path/>
                  <v:fill on="f" focussize="0,0"/>
                  <v:stroke on="f"/>
                  <v:imagedata r:id="rId46" o:title=""/>
                  <o:lock v:ext="edit" aspectratio="t"/>
                  <w10:wrap type="none"/>
                  <w10:anchorlock/>
                </v:shape>
                <o:OLEObject Type="Embed" ProgID="Equation.3" ShapeID="_x0000_i1027" DrawAspect="Content" ObjectID="_1468075727" r:id="rId45">
                  <o:LockedField>false</o:LockedField>
                </o:OLEObject>
              </w:object>
            </w:r>
            <w:r>
              <w:rPr>
                <w:color w:val="auto"/>
                <w:sz w:val="24"/>
                <w:highlight w:val="none"/>
              </w:rPr>
              <w:t>、</w:t>
            </w:r>
            <w:r>
              <w:rPr>
                <w:color w:val="auto"/>
                <w:position w:val="-10"/>
                <w:sz w:val="24"/>
                <w:highlight w:val="none"/>
              </w:rPr>
              <w:object>
                <v:shape id="_x0000_i1028" o:spt="75" type="#_x0000_t75" style="height:17.6pt;width:14.25pt;" o:ole="t" filled="f" o:preferrelative="t" stroked="f" coordsize="21600,21600">
                  <v:path/>
                  <v:fill on="f" focussize="0,0"/>
                  <v:stroke on="f"/>
                  <v:imagedata r:id="rId48" o:title=""/>
                  <o:lock v:ext="edit" aspectratio="t"/>
                  <w10:wrap type="none"/>
                  <w10:anchorlock/>
                </v:shape>
                <o:OLEObject Type="Embed" ProgID="Equation.3" ShapeID="_x0000_i1028" DrawAspect="Content" ObjectID="_1468075728" r:id="rId47">
                  <o:LockedField>false</o:LockedField>
                </o:OLEObject>
              </w:object>
            </w:r>
            <w:r>
              <w:rPr>
                <w:color w:val="auto"/>
                <w:sz w:val="24"/>
                <w:highlight w:val="none"/>
              </w:rPr>
              <w:t>…</w:t>
            </w:r>
            <w:r>
              <w:rPr>
                <w:color w:val="auto"/>
                <w:position w:val="-12"/>
                <w:sz w:val="24"/>
                <w:highlight w:val="none"/>
              </w:rPr>
              <w:object>
                <v:shape id="_x0000_i1029" o:spt="75" type="#_x0000_t75" style="height:18.4pt;width:14.25pt;" o:ole="t" filled="f" o:preferrelative="t" stroked="f" coordsize="21600,21600">
                  <v:path/>
                  <v:fill on="f" focussize="0,0"/>
                  <v:stroke on="f"/>
                  <v:imagedata r:id="rId50" o:title=""/>
                  <o:lock v:ext="edit" aspectratio="t"/>
                  <w10:wrap type="none"/>
                  <w10:anchorlock/>
                </v:shape>
                <o:OLEObject Type="Embed" ProgID="Equation.3" ShapeID="_x0000_i1029" DrawAspect="Content" ObjectID="_1468075729" r:id="rId49">
                  <o:LockedField>false</o:LockedField>
                </o:OLEObject>
              </w:object>
            </w:r>
            <w:r>
              <w:rPr>
                <w:rFonts w:hint="eastAsia"/>
                <w:color w:val="auto"/>
                <w:sz w:val="24"/>
                <w:highlight w:val="none"/>
              </w:rPr>
              <w:t>——</w:t>
            </w:r>
            <w:r>
              <w:rPr>
                <w:color w:val="auto"/>
                <w:sz w:val="24"/>
                <w:highlight w:val="none"/>
              </w:rPr>
              <w:t>每种危险物品的</w:t>
            </w:r>
            <w:r>
              <w:rPr>
                <w:rFonts w:hint="eastAsia"/>
                <w:color w:val="auto"/>
                <w:sz w:val="24"/>
                <w:highlight w:val="none"/>
              </w:rPr>
              <w:t>最大存在总量，</w:t>
            </w:r>
            <w:r>
              <w:rPr>
                <w:color w:val="auto"/>
                <w:sz w:val="24"/>
                <w:highlight w:val="none"/>
              </w:rPr>
              <w:t>t；</w:t>
            </w:r>
          </w:p>
          <w:p>
            <w:pPr>
              <w:autoSpaceDE w:val="0"/>
              <w:autoSpaceDN w:val="0"/>
              <w:spacing w:line="360" w:lineRule="auto"/>
              <w:ind w:firstLine="480" w:firstLineChars="200"/>
              <w:rPr>
                <w:color w:val="auto"/>
                <w:sz w:val="24"/>
                <w:highlight w:val="none"/>
              </w:rPr>
            </w:pPr>
            <w:r>
              <w:rPr>
                <w:color w:val="auto"/>
                <w:sz w:val="24"/>
                <w:highlight w:val="none"/>
              </w:rPr>
              <w:t xml:space="preserve">      </w:t>
            </w:r>
            <w:r>
              <w:rPr>
                <w:color w:val="auto"/>
                <w:position w:val="-10"/>
                <w:sz w:val="24"/>
                <w:highlight w:val="none"/>
              </w:rPr>
              <w:object>
                <v:shape id="_x0000_i1030" o:spt="75" type="#_x0000_t75" style="height:17.6pt;width:14.25pt;" o:ole="t" filled="f" o:preferrelative="t" stroked="f" coordsize="21600,21600">
                  <v:path/>
                  <v:fill on="f" focussize="0,0"/>
                  <v:stroke on="f"/>
                  <v:imagedata r:id="rId52" o:title=""/>
                  <o:lock v:ext="edit" aspectratio="t"/>
                  <w10:wrap type="none"/>
                  <w10:anchorlock/>
                </v:shape>
                <o:OLEObject Type="Embed" ProgID="Equation.3" ShapeID="_x0000_i1030" DrawAspect="Content" ObjectID="_1468075730" r:id="rId51">
                  <o:LockedField>false</o:LockedField>
                </o:OLEObject>
              </w:object>
            </w:r>
            <w:r>
              <w:rPr>
                <w:color w:val="auto"/>
                <w:sz w:val="24"/>
                <w:highlight w:val="none"/>
              </w:rPr>
              <w:t>、</w:t>
            </w:r>
            <w:r>
              <w:rPr>
                <w:color w:val="auto"/>
                <w:position w:val="-10"/>
                <w:sz w:val="24"/>
                <w:highlight w:val="none"/>
              </w:rPr>
              <w:object>
                <v:shape id="_x0000_i1031" o:spt="75" type="#_x0000_t75" style="height:17.6pt;width:15.9pt;" o:ole="t" filled="f" o:preferrelative="t" stroked="f" coordsize="21600,21600">
                  <v:path/>
                  <v:fill on="f" focussize="0,0"/>
                  <v:stroke on="f"/>
                  <v:imagedata r:id="rId54" o:title=""/>
                  <o:lock v:ext="edit" aspectratio="t"/>
                  <w10:wrap type="none"/>
                  <w10:anchorlock/>
                </v:shape>
                <o:OLEObject Type="Embed" ProgID="Equation.3" ShapeID="_x0000_i1031" DrawAspect="Content" ObjectID="_1468075731" r:id="rId53">
                  <o:LockedField>false</o:LockedField>
                </o:OLEObject>
              </w:object>
            </w:r>
            <w:r>
              <w:rPr>
                <w:color w:val="auto"/>
                <w:sz w:val="24"/>
                <w:highlight w:val="none"/>
              </w:rPr>
              <w:t>…</w:t>
            </w:r>
            <w:r>
              <w:rPr>
                <w:color w:val="auto"/>
                <w:position w:val="-12"/>
                <w:sz w:val="24"/>
                <w:highlight w:val="none"/>
              </w:rPr>
              <w:object>
                <v:shape id="_x0000_i1032" o:spt="75" type="#_x0000_t75" style="height:18.4pt;width:15.9pt;" o:ole="t" filled="f" o:preferrelative="t" stroked="f" coordsize="21600,21600">
                  <v:path/>
                  <v:fill on="f" focussize="0,0"/>
                  <v:stroke on="f"/>
                  <v:imagedata r:id="rId56" o:title=""/>
                  <o:lock v:ext="edit" aspectratio="t"/>
                  <w10:wrap type="none"/>
                  <w10:anchorlock/>
                </v:shape>
                <o:OLEObject Type="Embed" ProgID="Equation.3" ShapeID="_x0000_i1032" DrawAspect="Content" ObjectID="_1468075732" r:id="rId55">
                  <o:LockedField>false</o:LockedField>
                </o:OLEObject>
              </w:object>
            </w:r>
            <w:r>
              <w:rPr>
                <w:rFonts w:hint="eastAsia"/>
                <w:color w:val="auto"/>
                <w:sz w:val="24"/>
                <w:highlight w:val="none"/>
              </w:rPr>
              <w:t>——每种危险物质的临界量，</w:t>
            </w:r>
            <w:r>
              <w:rPr>
                <w:color w:val="auto"/>
                <w:sz w:val="24"/>
                <w:highlight w:val="none"/>
              </w:rPr>
              <w:t>t。</w:t>
            </w:r>
          </w:p>
          <w:p>
            <w:pPr>
              <w:autoSpaceDE w:val="0"/>
              <w:autoSpaceDN w:val="0"/>
              <w:spacing w:line="360" w:lineRule="auto"/>
              <w:ind w:firstLine="480" w:firstLineChars="200"/>
              <w:rPr>
                <w:color w:val="auto"/>
                <w:sz w:val="24"/>
                <w:highlight w:val="none"/>
              </w:rPr>
            </w:pPr>
            <w:r>
              <w:rPr>
                <w:rFonts w:hint="eastAsia"/>
                <w:color w:val="auto"/>
                <w:sz w:val="24"/>
                <w:highlight w:val="none"/>
              </w:rPr>
              <w:t>当Q&lt;1时，该项目环境风险潜势为</w:t>
            </w:r>
            <w:r>
              <w:rPr>
                <w:rFonts w:hint="eastAsia" w:ascii="微软雅黑" w:hAnsi="微软雅黑" w:eastAsia="微软雅黑" w:cs="微软雅黑"/>
                <w:color w:val="auto"/>
                <w:sz w:val="24"/>
                <w:highlight w:val="none"/>
              </w:rPr>
              <w:t>Ⅰ</w:t>
            </w:r>
            <w:r>
              <w:rPr>
                <w:rFonts w:hint="eastAsia"/>
                <w:color w:val="auto"/>
                <w:sz w:val="24"/>
                <w:highlight w:val="none"/>
              </w:rPr>
              <w:t>。</w:t>
            </w:r>
          </w:p>
          <w:p>
            <w:pPr>
              <w:autoSpaceDE w:val="0"/>
              <w:autoSpaceDN w:val="0"/>
              <w:spacing w:line="360" w:lineRule="auto"/>
              <w:ind w:firstLine="480" w:firstLineChars="200"/>
              <w:rPr>
                <w:color w:val="auto"/>
                <w:sz w:val="24"/>
                <w:highlight w:val="none"/>
              </w:rPr>
            </w:pPr>
            <w:r>
              <w:rPr>
                <w:rFonts w:hint="eastAsia"/>
                <w:color w:val="auto"/>
                <w:sz w:val="24"/>
                <w:highlight w:val="none"/>
              </w:rPr>
              <w:t>当Q</w:t>
            </w:r>
            <w:r>
              <w:rPr>
                <w:rFonts w:ascii="Arial" w:hAnsi="Arial" w:cs="Arial"/>
                <w:color w:val="auto"/>
                <w:sz w:val="24"/>
                <w:highlight w:val="none"/>
              </w:rPr>
              <w:t>≥</w:t>
            </w:r>
            <w:r>
              <w:rPr>
                <w:rFonts w:hint="eastAsia"/>
                <w:color w:val="auto"/>
                <w:sz w:val="24"/>
                <w:highlight w:val="none"/>
              </w:rPr>
              <w:t>1时，将Q值划分为：（1）1</w:t>
            </w:r>
            <w:r>
              <w:rPr>
                <w:rFonts w:ascii="Arial" w:hAnsi="Arial" w:cs="Arial"/>
                <w:color w:val="auto"/>
                <w:sz w:val="24"/>
                <w:highlight w:val="none"/>
              </w:rPr>
              <w:t>≤</w:t>
            </w:r>
            <w:r>
              <w:rPr>
                <w:rFonts w:hint="eastAsia"/>
                <w:color w:val="auto"/>
                <w:sz w:val="24"/>
                <w:highlight w:val="none"/>
              </w:rPr>
              <w:t>Q&lt;10；（2）10</w:t>
            </w:r>
            <w:r>
              <w:rPr>
                <w:rFonts w:ascii="Arial" w:hAnsi="Arial" w:cs="Arial"/>
                <w:color w:val="auto"/>
                <w:sz w:val="24"/>
                <w:highlight w:val="none"/>
              </w:rPr>
              <w:t>≤</w:t>
            </w:r>
            <w:r>
              <w:rPr>
                <w:rFonts w:hint="eastAsia"/>
                <w:color w:val="auto"/>
                <w:sz w:val="24"/>
                <w:highlight w:val="none"/>
              </w:rPr>
              <w:t>Q&lt;100；（3）Q</w:t>
            </w:r>
            <w:r>
              <w:rPr>
                <w:rFonts w:ascii="Arial" w:hAnsi="Arial" w:cs="Arial"/>
                <w:color w:val="auto"/>
                <w:sz w:val="24"/>
                <w:highlight w:val="none"/>
              </w:rPr>
              <w:t>≥</w:t>
            </w:r>
            <w:r>
              <w:rPr>
                <w:rFonts w:hint="eastAsia"/>
                <w:color w:val="auto"/>
                <w:sz w:val="24"/>
                <w:highlight w:val="none"/>
              </w:rPr>
              <w:t>100。</w:t>
            </w:r>
          </w:p>
          <w:p>
            <w:pPr>
              <w:autoSpaceDE w:val="0"/>
              <w:autoSpaceDN w:val="0"/>
              <w:spacing w:line="360" w:lineRule="auto"/>
              <w:ind w:firstLine="480" w:firstLineChars="200"/>
              <w:rPr>
                <w:color w:val="auto"/>
                <w:sz w:val="24"/>
                <w:highlight w:val="none"/>
              </w:rPr>
            </w:pPr>
            <w:r>
              <w:rPr>
                <w:rFonts w:hint="eastAsia"/>
                <w:color w:val="auto"/>
                <w:sz w:val="24"/>
                <w:highlight w:val="none"/>
              </w:rPr>
              <w:t>本项目建设项目</w:t>
            </w:r>
            <w:r>
              <w:rPr>
                <w:rFonts w:hint="eastAsia"/>
                <w:color w:val="auto"/>
                <w:sz w:val="24"/>
                <w:highlight w:val="none"/>
              </w:rPr>
              <w:object>
                <v:shape id="_x0000_i1033" o:spt="75" type="#_x0000_t75" style="height:15.9pt;width:11.7pt;" o:ole="t" filled="f" o:preferrelative="t" stroked="f" coordsize="21600,21600">
                  <v:path/>
                  <v:fill on="f" focussize="0,0"/>
                  <v:stroke on="f"/>
                  <v:imagedata r:id="rId58" o:title=""/>
                  <o:lock v:ext="edit" aspectratio="t"/>
                  <w10:wrap type="none"/>
                  <w10:anchorlock/>
                </v:shape>
                <o:OLEObject Type="Embed" ProgID="Equation.3" ShapeID="_x0000_i1033" DrawAspect="Content" ObjectID="_1468075733" r:id="rId57">
                  <o:LockedField>false</o:LockedField>
                </o:OLEObject>
              </w:object>
            </w:r>
            <w:r>
              <w:rPr>
                <w:rFonts w:hint="eastAsia"/>
                <w:color w:val="auto"/>
                <w:sz w:val="24"/>
                <w:highlight w:val="none"/>
              </w:rPr>
              <w:t>值计算见下表。</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hint="eastAsia" w:eastAsia="宋体" w:cs="Times New Roman"/>
                <w:b/>
                <w:color w:val="auto"/>
                <w:sz w:val="21"/>
                <w:szCs w:val="21"/>
                <w:highlight w:val="none"/>
              </w:rPr>
              <w:t>建设项目</w:t>
            </w:r>
            <w:r>
              <w:rPr>
                <w:rFonts w:hint="eastAsia" w:eastAsia="宋体" w:cs="Times New Roman"/>
                <w:b/>
                <w:color w:val="auto"/>
                <w:sz w:val="21"/>
                <w:szCs w:val="21"/>
                <w:highlight w:val="none"/>
              </w:rPr>
              <w:object>
                <v:shape id="_x0000_i1034" o:spt="75" type="#_x0000_t75" style="height:15.9pt;width:11.7pt;" o:ole="t" filled="f" o:preferrelative="t" stroked="f" coordsize="21600,21600">
                  <v:path/>
                  <v:fill on="f" focussize="0,0"/>
                  <v:stroke on="f"/>
                  <v:imagedata r:id="rId58" o:title=""/>
                  <o:lock v:ext="edit" aspectratio="t"/>
                  <w10:wrap type="none"/>
                  <w10:anchorlock/>
                </v:shape>
                <o:OLEObject Type="Embed" ProgID="Equation.3" ShapeID="_x0000_i1034" DrawAspect="Content" ObjectID="_1468075734" r:id="rId59">
                  <o:LockedField>false</o:LockedField>
                </o:OLEObject>
              </w:object>
            </w:r>
            <w:r>
              <w:rPr>
                <w:rFonts w:hint="eastAsia" w:eastAsia="宋体" w:cs="Times New Roman"/>
                <w:b/>
                <w:color w:val="auto"/>
                <w:sz w:val="21"/>
                <w:szCs w:val="21"/>
                <w:highlight w:val="none"/>
              </w:rPr>
              <w:t>值确定表</w:t>
            </w:r>
          </w:p>
          <w:p>
            <w:pPr>
              <w:autoSpaceDE w:val="0"/>
              <w:autoSpaceDN w:val="0"/>
              <w:spacing w:before="1" w:line="30" w:lineRule="exact"/>
              <w:rPr>
                <w:b/>
                <w:bCs/>
                <w:color w:val="auto"/>
                <w:highlight w:val="none"/>
              </w:rPr>
            </w:pPr>
          </w:p>
          <w:tbl>
            <w:tblPr>
              <w:tblStyle w:val="40"/>
              <w:tblW w:w="850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48"/>
              <w:gridCol w:w="2233"/>
              <w:gridCol w:w="2233"/>
              <w:gridCol w:w="1245"/>
              <w:gridCol w:w="124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1548" w:type="dxa"/>
                  <w:tcBorders>
                    <w:tl2br w:val="nil"/>
                    <w:tr2bl w:val="nil"/>
                  </w:tcBorders>
                  <w:vAlign w:val="center"/>
                </w:tcPr>
                <w:p>
                  <w:pPr>
                    <w:adjustRightInd w:val="0"/>
                    <w:snapToGrid w:val="0"/>
                    <w:jc w:val="center"/>
                    <w:rPr>
                      <w:b/>
                      <w:color w:val="auto"/>
                      <w:szCs w:val="21"/>
                      <w:highlight w:val="none"/>
                    </w:rPr>
                  </w:pPr>
                  <w:r>
                    <w:rPr>
                      <w:b/>
                      <w:color w:val="auto"/>
                      <w:szCs w:val="21"/>
                      <w:highlight w:val="none"/>
                    </w:rPr>
                    <w:t>物质名称</w:t>
                  </w:r>
                </w:p>
              </w:tc>
              <w:tc>
                <w:tcPr>
                  <w:tcW w:w="2233" w:type="dxa"/>
                  <w:tcBorders>
                    <w:tl2br w:val="nil"/>
                    <w:tr2bl w:val="nil"/>
                  </w:tcBorders>
                  <w:vAlign w:val="center"/>
                </w:tcPr>
                <w:p>
                  <w:pPr>
                    <w:adjustRightInd w:val="0"/>
                    <w:snapToGrid w:val="0"/>
                    <w:jc w:val="center"/>
                    <w:rPr>
                      <w:b/>
                      <w:color w:val="auto"/>
                      <w:szCs w:val="21"/>
                      <w:highlight w:val="none"/>
                    </w:rPr>
                  </w:pPr>
                  <w:r>
                    <w:rPr>
                      <w:b/>
                      <w:color w:val="auto"/>
                      <w:szCs w:val="21"/>
                      <w:highlight w:val="none"/>
                    </w:rPr>
                    <w:t>CAS号</w:t>
                  </w:r>
                </w:p>
              </w:tc>
              <w:tc>
                <w:tcPr>
                  <w:tcW w:w="2233" w:type="dxa"/>
                  <w:tcBorders>
                    <w:tl2br w:val="nil"/>
                    <w:tr2bl w:val="nil"/>
                  </w:tcBorders>
                  <w:vAlign w:val="center"/>
                </w:tcPr>
                <w:p>
                  <w:pPr>
                    <w:adjustRightInd w:val="0"/>
                    <w:snapToGrid w:val="0"/>
                    <w:jc w:val="center"/>
                    <w:rPr>
                      <w:b/>
                      <w:color w:val="auto"/>
                      <w:szCs w:val="21"/>
                      <w:highlight w:val="none"/>
                    </w:rPr>
                  </w:pPr>
                  <w:r>
                    <w:rPr>
                      <w:b/>
                      <w:color w:val="auto"/>
                      <w:szCs w:val="21"/>
                      <w:highlight w:val="none"/>
                    </w:rPr>
                    <w:t>最大存在总量（</w:t>
                  </w:r>
                  <w:r>
                    <w:rPr>
                      <w:b/>
                      <w:color w:val="auto"/>
                      <w:position w:val="-12"/>
                      <w:szCs w:val="21"/>
                      <w:highlight w:val="none"/>
                    </w:rPr>
                    <w:object>
                      <v:shape id="_x0000_i1035" o:spt="75" type="#_x0000_t75" style="height:18.4pt;width:14.25pt;" o:ole="t" filled="f" o:preferrelative="t" stroked="f" coordsize="21600,21600">
                        <v:path/>
                        <v:fill on="f" focussize="0,0"/>
                        <v:stroke on="f"/>
                        <v:imagedata r:id="rId61" o:title=""/>
                        <o:lock v:ext="edit" aspectratio="t"/>
                        <w10:wrap type="none"/>
                        <w10:anchorlock/>
                      </v:shape>
                      <o:OLEObject Type="Embed" ProgID="Equation.3" ShapeID="_x0000_i1035" DrawAspect="Content" ObjectID="_1468075735" r:id="rId60">
                        <o:LockedField>false</o:LockedField>
                      </o:OLEObject>
                    </w:object>
                  </w:r>
                  <w:r>
                    <w:rPr>
                      <w:b/>
                      <w:color w:val="auto"/>
                      <w:szCs w:val="21"/>
                      <w:highlight w:val="none"/>
                    </w:rPr>
                    <w:t>），t</w:t>
                  </w:r>
                </w:p>
              </w:tc>
              <w:tc>
                <w:tcPr>
                  <w:tcW w:w="1245" w:type="dxa"/>
                  <w:tcBorders>
                    <w:tl2br w:val="nil"/>
                    <w:tr2bl w:val="nil"/>
                  </w:tcBorders>
                  <w:vAlign w:val="center"/>
                </w:tcPr>
                <w:p>
                  <w:pPr>
                    <w:adjustRightInd w:val="0"/>
                    <w:snapToGrid w:val="0"/>
                    <w:jc w:val="center"/>
                    <w:rPr>
                      <w:b/>
                      <w:color w:val="auto"/>
                      <w:szCs w:val="21"/>
                      <w:highlight w:val="none"/>
                    </w:rPr>
                  </w:pPr>
                  <w:r>
                    <w:rPr>
                      <w:b/>
                      <w:color w:val="auto"/>
                      <w:szCs w:val="21"/>
                      <w:highlight w:val="none"/>
                    </w:rPr>
                    <w:t>临界量(</w:t>
                  </w:r>
                  <w:r>
                    <w:rPr>
                      <w:b/>
                      <w:color w:val="auto"/>
                      <w:position w:val="-12"/>
                      <w:szCs w:val="21"/>
                      <w:highlight w:val="none"/>
                    </w:rPr>
                    <w:object>
                      <v:shape id="_x0000_i1036" o:spt="75" type="#_x0000_t75" style="height:18.4pt;width:15.9pt;" o:ole="t" filled="f" o:preferrelative="t" stroked="f" coordsize="21600,21600">
                        <v:path/>
                        <v:fill on="f" focussize="0,0"/>
                        <v:stroke on="f"/>
                        <v:imagedata r:id="rId63" o:title=""/>
                        <o:lock v:ext="edit" aspectratio="t"/>
                        <w10:wrap type="none"/>
                        <w10:anchorlock/>
                      </v:shape>
                      <o:OLEObject Type="Embed" ProgID="Equation.3" ShapeID="_x0000_i1036" DrawAspect="Content" ObjectID="_1468075736" r:id="rId62">
                        <o:LockedField>false</o:LockedField>
                      </o:OLEObject>
                    </w:object>
                  </w:r>
                  <w:r>
                    <w:rPr>
                      <w:b/>
                      <w:color w:val="auto"/>
                      <w:szCs w:val="21"/>
                      <w:highlight w:val="none"/>
                    </w:rPr>
                    <w:t>)，t</w:t>
                  </w:r>
                </w:p>
              </w:tc>
              <w:tc>
                <w:tcPr>
                  <w:tcW w:w="1245" w:type="dxa"/>
                  <w:tcBorders>
                    <w:tl2br w:val="nil"/>
                    <w:tr2bl w:val="nil"/>
                  </w:tcBorders>
                  <w:vAlign w:val="center"/>
                </w:tcPr>
                <w:p>
                  <w:pPr>
                    <w:adjustRightInd w:val="0"/>
                    <w:snapToGrid w:val="0"/>
                    <w:jc w:val="center"/>
                    <w:rPr>
                      <w:b/>
                      <w:color w:val="auto"/>
                      <w:szCs w:val="21"/>
                      <w:highlight w:val="none"/>
                    </w:rPr>
                  </w:pPr>
                  <w:r>
                    <w:rPr>
                      <w:b/>
                      <w:color w:val="auto"/>
                      <w:szCs w:val="21"/>
                      <w:highlight w:val="none"/>
                    </w:rPr>
                    <w:t>该种危险物质</w:t>
                  </w:r>
                  <w:r>
                    <w:rPr>
                      <w:b/>
                      <w:bCs/>
                      <w:color w:val="auto"/>
                      <w:spacing w:val="1"/>
                      <w:position w:val="-10"/>
                      <w:szCs w:val="21"/>
                      <w:highlight w:val="none"/>
                    </w:rPr>
                    <w:object>
                      <v:shape id="_x0000_i1037" o:spt="75" type="#_x0000_t75" style="height:15.9pt;width:11.7pt;" o:ole="t" filled="f" o:preferrelative="t" stroked="f" coordsize="21600,21600">
                        <v:path/>
                        <v:fill on="f" focussize="0,0"/>
                        <v:stroke on="f"/>
                        <v:imagedata r:id="rId58" o:title=""/>
                        <o:lock v:ext="edit" aspectratio="t"/>
                        <w10:wrap type="none"/>
                        <w10:anchorlock/>
                      </v:shape>
                      <o:OLEObject Type="Embed" ProgID="Equation.3" ShapeID="_x0000_i1037" DrawAspect="Content" ObjectID="_1468075737" r:id="rId64">
                        <o:LockedField>false</o:LockedField>
                      </o:OLEObject>
                    </w:object>
                  </w:r>
                  <w:r>
                    <w:rPr>
                      <w:b/>
                      <w:bCs/>
                      <w:color w:val="auto"/>
                      <w:spacing w:val="1"/>
                      <w:position w:val="-1"/>
                      <w:szCs w:val="21"/>
                      <w:highlight w:val="none"/>
                    </w:rPr>
                    <w:t>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2" w:hRule="atLeast"/>
                <w:jc w:val="center"/>
              </w:trPr>
              <w:tc>
                <w:tcPr>
                  <w:tcW w:w="1548" w:type="dxa"/>
                  <w:tcBorders>
                    <w:tl2br w:val="nil"/>
                    <w:tr2bl w:val="nil"/>
                  </w:tcBorders>
                  <w:vAlign w:val="center"/>
                </w:tcPr>
                <w:p>
                  <w:pPr>
                    <w:adjustRightInd w:val="0"/>
                    <w:snapToGrid w:val="0"/>
                    <w:jc w:val="center"/>
                    <w:rPr>
                      <w:color w:val="auto"/>
                      <w:szCs w:val="21"/>
                      <w:highlight w:val="none"/>
                    </w:rPr>
                  </w:pPr>
                  <w:r>
                    <w:rPr>
                      <w:rFonts w:hint="eastAsia"/>
                      <w:color w:val="auto"/>
                      <w:szCs w:val="21"/>
                      <w:highlight w:val="none"/>
                    </w:rPr>
                    <w:t>液压油</w:t>
                  </w:r>
                </w:p>
              </w:tc>
              <w:tc>
                <w:tcPr>
                  <w:tcW w:w="2233" w:type="dxa"/>
                  <w:tcBorders>
                    <w:tl2br w:val="nil"/>
                    <w:tr2bl w:val="nil"/>
                  </w:tcBorders>
                  <w:vAlign w:val="center"/>
                </w:tcPr>
                <w:p>
                  <w:pPr>
                    <w:adjustRightInd w:val="0"/>
                    <w:snapToGrid w:val="0"/>
                    <w:jc w:val="center"/>
                    <w:rPr>
                      <w:color w:val="auto"/>
                      <w:szCs w:val="21"/>
                      <w:highlight w:val="none"/>
                    </w:rPr>
                  </w:pPr>
                  <w:r>
                    <w:rPr>
                      <w:color w:val="auto"/>
                      <w:szCs w:val="21"/>
                      <w:highlight w:val="none"/>
                    </w:rPr>
                    <w:t>/</w:t>
                  </w:r>
                </w:p>
              </w:tc>
              <w:tc>
                <w:tcPr>
                  <w:tcW w:w="2233" w:type="dxa"/>
                  <w:tcBorders>
                    <w:tl2br w:val="nil"/>
                    <w:tr2bl w:val="nil"/>
                  </w:tcBorders>
                  <w:vAlign w:val="center"/>
                </w:tcPr>
                <w:p>
                  <w:pPr>
                    <w:adjustRightInd w:val="0"/>
                    <w:snapToGrid w:val="0"/>
                    <w:jc w:val="center"/>
                    <w:rPr>
                      <w:color w:val="auto"/>
                      <w:szCs w:val="21"/>
                      <w:highlight w:val="none"/>
                    </w:rPr>
                  </w:pPr>
                  <w:r>
                    <w:rPr>
                      <w:rFonts w:hint="eastAsia"/>
                      <w:color w:val="auto"/>
                      <w:szCs w:val="21"/>
                      <w:highlight w:val="none"/>
                    </w:rPr>
                    <w:t>0.17</w:t>
                  </w:r>
                </w:p>
              </w:tc>
              <w:tc>
                <w:tcPr>
                  <w:tcW w:w="1245" w:type="dxa"/>
                  <w:tcBorders>
                    <w:tl2br w:val="nil"/>
                    <w:tr2bl w:val="nil"/>
                  </w:tcBorders>
                  <w:vAlign w:val="center"/>
                </w:tcPr>
                <w:p>
                  <w:pPr>
                    <w:adjustRightInd w:val="0"/>
                    <w:snapToGrid w:val="0"/>
                    <w:jc w:val="center"/>
                    <w:rPr>
                      <w:color w:val="auto"/>
                      <w:szCs w:val="21"/>
                      <w:highlight w:val="none"/>
                    </w:rPr>
                  </w:pPr>
                  <w:r>
                    <w:rPr>
                      <w:color w:val="auto"/>
                      <w:szCs w:val="21"/>
                      <w:highlight w:val="none"/>
                    </w:rPr>
                    <w:t>2500</w:t>
                  </w:r>
                </w:p>
              </w:tc>
              <w:tc>
                <w:tcPr>
                  <w:tcW w:w="1245" w:type="dxa"/>
                  <w:tcBorders>
                    <w:tl2br w:val="nil"/>
                    <w:tr2bl w:val="nil"/>
                  </w:tcBorders>
                  <w:vAlign w:val="center"/>
                </w:tcPr>
                <w:p>
                  <w:pPr>
                    <w:jc w:val="center"/>
                    <w:rPr>
                      <w:color w:val="auto"/>
                      <w:szCs w:val="21"/>
                      <w:highlight w:val="none"/>
                    </w:rPr>
                  </w:pPr>
                  <w:r>
                    <w:rPr>
                      <w:rFonts w:hint="eastAsia"/>
                      <w:color w:val="auto"/>
                      <w:szCs w:val="21"/>
                      <w:highlight w:val="none"/>
                    </w:rPr>
                    <w:t>0.000068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6" w:hRule="atLeast"/>
                <w:jc w:val="center"/>
              </w:trPr>
              <w:tc>
                <w:tcPr>
                  <w:tcW w:w="1548" w:type="dxa"/>
                  <w:tcBorders>
                    <w:tl2br w:val="nil"/>
                    <w:tr2bl w:val="nil"/>
                  </w:tcBorders>
                  <w:vAlign w:val="center"/>
                </w:tcPr>
                <w:p>
                  <w:pPr>
                    <w:adjustRightInd w:val="0"/>
                    <w:snapToGrid w:val="0"/>
                    <w:jc w:val="center"/>
                    <w:rPr>
                      <w:color w:val="auto"/>
                      <w:szCs w:val="21"/>
                      <w:highlight w:val="none"/>
                    </w:rPr>
                  </w:pPr>
                  <w:r>
                    <w:rPr>
                      <w:rFonts w:hint="eastAsia"/>
                      <w:color w:val="auto"/>
                      <w:szCs w:val="21"/>
                      <w:highlight w:val="none"/>
                    </w:rPr>
                    <w:t>润滑油</w:t>
                  </w:r>
                </w:p>
              </w:tc>
              <w:tc>
                <w:tcPr>
                  <w:tcW w:w="2233" w:type="dxa"/>
                  <w:tcBorders>
                    <w:tl2br w:val="nil"/>
                    <w:tr2bl w:val="nil"/>
                  </w:tcBorders>
                  <w:vAlign w:val="center"/>
                </w:tcPr>
                <w:p>
                  <w:pPr>
                    <w:adjustRightInd w:val="0"/>
                    <w:snapToGrid w:val="0"/>
                    <w:jc w:val="center"/>
                    <w:rPr>
                      <w:color w:val="auto"/>
                      <w:szCs w:val="21"/>
                      <w:highlight w:val="none"/>
                    </w:rPr>
                  </w:pPr>
                  <w:r>
                    <w:rPr>
                      <w:color w:val="auto"/>
                      <w:szCs w:val="21"/>
                      <w:highlight w:val="none"/>
                    </w:rPr>
                    <w:t>/</w:t>
                  </w:r>
                </w:p>
              </w:tc>
              <w:tc>
                <w:tcPr>
                  <w:tcW w:w="2233" w:type="dxa"/>
                  <w:tcBorders>
                    <w:tl2br w:val="nil"/>
                    <w:tr2bl w:val="nil"/>
                  </w:tcBorders>
                  <w:vAlign w:val="center"/>
                </w:tcPr>
                <w:p>
                  <w:pPr>
                    <w:adjustRightInd w:val="0"/>
                    <w:snapToGrid w:val="0"/>
                    <w:jc w:val="center"/>
                    <w:rPr>
                      <w:color w:val="auto"/>
                      <w:szCs w:val="21"/>
                      <w:highlight w:val="none"/>
                    </w:rPr>
                  </w:pPr>
                  <w:r>
                    <w:rPr>
                      <w:rFonts w:hint="eastAsia"/>
                      <w:color w:val="auto"/>
                      <w:szCs w:val="21"/>
                      <w:highlight w:val="none"/>
                    </w:rPr>
                    <w:t>0.02</w:t>
                  </w:r>
                </w:p>
              </w:tc>
              <w:tc>
                <w:tcPr>
                  <w:tcW w:w="1245" w:type="dxa"/>
                  <w:tcBorders>
                    <w:tl2br w:val="nil"/>
                    <w:tr2bl w:val="nil"/>
                  </w:tcBorders>
                  <w:vAlign w:val="center"/>
                </w:tcPr>
                <w:p>
                  <w:pPr>
                    <w:adjustRightInd w:val="0"/>
                    <w:snapToGrid w:val="0"/>
                    <w:jc w:val="center"/>
                    <w:rPr>
                      <w:color w:val="auto"/>
                      <w:szCs w:val="21"/>
                      <w:highlight w:val="none"/>
                    </w:rPr>
                  </w:pPr>
                  <w:r>
                    <w:rPr>
                      <w:rFonts w:hint="eastAsia"/>
                      <w:color w:val="auto"/>
                      <w:szCs w:val="21"/>
                      <w:highlight w:val="none"/>
                    </w:rPr>
                    <w:t>2500</w:t>
                  </w:r>
                </w:p>
              </w:tc>
              <w:tc>
                <w:tcPr>
                  <w:tcW w:w="1245" w:type="dxa"/>
                  <w:tcBorders>
                    <w:tl2br w:val="nil"/>
                    <w:tr2bl w:val="nil"/>
                  </w:tcBorders>
                  <w:vAlign w:val="center"/>
                </w:tcPr>
                <w:p>
                  <w:pPr>
                    <w:jc w:val="center"/>
                    <w:rPr>
                      <w:color w:val="auto"/>
                      <w:szCs w:val="21"/>
                      <w:highlight w:val="none"/>
                    </w:rPr>
                  </w:pPr>
                  <w:r>
                    <w:rPr>
                      <w:rFonts w:hint="eastAsia"/>
                      <w:color w:val="auto"/>
                      <w:szCs w:val="21"/>
                      <w:highlight w:val="none"/>
                    </w:rPr>
                    <w:t>0.000008</w:t>
                  </w:r>
                </w:p>
              </w:tc>
            </w:tr>
          </w:tbl>
          <w:p>
            <w:pPr>
              <w:spacing w:line="360" w:lineRule="auto"/>
              <w:ind w:firstLine="480" w:firstLineChars="200"/>
              <w:rPr>
                <w:color w:val="auto"/>
                <w:sz w:val="24"/>
                <w:highlight w:val="none"/>
              </w:rPr>
            </w:pPr>
            <w:r>
              <w:rPr>
                <w:color w:val="auto"/>
                <w:sz w:val="24"/>
                <w:highlight w:val="none"/>
              </w:rPr>
              <w:t>经计算，</w:t>
            </w:r>
            <w:r>
              <w:rPr>
                <w:color w:val="auto"/>
                <w:position w:val="-30"/>
                <w:sz w:val="24"/>
                <w:highlight w:val="none"/>
              </w:rPr>
              <w:object>
                <v:shape id="_x0000_i1038" o:spt="75" type="#_x0000_t75" style="height:32.65pt;width:101.3pt;" o:ole="t" filled="f" o:preferrelative="t" stroked="f" coordsize="21600,21600">
                  <v:path/>
                  <v:fill on="f" focussize="0,0"/>
                  <v:stroke on="f"/>
                  <v:imagedata r:id="rId66" o:title=""/>
                  <o:lock v:ext="edit" aspectratio="t"/>
                  <w10:wrap type="none"/>
                  <w10:anchorlock/>
                </v:shape>
                <o:OLEObject Type="Embed" ProgID="Equation.3" ShapeID="_x0000_i1038" DrawAspect="Content" ObjectID="_1468075738" r:id="rId65">
                  <o:LockedField>false</o:LockedField>
                </o:OLEObject>
              </w:object>
            </w:r>
            <w:r>
              <w:rPr>
                <w:color w:val="auto"/>
                <w:sz w:val="24"/>
                <w:highlight w:val="none"/>
              </w:rPr>
              <w:t>，</w:t>
            </w:r>
            <w:r>
              <w:rPr>
                <w:rFonts w:hint="eastAsia"/>
                <w:color w:val="auto"/>
                <w:sz w:val="24"/>
                <w:highlight w:val="none"/>
              </w:rPr>
              <w:t>项目环境风险潜势为</w:t>
            </w:r>
            <w:r>
              <w:rPr>
                <w:rFonts w:hint="eastAsia" w:ascii="微软雅黑" w:hAnsi="微软雅黑" w:eastAsia="微软雅黑" w:cs="微软雅黑"/>
                <w:color w:val="auto"/>
                <w:sz w:val="24"/>
                <w:highlight w:val="none"/>
              </w:rPr>
              <w:t>Ⅰ</w:t>
            </w:r>
            <w:r>
              <w:rPr>
                <w:color w:val="auto"/>
                <w:sz w:val="24"/>
                <w:highlight w:val="none"/>
              </w:rPr>
              <w:t>。</w:t>
            </w:r>
          </w:p>
          <w:p>
            <w:pPr>
              <w:autoSpaceDE w:val="0"/>
              <w:autoSpaceDN w:val="0"/>
              <w:spacing w:line="360" w:lineRule="auto"/>
              <w:ind w:firstLine="480" w:firstLineChars="200"/>
              <w:rPr>
                <w:color w:val="auto"/>
                <w:sz w:val="24"/>
                <w:highlight w:val="none"/>
              </w:rPr>
            </w:pPr>
            <w:r>
              <w:rPr>
                <w:rFonts w:hint="eastAsia"/>
                <w:color w:val="auto"/>
                <w:sz w:val="24"/>
                <w:highlight w:val="none"/>
              </w:rPr>
              <w:t>3、</w:t>
            </w:r>
            <w:r>
              <w:rPr>
                <w:color w:val="auto"/>
                <w:sz w:val="24"/>
                <w:highlight w:val="none"/>
              </w:rPr>
              <w:t xml:space="preserve">评价工作等级 </w:t>
            </w:r>
          </w:p>
          <w:p>
            <w:pPr>
              <w:spacing w:line="360" w:lineRule="auto"/>
              <w:ind w:firstLine="480" w:firstLineChars="200"/>
              <w:rPr>
                <w:rFonts w:eastAsiaTheme="minorEastAsia"/>
                <w:color w:val="auto"/>
                <w:sz w:val="24"/>
                <w:highlight w:val="none"/>
              </w:rPr>
            </w:pPr>
            <w:r>
              <w:rPr>
                <w:rFonts w:eastAsiaTheme="minorEastAsia"/>
                <w:color w:val="auto"/>
                <w:sz w:val="24"/>
                <w:highlight w:val="none"/>
              </w:rPr>
              <w:t>根据《建设项目环境风险评价技术导则》（HJ169-2018），风险潜势为Ⅰ，可开展简单分析。因此本报告对本项目开展环境风险简单分析。</w:t>
            </w:r>
          </w:p>
          <w:p>
            <w:pPr>
              <w:spacing w:line="360" w:lineRule="auto"/>
              <w:ind w:firstLine="480" w:firstLineChars="200"/>
              <w:rPr>
                <w:rFonts w:eastAsiaTheme="minorEastAsia"/>
                <w:color w:val="auto"/>
                <w:sz w:val="24"/>
                <w:highlight w:val="none"/>
              </w:rPr>
            </w:pPr>
            <w:r>
              <w:rPr>
                <w:rFonts w:eastAsiaTheme="minorEastAsia"/>
                <w:color w:val="auto"/>
                <w:sz w:val="24"/>
                <w:highlight w:val="none"/>
              </w:rPr>
              <w:t>（</w:t>
            </w:r>
            <w:r>
              <w:rPr>
                <w:rFonts w:hint="eastAsia" w:eastAsiaTheme="minorEastAsia"/>
                <w:color w:val="auto"/>
                <w:sz w:val="24"/>
                <w:highlight w:val="none"/>
              </w:rPr>
              <w:t>三</w:t>
            </w:r>
            <w:r>
              <w:rPr>
                <w:rFonts w:eastAsiaTheme="minorEastAsia"/>
                <w:color w:val="auto"/>
                <w:sz w:val="24"/>
                <w:highlight w:val="none"/>
              </w:rPr>
              <w:t>）生产过程风险识别</w:t>
            </w:r>
          </w:p>
          <w:p>
            <w:pPr>
              <w:spacing w:line="360" w:lineRule="auto"/>
              <w:ind w:firstLine="480" w:firstLineChars="200"/>
              <w:rPr>
                <w:rFonts w:eastAsiaTheme="minorEastAsia"/>
                <w:color w:val="auto"/>
                <w:sz w:val="24"/>
                <w:highlight w:val="none"/>
              </w:rPr>
            </w:pPr>
            <w:r>
              <w:rPr>
                <w:rFonts w:eastAsiaTheme="minorEastAsia"/>
                <w:color w:val="auto"/>
                <w:sz w:val="24"/>
                <w:highlight w:val="none"/>
              </w:rPr>
              <w:t>本项目主要为危险废物储存点、仓库和废气处理设施存在环境风险，识别如下表所示：</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生产过程风险源识别</w:t>
            </w:r>
          </w:p>
          <w:tbl>
            <w:tblPr>
              <w:tblStyle w:val="41"/>
              <w:tblW w:w="90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1"/>
              <w:gridCol w:w="1159"/>
              <w:gridCol w:w="3341"/>
              <w:gridCol w:w="2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1" w:type="dxa"/>
                  <w:vAlign w:val="center"/>
                </w:tcPr>
                <w:p>
                  <w:pPr>
                    <w:spacing w:line="276" w:lineRule="auto"/>
                    <w:jc w:val="center"/>
                    <w:rPr>
                      <w:rFonts w:eastAsiaTheme="minorEastAsia"/>
                      <w:b/>
                      <w:bCs/>
                      <w:color w:val="auto"/>
                      <w:szCs w:val="21"/>
                      <w:highlight w:val="none"/>
                    </w:rPr>
                  </w:pPr>
                  <w:r>
                    <w:rPr>
                      <w:rFonts w:eastAsiaTheme="minorEastAsia"/>
                      <w:b/>
                      <w:bCs/>
                      <w:color w:val="auto"/>
                      <w:szCs w:val="21"/>
                      <w:highlight w:val="none"/>
                    </w:rPr>
                    <w:t>危险目标</w:t>
                  </w:r>
                </w:p>
              </w:tc>
              <w:tc>
                <w:tcPr>
                  <w:tcW w:w="1159" w:type="dxa"/>
                  <w:vAlign w:val="center"/>
                </w:tcPr>
                <w:p>
                  <w:pPr>
                    <w:spacing w:line="276" w:lineRule="auto"/>
                    <w:jc w:val="center"/>
                    <w:rPr>
                      <w:rFonts w:eastAsiaTheme="minorEastAsia"/>
                      <w:b/>
                      <w:bCs/>
                      <w:color w:val="auto"/>
                      <w:szCs w:val="21"/>
                      <w:highlight w:val="none"/>
                    </w:rPr>
                  </w:pPr>
                  <w:r>
                    <w:rPr>
                      <w:rFonts w:eastAsiaTheme="minorEastAsia"/>
                      <w:b/>
                      <w:bCs/>
                      <w:color w:val="auto"/>
                      <w:szCs w:val="21"/>
                      <w:highlight w:val="none"/>
                    </w:rPr>
                    <w:t>事故类型</w:t>
                  </w:r>
                </w:p>
              </w:tc>
              <w:tc>
                <w:tcPr>
                  <w:tcW w:w="3341" w:type="dxa"/>
                  <w:vAlign w:val="center"/>
                </w:tcPr>
                <w:p>
                  <w:pPr>
                    <w:spacing w:line="276" w:lineRule="auto"/>
                    <w:jc w:val="center"/>
                    <w:rPr>
                      <w:rFonts w:eastAsiaTheme="minorEastAsia"/>
                      <w:b/>
                      <w:bCs/>
                      <w:color w:val="auto"/>
                      <w:szCs w:val="21"/>
                      <w:highlight w:val="none"/>
                    </w:rPr>
                  </w:pPr>
                  <w:r>
                    <w:rPr>
                      <w:rFonts w:eastAsiaTheme="minorEastAsia"/>
                      <w:b/>
                      <w:bCs/>
                      <w:color w:val="auto"/>
                      <w:szCs w:val="21"/>
                      <w:highlight w:val="none"/>
                    </w:rPr>
                    <w:t>事故引发可能原因及后果</w:t>
                  </w:r>
                </w:p>
              </w:tc>
              <w:tc>
                <w:tcPr>
                  <w:tcW w:w="2725" w:type="dxa"/>
                  <w:vAlign w:val="center"/>
                </w:tcPr>
                <w:p>
                  <w:pPr>
                    <w:spacing w:line="276" w:lineRule="auto"/>
                    <w:jc w:val="center"/>
                    <w:rPr>
                      <w:rFonts w:eastAsiaTheme="minorEastAsia"/>
                      <w:b/>
                      <w:bCs/>
                      <w:color w:val="auto"/>
                      <w:szCs w:val="21"/>
                      <w:highlight w:val="none"/>
                    </w:rPr>
                  </w:pPr>
                  <w:r>
                    <w:rPr>
                      <w:rFonts w:eastAsiaTheme="minorEastAsia"/>
                      <w:b/>
                      <w:bCs/>
                      <w:color w:val="auto"/>
                      <w:szCs w:val="21"/>
                      <w:highlight w:val="none"/>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1"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危险废物暂存点</w:t>
                  </w:r>
                </w:p>
              </w:tc>
              <w:tc>
                <w:tcPr>
                  <w:tcW w:w="115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泄漏</w:t>
                  </w:r>
                </w:p>
              </w:tc>
              <w:tc>
                <w:tcPr>
                  <w:tcW w:w="3341"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危险废物装卸或存储过程中可能会发生泄漏可能污染地下水，或可能由于恶劣天气影响，导致雨水渗入等</w:t>
                  </w:r>
                </w:p>
              </w:tc>
              <w:tc>
                <w:tcPr>
                  <w:tcW w:w="2725"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储存危险废物必须严实包装，储存场地硬底化，设置漫坡围堰，储存场地选择室内或设置遮雨措施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1"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仓库</w:t>
                  </w:r>
                </w:p>
              </w:tc>
              <w:tc>
                <w:tcPr>
                  <w:tcW w:w="115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泄漏</w:t>
                  </w:r>
                </w:p>
              </w:tc>
              <w:tc>
                <w:tcPr>
                  <w:tcW w:w="3341"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化学品装卸或存储过程中可能会发生泄漏可能污染地下水，或可能由于恶劣天气影响，导致雨水渗入等</w:t>
                  </w:r>
                </w:p>
              </w:tc>
              <w:tc>
                <w:tcPr>
                  <w:tcW w:w="2725"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储存化学品必须严实包装，储存场地硬底化，设置漫坡围堰，储存场地选择室内或设置遮雨措施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1"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废气收集排放系</w:t>
                  </w:r>
                </w:p>
                <w:p>
                  <w:pPr>
                    <w:spacing w:line="276" w:lineRule="auto"/>
                    <w:jc w:val="center"/>
                    <w:rPr>
                      <w:rFonts w:eastAsiaTheme="minorEastAsia"/>
                      <w:color w:val="auto"/>
                      <w:szCs w:val="21"/>
                      <w:highlight w:val="none"/>
                    </w:rPr>
                  </w:pPr>
                  <w:r>
                    <w:rPr>
                      <w:rFonts w:eastAsiaTheme="minorEastAsia"/>
                      <w:color w:val="auto"/>
                      <w:szCs w:val="21"/>
                      <w:highlight w:val="none"/>
                    </w:rPr>
                    <w:t>统</w:t>
                  </w:r>
                </w:p>
              </w:tc>
              <w:tc>
                <w:tcPr>
                  <w:tcW w:w="115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废气事故排放</w:t>
                  </w:r>
                </w:p>
              </w:tc>
              <w:tc>
                <w:tcPr>
                  <w:tcW w:w="3341"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设备故障，或管道损坏，会导致</w:t>
                  </w:r>
                </w:p>
                <w:p>
                  <w:pPr>
                    <w:spacing w:line="276" w:lineRule="auto"/>
                    <w:jc w:val="center"/>
                    <w:rPr>
                      <w:rFonts w:eastAsiaTheme="minorEastAsia"/>
                      <w:color w:val="auto"/>
                      <w:szCs w:val="21"/>
                      <w:highlight w:val="none"/>
                    </w:rPr>
                  </w:pPr>
                  <w:r>
                    <w:rPr>
                      <w:rFonts w:eastAsiaTheme="minorEastAsia"/>
                      <w:color w:val="auto"/>
                      <w:szCs w:val="21"/>
                      <w:highlight w:val="none"/>
                    </w:rPr>
                    <w:t>废气未经有效收集处理直接排</w:t>
                  </w:r>
                </w:p>
                <w:p>
                  <w:pPr>
                    <w:spacing w:line="276" w:lineRule="auto"/>
                    <w:jc w:val="center"/>
                    <w:rPr>
                      <w:rFonts w:eastAsiaTheme="minorEastAsia"/>
                      <w:color w:val="auto"/>
                      <w:szCs w:val="21"/>
                      <w:highlight w:val="none"/>
                    </w:rPr>
                  </w:pPr>
                  <w:r>
                    <w:rPr>
                      <w:rFonts w:eastAsiaTheme="minorEastAsia"/>
                      <w:color w:val="auto"/>
                      <w:szCs w:val="21"/>
                      <w:highlight w:val="none"/>
                    </w:rPr>
                    <w:t>放，影响周边大气环境</w:t>
                  </w:r>
                </w:p>
              </w:tc>
              <w:tc>
                <w:tcPr>
                  <w:tcW w:w="2725"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加强检修维护，确保废气收集系统的正常运行</w:t>
                  </w:r>
                </w:p>
              </w:tc>
            </w:tr>
          </w:tbl>
          <w:p>
            <w:pPr>
              <w:spacing w:line="360" w:lineRule="auto"/>
              <w:ind w:firstLine="480" w:firstLineChars="200"/>
              <w:rPr>
                <w:rFonts w:eastAsiaTheme="minorEastAsia"/>
                <w:color w:val="auto"/>
                <w:sz w:val="24"/>
                <w:highlight w:val="none"/>
              </w:rPr>
            </w:pPr>
            <w:r>
              <w:rPr>
                <w:rFonts w:eastAsiaTheme="minorEastAsia"/>
                <w:color w:val="auto"/>
                <w:sz w:val="24"/>
                <w:highlight w:val="none"/>
              </w:rPr>
              <w:t>（</w:t>
            </w:r>
            <w:r>
              <w:rPr>
                <w:rFonts w:hint="eastAsia" w:eastAsiaTheme="minorEastAsia"/>
                <w:color w:val="auto"/>
                <w:sz w:val="24"/>
                <w:highlight w:val="none"/>
              </w:rPr>
              <w:t>四</w:t>
            </w:r>
            <w:r>
              <w:rPr>
                <w:rFonts w:eastAsiaTheme="minorEastAsia"/>
                <w:color w:val="auto"/>
                <w:sz w:val="24"/>
                <w:highlight w:val="none"/>
              </w:rPr>
              <w:t>）源项分析</w:t>
            </w:r>
          </w:p>
          <w:p>
            <w:pPr>
              <w:spacing w:line="360" w:lineRule="auto"/>
              <w:ind w:firstLine="480" w:firstLineChars="200"/>
              <w:rPr>
                <w:rFonts w:eastAsiaTheme="minorEastAsia"/>
                <w:color w:val="auto"/>
                <w:sz w:val="24"/>
                <w:highlight w:val="none"/>
              </w:rPr>
            </w:pPr>
            <w:r>
              <w:rPr>
                <w:rFonts w:eastAsiaTheme="minorEastAsia"/>
                <w:color w:val="auto"/>
                <w:sz w:val="24"/>
                <w:highlight w:val="none"/>
              </w:rPr>
              <w:t>风险事故类型分为火灾、爆炸和泄漏三种。结合本项目的工程特征，潜在的风险事故可以分为</w:t>
            </w:r>
            <w:r>
              <w:rPr>
                <w:rFonts w:hint="eastAsia" w:eastAsiaTheme="minorEastAsia"/>
                <w:color w:val="auto"/>
                <w:sz w:val="24"/>
                <w:highlight w:val="none"/>
              </w:rPr>
              <w:t>四</w:t>
            </w:r>
            <w:r>
              <w:rPr>
                <w:rFonts w:eastAsiaTheme="minorEastAsia"/>
                <w:color w:val="auto"/>
                <w:sz w:val="24"/>
                <w:highlight w:val="none"/>
              </w:rPr>
              <w:t>大类：一是有化学品的泄漏，造成环境污染；二是</w:t>
            </w:r>
            <w:r>
              <w:rPr>
                <w:rFonts w:hint="eastAsia" w:eastAsiaTheme="minorEastAsia"/>
                <w:color w:val="auto"/>
                <w:sz w:val="24"/>
                <w:highlight w:val="none"/>
              </w:rPr>
              <w:t>大</w:t>
            </w:r>
            <w:r>
              <w:rPr>
                <w:rFonts w:eastAsiaTheme="minorEastAsia"/>
                <w:color w:val="auto"/>
                <w:sz w:val="24"/>
                <w:highlight w:val="none"/>
              </w:rPr>
              <w:t>气污染物发生风险事故排放，造成环境污染事故；三是危险废物贮存不当引起的污染；四是因</w:t>
            </w:r>
            <w:r>
              <w:rPr>
                <w:rFonts w:hint="eastAsia" w:eastAsiaTheme="minorEastAsia"/>
                <w:color w:val="auto"/>
                <w:sz w:val="24"/>
                <w:highlight w:val="none"/>
              </w:rPr>
              <w:t>液压油、润滑油</w:t>
            </w:r>
            <w:r>
              <w:rPr>
                <w:rFonts w:eastAsiaTheme="minorEastAsia"/>
                <w:color w:val="auto"/>
                <w:sz w:val="24"/>
                <w:highlight w:val="none"/>
              </w:rPr>
              <w:t>泄漏引起火灾，随消防废水进入市政管网或周边水体。</w:t>
            </w:r>
          </w:p>
          <w:p>
            <w:pPr>
              <w:spacing w:line="360" w:lineRule="auto"/>
              <w:ind w:firstLine="480" w:firstLineChars="200"/>
              <w:rPr>
                <w:rFonts w:eastAsiaTheme="minorEastAsia"/>
                <w:color w:val="auto"/>
                <w:sz w:val="24"/>
                <w:highlight w:val="none"/>
              </w:rPr>
            </w:pPr>
            <w:r>
              <w:rPr>
                <w:rFonts w:eastAsiaTheme="minorEastAsia"/>
                <w:color w:val="auto"/>
                <w:sz w:val="24"/>
                <w:highlight w:val="none"/>
              </w:rPr>
              <w:t>（</w:t>
            </w:r>
            <w:r>
              <w:rPr>
                <w:rFonts w:hint="eastAsia" w:eastAsiaTheme="minorEastAsia"/>
                <w:color w:val="auto"/>
                <w:sz w:val="24"/>
                <w:highlight w:val="none"/>
              </w:rPr>
              <w:t>五</w:t>
            </w:r>
            <w:r>
              <w:rPr>
                <w:rFonts w:eastAsiaTheme="minorEastAsia"/>
                <w:color w:val="auto"/>
                <w:sz w:val="24"/>
                <w:highlight w:val="none"/>
              </w:rPr>
              <w:t>）风险防范措施</w:t>
            </w:r>
          </w:p>
          <w:p>
            <w:pPr>
              <w:spacing w:line="360" w:lineRule="auto"/>
              <w:ind w:firstLine="480" w:firstLineChars="200"/>
              <w:rPr>
                <w:rFonts w:eastAsiaTheme="minorEastAsia"/>
                <w:color w:val="auto"/>
                <w:sz w:val="24"/>
                <w:highlight w:val="none"/>
              </w:rPr>
            </w:pPr>
            <w:r>
              <w:rPr>
                <w:rFonts w:eastAsiaTheme="minorEastAsia"/>
                <w:color w:val="auto"/>
                <w:sz w:val="24"/>
                <w:highlight w:val="none"/>
              </w:rPr>
              <w:t>①公司应当定期对废气收集排放系统定期进行检修维护。</w:t>
            </w:r>
          </w:p>
          <w:p>
            <w:pPr>
              <w:spacing w:line="360" w:lineRule="auto"/>
              <w:ind w:firstLine="480" w:firstLineChars="200"/>
              <w:rPr>
                <w:rFonts w:eastAsiaTheme="minorEastAsia"/>
                <w:color w:val="auto"/>
                <w:sz w:val="24"/>
                <w:highlight w:val="none"/>
              </w:rPr>
            </w:pPr>
            <w:r>
              <w:rPr>
                <w:rFonts w:eastAsiaTheme="minorEastAsia"/>
                <w:color w:val="auto"/>
                <w:sz w:val="24"/>
                <w:highlight w:val="none"/>
              </w:rPr>
              <w:t>②储存化学品必须严实包装，储存场地硬底化，设置漫坡围堰，储存场地选择室内或设置遮雨措施</w:t>
            </w:r>
            <w:r>
              <w:rPr>
                <w:rFonts w:hint="eastAsia" w:eastAsiaTheme="minorEastAsia"/>
                <w:color w:val="auto"/>
                <w:sz w:val="24"/>
                <w:highlight w:val="none"/>
              </w:rPr>
              <w:t>。</w:t>
            </w:r>
          </w:p>
          <w:p>
            <w:pPr>
              <w:spacing w:line="360" w:lineRule="auto"/>
              <w:ind w:firstLine="480" w:firstLineChars="200"/>
              <w:rPr>
                <w:rFonts w:eastAsiaTheme="minorEastAsia"/>
                <w:color w:val="auto"/>
                <w:sz w:val="24"/>
                <w:highlight w:val="none"/>
              </w:rPr>
            </w:pPr>
            <w:r>
              <w:rPr>
                <w:rFonts w:hint="eastAsia" w:eastAsiaTheme="minorEastAsia"/>
                <w:color w:val="auto"/>
                <w:sz w:val="24"/>
                <w:highlight w:val="none"/>
              </w:rPr>
              <w:t>③</w:t>
            </w:r>
            <w:r>
              <w:rPr>
                <w:rFonts w:eastAsiaTheme="minorEastAsia"/>
                <w:color w:val="auto"/>
                <w:sz w:val="24"/>
                <w:highlight w:val="none"/>
              </w:rPr>
              <w:t>按照《危险废物贮存污染控制标准》（（GB18597-2001）及2013年修改单）对危险废物暂存场进行设计和建设，同时将危险废物交有相关资质单位处理，做好供应商的管理。同时严格按《危险废物转移联单管理办法》做好转移记录。</w:t>
            </w:r>
          </w:p>
          <w:p>
            <w:pPr>
              <w:spacing w:line="360" w:lineRule="auto"/>
              <w:ind w:firstLine="480" w:firstLineChars="200"/>
              <w:rPr>
                <w:rFonts w:eastAsiaTheme="minorEastAsia"/>
                <w:color w:val="auto"/>
                <w:sz w:val="24"/>
                <w:highlight w:val="none"/>
              </w:rPr>
            </w:pPr>
            <w:r>
              <w:rPr>
                <w:rFonts w:eastAsiaTheme="minorEastAsia"/>
                <w:color w:val="auto"/>
                <w:sz w:val="24"/>
                <w:highlight w:val="none"/>
              </w:rPr>
              <w:t>（</w:t>
            </w:r>
            <w:r>
              <w:rPr>
                <w:rFonts w:hint="eastAsia" w:eastAsiaTheme="minorEastAsia"/>
                <w:color w:val="auto"/>
                <w:sz w:val="24"/>
                <w:highlight w:val="none"/>
              </w:rPr>
              <w:t>六</w:t>
            </w:r>
            <w:r>
              <w:rPr>
                <w:rFonts w:eastAsiaTheme="minorEastAsia"/>
                <w:color w:val="auto"/>
                <w:sz w:val="24"/>
                <w:highlight w:val="none"/>
              </w:rPr>
              <w:t>）评价小结</w:t>
            </w:r>
          </w:p>
          <w:p>
            <w:pPr>
              <w:spacing w:line="360" w:lineRule="auto"/>
              <w:ind w:firstLine="480" w:firstLineChars="200"/>
              <w:rPr>
                <w:rFonts w:eastAsiaTheme="minorEastAsia"/>
                <w:color w:val="auto"/>
                <w:sz w:val="24"/>
                <w:highlight w:val="none"/>
              </w:rPr>
            </w:pPr>
            <w:r>
              <w:rPr>
                <w:rFonts w:eastAsiaTheme="minorEastAsia"/>
                <w:color w:val="auto"/>
                <w:sz w:val="24"/>
                <w:highlight w:val="none"/>
              </w:rPr>
              <w:t>项目物质不构成重大危险源</w:t>
            </w:r>
            <w:r>
              <w:rPr>
                <w:rFonts w:hint="eastAsia" w:eastAsiaTheme="minorEastAsia"/>
                <w:color w:val="auto"/>
                <w:sz w:val="24"/>
                <w:highlight w:val="none"/>
              </w:rPr>
              <w:t>，</w:t>
            </w:r>
            <w:r>
              <w:rPr>
                <w:rFonts w:eastAsiaTheme="minorEastAsia"/>
                <w:color w:val="auto"/>
                <w:sz w:val="24"/>
                <w:highlight w:val="none"/>
              </w:rPr>
              <w:t>企业在落实相应风险防范和控制措施的情况下，总体环境风险可控。</w:t>
            </w:r>
          </w:p>
          <w:p>
            <w:pPr>
              <w:spacing w:line="360" w:lineRule="auto"/>
              <w:ind w:firstLine="480" w:firstLineChars="200"/>
              <w:rPr>
                <w:rFonts w:eastAsiaTheme="minorEastAsia"/>
                <w:color w:val="auto"/>
                <w:sz w:val="24"/>
                <w:highlight w:val="none"/>
              </w:rPr>
            </w:pPr>
            <w:r>
              <w:rPr>
                <w:rFonts w:eastAsiaTheme="minorEastAsia"/>
                <w:color w:val="auto"/>
                <w:sz w:val="24"/>
                <w:highlight w:val="none"/>
              </w:rPr>
              <w:t>（</w:t>
            </w:r>
            <w:r>
              <w:rPr>
                <w:rFonts w:hint="eastAsia" w:eastAsiaTheme="minorEastAsia"/>
                <w:color w:val="auto"/>
                <w:sz w:val="24"/>
                <w:highlight w:val="none"/>
              </w:rPr>
              <w:t>七</w:t>
            </w:r>
            <w:r>
              <w:rPr>
                <w:rFonts w:eastAsiaTheme="minorEastAsia"/>
                <w:color w:val="auto"/>
                <w:sz w:val="24"/>
                <w:highlight w:val="none"/>
              </w:rPr>
              <w:t>）建设项目环境风险简单分析内容表</w:t>
            </w:r>
          </w:p>
          <w:p>
            <w:pPr>
              <w:pStyle w:val="138"/>
              <w:numPr>
                <w:ilvl w:val="0"/>
                <w:numId w:val="5"/>
              </w:numPr>
              <w:tabs>
                <w:tab w:val="left" w:pos="420"/>
              </w:tabs>
              <w:spacing w:line="360" w:lineRule="auto"/>
              <w:ind w:left="0" w:firstLine="471"/>
              <w:rPr>
                <w:rFonts w:eastAsia="宋体" w:cs="Times New Roman"/>
                <w:b/>
                <w:color w:val="auto"/>
                <w:sz w:val="21"/>
                <w:szCs w:val="21"/>
                <w:highlight w:val="none"/>
              </w:rPr>
            </w:pPr>
            <w:r>
              <w:rPr>
                <w:rFonts w:eastAsia="宋体" w:cs="Times New Roman"/>
                <w:b/>
                <w:color w:val="auto"/>
                <w:sz w:val="21"/>
                <w:szCs w:val="21"/>
                <w:highlight w:val="none"/>
              </w:rPr>
              <w:t>项目环境风险简单分析内容表</w:t>
            </w:r>
          </w:p>
          <w:tbl>
            <w:tblPr>
              <w:tblStyle w:val="41"/>
              <w:tblW w:w="93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36"/>
              <w:gridCol w:w="1766"/>
              <w:gridCol w:w="1739"/>
              <w:gridCol w:w="1739"/>
              <w:gridCol w:w="1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33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建设项目名称</w:t>
                  </w:r>
                </w:p>
              </w:tc>
              <w:tc>
                <w:tcPr>
                  <w:tcW w:w="6984" w:type="dxa"/>
                  <w:gridSpan w:val="4"/>
                  <w:vAlign w:val="center"/>
                </w:tcPr>
                <w:p>
                  <w:pPr>
                    <w:spacing w:line="276" w:lineRule="auto"/>
                    <w:jc w:val="center"/>
                    <w:rPr>
                      <w:rFonts w:hint="eastAsia" w:eastAsiaTheme="minorEastAsia"/>
                      <w:color w:val="auto"/>
                      <w:szCs w:val="21"/>
                      <w:highlight w:val="none"/>
                      <w:lang w:eastAsia="zh-CN"/>
                    </w:rPr>
                  </w:pPr>
                  <w:r>
                    <w:rPr>
                      <w:rFonts w:hint="eastAsia" w:eastAsiaTheme="minorEastAsia"/>
                      <w:color w:val="auto"/>
                      <w:szCs w:val="21"/>
                      <w:highlight w:val="none"/>
                      <w:lang w:eastAsia="zh-CN"/>
                    </w:rPr>
                    <w:t>开平市水口镇荣辉模具厂年产卫浴塑料配件100万件建设项目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33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建设地点</w:t>
                  </w:r>
                </w:p>
              </w:tc>
              <w:tc>
                <w:tcPr>
                  <w:tcW w:w="6984" w:type="dxa"/>
                  <w:gridSpan w:val="4"/>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开平市水口镇第一工业园平冈路4号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33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地理坐标</w:t>
                  </w:r>
                </w:p>
              </w:tc>
              <w:tc>
                <w:tcPr>
                  <w:tcW w:w="176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经度</w:t>
                  </w:r>
                </w:p>
              </w:tc>
              <w:tc>
                <w:tcPr>
                  <w:tcW w:w="173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112°46'26.85"</w:t>
                  </w:r>
                </w:p>
              </w:tc>
              <w:tc>
                <w:tcPr>
                  <w:tcW w:w="1739"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纬度</w:t>
                  </w:r>
                </w:p>
              </w:tc>
              <w:tc>
                <w:tcPr>
                  <w:tcW w:w="1740"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22°27'16.38"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33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主要危险物质分布</w:t>
                  </w:r>
                </w:p>
              </w:tc>
              <w:tc>
                <w:tcPr>
                  <w:tcW w:w="6984" w:type="dxa"/>
                  <w:gridSpan w:val="4"/>
                  <w:vAlign w:val="center"/>
                </w:tcPr>
                <w:p>
                  <w:pPr>
                    <w:spacing w:line="276" w:lineRule="auto"/>
                    <w:jc w:val="center"/>
                    <w:rPr>
                      <w:rFonts w:eastAsiaTheme="minorEastAsia"/>
                      <w:color w:val="auto"/>
                      <w:szCs w:val="21"/>
                      <w:highlight w:val="none"/>
                    </w:rPr>
                  </w:pPr>
                  <w:r>
                    <w:rPr>
                      <w:rFonts w:hint="eastAsia" w:eastAsiaTheme="minorEastAsia"/>
                      <w:color w:val="auto"/>
                      <w:szCs w:val="21"/>
                      <w:highlight w:val="none"/>
                    </w:rPr>
                    <w:t>液压油、润滑油</w:t>
                  </w:r>
                  <w:r>
                    <w:rPr>
                      <w:rFonts w:eastAsiaTheme="minorEastAsia"/>
                      <w:color w:val="auto"/>
                      <w:szCs w:val="21"/>
                      <w:highlight w:val="none"/>
                    </w:rPr>
                    <w:t>，位于</w:t>
                  </w:r>
                  <w:r>
                    <w:rPr>
                      <w:rFonts w:hint="eastAsia" w:eastAsiaTheme="minorEastAsia"/>
                      <w:color w:val="auto"/>
                      <w:szCs w:val="21"/>
                      <w:highlight w:val="none"/>
                    </w:rPr>
                    <w:t>生产车间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2" w:hRule="atLeast"/>
                <w:jc w:val="center"/>
              </w:trPr>
              <w:tc>
                <w:tcPr>
                  <w:tcW w:w="233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环境影响途径及危害后果（大气、地表水、地下水等）</w:t>
                  </w:r>
                </w:p>
              </w:tc>
              <w:tc>
                <w:tcPr>
                  <w:tcW w:w="6984" w:type="dxa"/>
                  <w:gridSpan w:val="4"/>
                  <w:vAlign w:val="center"/>
                </w:tcPr>
                <w:p>
                  <w:pPr>
                    <w:spacing w:line="276" w:lineRule="auto"/>
                    <w:jc w:val="left"/>
                    <w:rPr>
                      <w:rFonts w:eastAsiaTheme="minorEastAsia"/>
                      <w:color w:val="auto"/>
                      <w:szCs w:val="21"/>
                      <w:highlight w:val="none"/>
                    </w:rPr>
                  </w:pPr>
                  <w:r>
                    <w:rPr>
                      <w:rFonts w:eastAsiaTheme="minorEastAsia"/>
                      <w:color w:val="auto"/>
                      <w:szCs w:val="21"/>
                      <w:highlight w:val="none"/>
                    </w:rPr>
                    <w:t>①装卸或存储过程中某些危险废物可能会发生泄漏可能污染地下水，或可能由于恶劣天气影响，导致雨水渗入等</w:t>
                  </w:r>
                  <w:r>
                    <w:rPr>
                      <w:rFonts w:hint="eastAsia" w:eastAsiaTheme="minorEastAsia"/>
                      <w:color w:val="auto"/>
                      <w:szCs w:val="21"/>
                      <w:highlight w:val="none"/>
                    </w:rPr>
                    <w:t>；</w:t>
                  </w:r>
                </w:p>
                <w:p>
                  <w:pPr>
                    <w:spacing w:line="276" w:lineRule="auto"/>
                    <w:jc w:val="left"/>
                    <w:rPr>
                      <w:rFonts w:eastAsiaTheme="minorEastAsia"/>
                      <w:color w:val="auto"/>
                      <w:szCs w:val="21"/>
                      <w:highlight w:val="none"/>
                    </w:rPr>
                  </w:pPr>
                  <w:r>
                    <w:rPr>
                      <w:rFonts w:eastAsiaTheme="minorEastAsia"/>
                      <w:color w:val="auto"/>
                      <w:szCs w:val="21"/>
                      <w:highlight w:val="none"/>
                    </w:rPr>
                    <w:t>②装卸或存储过程中某些化学品可能会发生泄漏可能污染地下水，或可能由于恶劣天气影响，导致雨水渗入等</w:t>
                  </w:r>
                  <w:r>
                    <w:rPr>
                      <w:rFonts w:hint="eastAsia" w:eastAsiaTheme="minorEastAsia"/>
                      <w:color w:val="auto"/>
                      <w:szCs w:val="21"/>
                      <w:highlight w:val="none"/>
                    </w:rPr>
                    <w:t>；</w:t>
                  </w:r>
                </w:p>
                <w:p>
                  <w:pPr>
                    <w:spacing w:line="276" w:lineRule="auto"/>
                    <w:jc w:val="left"/>
                    <w:rPr>
                      <w:rFonts w:eastAsiaTheme="minorEastAsia"/>
                      <w:color w:val="auto"/>
                      <w:szCs w:val="21"/>
                      <w:highlight w:val="none"/>
                    </w:rPr>
                  </w:pPr>
                  <w:r>
                    <w:rPr>
                      <w:rFonts w:eastAsiaTheme="minorEastAsia"/>
                      <w:color w:val="auto"/>
                      <w:szCs w:val="21"/>
                      <w:highlight w:val="none"/>
                    </w:rPr>
                    <w:t>③设备故障，或管道损坏，会导致废气未经有效收集处理直接排放，影响周边大气环境</w:t>
                  </w:r>
                  <w:r>
                    <w:rPr>
                      <w:rFonts w:hint="eastAsia" w:eastAsiaTheme="minorEastAsia"/>
                      <w:color w:val="auto"/>
                      <w:szCs w:val="21"/>
                      <w:highlight w:val="none"/>
                    </w:rPr>
                    <w:t>；</w:t>
                  </w:r>
                </w:p>
                <w:p>
                  <w:pPr>
                    <w:spacing w:line="276" w:lineRule="auto"/>
                    <w:jc w:val="left"/>
                    <w:rPr>
                      <w:rFonts w:eastAsiaTheme="minorEastAsia"/>
                      <w:color w:val="auto"/>
                      <w:szCs w:val="21"/>
                      <w:highlight w:val="none"/>
                    </w:rPr>
                  </w:pPr>
                  <w:r>
                    <w:rPr>
                      <w:rFonts w:eastAsiaTheme="minorEastAsia"/>
                      <w:color w:val="auto"/>
                      <w:szCs w:val="21"/>
                      <w:highlight w:val="none"/>
                    </w:rPr>
                    <w:t>④因</w:t>
                  </w:r>
                  <w:r>
                    <w:rPr>
                      <w:rFonts w:hint="eastAsia" w:eastAsiaTheme="minorEastAsia"/>
                      <w:color w:val="auto"/>
                      <w:szCs w:val="21"/>
                      <w:highlight w:val="none"/>
                    </w:rPr>
                    <w:t>液压油、润滑油</w:t>
                  </w:r>
                  <w:r>
                    <w:rPr>
                      <w:rFonts w:eastAsiaTheme="minorEastAsia"/>
                      <w:color w:val="auto"/>
                      <w:szCs w:val="21"/>
                      <w:highlight w:val="none"/>
                    </w:rPr>
                    <w:t>泄漏引起火灾，随消防废水进入市政管网或周边水体。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0" w:hRule="atLeast"/>
                <w:jc w:val="center"/>
              </w:trPr>
              <w:tc>
                <w:tcPr>
                  <w:tcW w:w="233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风险防范措施要求</w:t>
                  </w:r>
                </w:p>
              </w:tc>
              <w:tc>
                <w:tcPr>
                  <w:tcW w:w="6984" w:type="dxa"/>
                  <w:gridSpan w:val="4"/>
                  <w:vAlign w:val="center"/>
                </w:tcPr>
                <w:p>
                  <w:pPr>
                    <w:spacing w:line="276" w:lineRule="auto"/>
                    <w:jc w:val="left"/>
                    <w:rPr>
                      <w:rFonts w:eastAsiaTheme="minorEastAsia"/>
                      <w:color w:val="auto"/>
                      <w:szCs w:val="21"/>
                      <w:highlight w:val="none"/>
                    </w:rPr>
                  </w:pPr>
                  <w:r>
                    <w:rPr>
                      <w:rFonts w:eastAsiaTheme="minorEastAsia"/>
                      <w:color w:val="auto"/>
                      <w:szCs w:val="21"/>
                      <w:highlight w:val="none"/>
                    </w:rPr>
                    <w:t>①储存危险废物必须严实包装，储存场地硬底化，设置漫坡围堰，储存场地选择室内或设置遮雨措施</w:t>
                  </w:r>
                </w:p>
                <w:p>
                  <w:pPr>
                    <w:spacing w:line="276" w:lineRule="auto"/>
                    <w:jc w:val="left"/>
                    <w:rPr>
                      <w:rFonts w:eastAsiaTheme="minorEastAsia"/>
                      <w:color w:val="auto"/>
                      <w:szCs w:val="21"/>
                      <w:highlight w:val="none"/>
                    </w:rPr>
                  </w:pPr>
                  <w:r>
                    <w:rPr>
                      <w:rFonts w:eastAsiaTheme="minorEastAsia"/>
                      <w:color w:val="auto"/>
                      <w:szCs w:val="21"/>
                      <w:highlight w:val="none"/>
                    </w:rPr>
                    <w:t>②储存化学品必须严实包装，储存场地硬底化，设置漫坡围堰，储存场地选择室内或设置遮雨措施</w:t>
                  </w:r>
                </w:p>
                <w:p>
                  <w:pPr>
                    <w:spacing w:line="276" w:lineRule="auto"/>
                    <w:jc w:val="left"/>
                    <w:rPr>
                      <w:rFonts w:eastAsiaTheme="minorEastAsia"/>
                      <w:color w:val="auto"/>
                      <w:szCs w:val="21"/>
                      <w:highlight w:val="none"/>
                    </w:rPr>
                  </w:pPr>
                  <w:r>
                    <w:rPr>
                      <w:rFonts w:eastAsiaTheme="minorEastAsia"/>
                      <w:color w:val="auto"/>
                      <w:szCs w:val="21"/>
                      <w:highlight w:val="none"/>
                    </w:rPr>
                    <w:t>③加强检修维护，确保废气收集系统的正常运行。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2336"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填表说明（列出项目相关信息及评价说明）</w:t>
                  </w:r>
                </w:p>
              </w:tc>
              <w:tc>
                <w:tcPr>
                  <w:tcW w:w="6984" w:type="dxa"/>
                  <w:gridSpan w:val="4"/>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w:t>
                  </w:r>
                </w:p>
              </w:tc>
            </w:tr>
          </w:tbl>
          <w:p>
            <w:pPr>
              <w:numPr>
                <w:ilvl w:val="0"/>
                <w:numId w:val="10"/>
              </w:numPr>
              <w:spacing w:line="360" w:lineRule="auto"/>
              <w:ind w:firstLine="482" w:firstLineChars="200"/>
              <w:jc w:val="left"/>
              <w:rPr>
                <w:b/>
                <w:bCs/>
                <w:color w:val="auto"/>
                <w:sz w:val="24"/>
                <w:highlight w:val="none"/>
              </w:rPr>
            </w:pPr>
            <w:r>
              <w:rPr>
                <w:rFonts w:hint="eastAsia"/>
                <w:b/>
                <w:bCs/>
                <w:color w:val="auto"/>
                <w:sz w:val="24"/>
                <w:highlight w:val="none"/>
              </w:rPr>
              <w:t>土壤环境影响分析</w:t>
            </w:r>
          </w:p>
          <w:p>
            <w:pPr>
              <w:spacing w:line="360" w:lineRule="auto"/>
              <w:ind w:firstLine="480" w:firstLineChars="200"/>
              <w:rPr>
                <w:rFonts w:hint="eastAsia" w:hAnsi="宋体"/>
                <w:color w:val="auto"/>
                <w:sz w:val="24"/>
                <w:highlight w:val="none"/>
                <w:lang w:eastAsia="zh-CN"/>
              </w:rPr>
            </w:pPr>
            <w:r>
              <w:rPr>
                <w:rFonts w:hint="eastAsia" w:hAnsi="宋体"/>
                <w:color w:val="auto"/>
                <w:sz w:val="24"/>
                <w:highlight w:val="none"/>
                <w:lang w:eastAsia="zh-CN"/>
              </w:rPr>
              <w:t>本项目</w:t>
            </w:r>
            <w:r>
              <w:rPr>
                <w:rFonts w:hint="eastAsia"/>
                <w:bCs/>
                <w:color w:val="auto"/>
                <w:sz w:val="24"/>
                <w:highlight w:val="none"/>
                <w:shd w:val="clear" w:color="auto" w:fill="auto"/>
              </w:rPr>
              <w:t>主要从事</w:t>
            </w:r>
            <w:r>
              <w:rPr>
                <w:rFonts w:hint="eastAsia"/>
                <w:color w:val="auto"/>
                <w:sz w:val="24"/>
                <w:highlight w:val="none"/>
                <w:lang w:eastAsia="zh-CN"/>
              </w:rPr>
              <w:t>高压软管</w:t>
            </w:r>
            <w:r>
              <w:rPr>
                <w:rFonts w:hint="eastAsia"/>
                <w:bCs/>
                <w:color w:val="auto"/>
                <w:sz w:val="24"/>
                <w:highlight w:val="none"/>
                <w:shd w:val="clear" w:color="auto" w:fill="auto"/>
                <w:lang w:eastAsia="zh-CN"/>
              </w:rPr>
              <w:t>的加工生产</w:t>
            </w:r>
            <w:r>
              <w:rPr>
                <w:rFonts w:hint="eastAsia" w:hAnsi="宋体"/>
                <w:color w:val="auto"/>
                <w:sz w:val="24"/>
                <w:highlight w:val="none"/>
                <w:lang w:eastAsia="zh-CN"/>
              </w:rPr>
              <w:t>，属于塑料制品行业。根据《环境影响评价技术导则 土壤环境（试行）》（HJ 964-2018）附录A中有关建设项目所属土壤环境影响评价项目类别的划分，本项目属于其他行业，因此属于土壤环境影响评价IV类项目。根据《环境影响评价技术导则 土壤环境（试行）》（HJ 964-2018）中的相关要求，本项目可不开展土壤环境影响评价。</w:t>
            </w:r>
          </w:p>
          <w:p>
            <w:pPr>
              <w:spacing w:line="360" w:lineRule="auto"/>
              <w:ind w:firstLine="482" w:firstLineChars="200"/>
              <w:jc w:val="left"/>
              <w:rPr>
                <w:b/>
                <w:bCs/>
                <w:color w:val="auto"/>
                <w:sz w:val="24"/>
                <w:highlight w:val="none"/>
              </w:rPr>
            </w:pPr>
            <w:r>
              <w:rPr>
                <w:rFonts w:hint="eastAsia"/>
                <w:b/>
                <w:bCs/>
                <w:color w:val="auto"/>
                <w:sz w:val="24"/>
                <w:highlight w:val="none"/>
              </w:rPr>
              <w:t>七</w:t>
            </w:r>
            <w:r>
              <w:rPr>
                <w:b/>
                <w:bCs/>
                <w:color w:val="auto"/>
                <w:sz w:val="24"/>
                <w:highlight w:val="none"/>
              </w:rPr>
              <w:t>、环境管理和监测计划</w:t>
            </w:r>
          </w:p>
          <w:p>
            <w:pPr>
              <w:spacing w:line="360" w:lineRule="auto"/>
              <w:ind w:firstLine="480" w:firstLineChars="200"/>
              <w:jc w:val="left"/>
              <w:rPr>
                <w:color w:val="auto"/>
                <w:sz w:val="24"/>
                <w:highlight w:val="none"/>
              </w:rPr>
            </w:pPr>
            <w:r>
              <w:rPr>
                <w:color w:val="auto"/>
                <w:sz w:val="24"/>
                <w:highlight w:val="none"/>
              </w:rPr>
              <w:t>为了及时反映企业排污状况，提供环境管理和污染防治的依据，必须认真落实环境监测工作。开展此工作的环境监测机构，除环保行政主管部门的环境监测站对项目的排污状况和处理设施进行监督性监测、技术指导和考核外，建设单位应设立人员负责开展常规性的工作。根据《排污单位自行监测技术指南总则》（HJ819-2017）相关要求以及针对本项目的特点和环境管理的要求，对气、声等环境要素分别制订出环境监测计划。</w:t>
            </w:r>
          </w:p>
          <w:p>
            <w:pPr>
              <w:pStyle w:val="138"/>
              <w:numPr>
                <w:ilvl w:val="0"/>
                <w:numId w:val="5"/>
              </w:numPr>
              <w:tabs>
                <w:tab w:val="left" w:pos="420"/>
              </w:tabs>
              <w:spacing w:line="360" w:lineRule="auto"/>
              <w:ind w:left="0" w:firstLine="471"/>
              <w:rPr>
                <w:rFonts w:cs="Times New Roman" w:eastAsiaTheme="minorEastAsia"/>
                <w:b/>
                <w:bCs/>
                <w:color w:val="auto"/>
                <w:sz w:val="21"/>
                <w:szCs w:val="21"/>
                <w:highlight w:val="none"/>
              </w:rPr>
            </w:pPr>
            <w:r>
              <w:rPr>
                <w:rFonts w:cs="Times New Roman" w:eastAsiaTheme="minorEastAsia"/>
                <w:b/>
                <w:bCs/>
                <w:color w:val="auto"/>
                <w:sz w:val="21"/>
                <w:szCs w:val="21"/>
                <w:highlight w:val="none"/>
              </w:rPr>
              <w:t>环境监测计划及记录信息表</w:t>
            </w:r>
          </w:p>
          <w:tbl>
            <w:tblPr>
              <w:tblStyle w:val="40"/>
              <w:tblW w:w="90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7"/>
              <w:gridCol w:w="1652"/>
              <w:gridCol w:w="1262"/>
              <w:gridCol w:w="1350"/>
              <w:gridCol w:w="3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污染物</w:t>
                  </w:r>
                </w:p>
              </w:tc>
              <w:tc>
                <w:tcPr>
                  <w:tcW w:w="1652" w:type="dxa"/>
                  <w:shd w:val="clear" w:color="auto" w:fill="auto"/>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监测点位</w:t>
                  </w:r>
                </w:p>
              </w:tc>
              <w:tc>
                <w:tcPr>
                  <w:tcW w:w="1262" w:type="dxa"/>
                  <w:shd w:val="clear" w:color="auto" w:fill="auto"/>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检测指标</w:t>
                  </w:r>
                </w:p>
              </w:tc>
              <w:tc>
                <w:tcPr>
                  <w:tcW w:w="1350" w:type="dxa"/>
                  <w:shd w:val="clear" w:color="auto" w:fill="auto"/>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监测频次</w:t>
                  </w:r>
                </w:p>
              </w:tc>
              <w:tc>
                <w:tcPr>
                  <w:tcW w:w="3967" w:type="dxa"/>
                  <w:shd w:val="clear" w:color="auto" w:fill="auto"/>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dxa"/>
                  <w:vMerge w:val="restart"/>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废气</w:t>
                  </w:r>
                </w:p>
              </w:tc>
              <w:tc>
                <w:tcPr>
                  <w:tcW w:w="1652" w:type="dxa"/>
                  <w:shd w:val="clear" w:color="auto" w:fill="auto"/>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排气筒G1</w:t>
                  </w:r>
                </w:p>
              </w:tc>
              <w:tc>
                <w:tcPr>
                  <w:tcW w:w="1262" w:type="dxa"/>
                  <w:shd w:val="clear" w:color="auto" w:fill="auto"/>
                  <w:vAlign w:val="center"/>
                </w:tcPr>
                <w:p>
                  <w:pPr>
                    <w:spacing w:line="276" w:lineRule="auto"/>
                    <w:jc w:val="center"/>
                    <w:rPr>
                      <w:rFonts w:eastAsiaTheme="minorEastAsia"/>
                      <w:color w:val="auto"/>
                      <w:szCs w:val="21"/>
                      <w:highlight w:val="none"/>
                    </w:rPr>
                  </w:pPr>
                  <w:r>
                    <w:rPr>
                      <w:color w:val="auto"/>
                      <w:szCs w:val="16"/>
                      <w:highlight w:val="none"/>
                    </w:rPr>
                    <w:t>非甲烷总烃</w:t>
                  </w:r>
                </w:p>
              </w:tc>
              <w:tc>
                <w:tcPr>
                  <w:tcW w:w="1350" w:type="dxa"/>
                  <w:shd w:val="clear" w:color="auto" w:fill="auto"/>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每年一次</w:t>
                  </w:r>
                </w:p>
              </w:tc>
              <w:tc>
                <w:tcPr>
                  <w:tcW w:w="3967" w:type="dxa"/>
                  <w:shd w:val="clear" w:color="auto" w:fill="auto"/>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《合成树脂工业污染物排放标准》（GB 31572-2015）中表4规定的大气污染物排放标准限值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dxa"/>
                  <w:vMerge w:val="continue"/>
                  <w:vAlign w:val="center"/>
                </w:tcPr>
                <w:p>
                  <w:pPr>
                    <w:spacing w:line="276" w:lineRule="auto"/>
                    <w:jc w:val="center"/>
                    <w:rPr>
                      <w:rFonts w:eastAsiaTheme="minorEastAsia"/>
                      <w:color w:val="auto"/>
                      <w:szCs w:val="21"/>
                      <w:highlight w:val="none"/>
                    </w:rPr>
                  </w:pPr>
                </w:p>
              </w:tc>
              <w:tc>
                <w:tcPr>
                  <w:tcW w:w="1652" w:type="dxa"/>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厂界上风向1个，下风向3个</w:t>
                  </w:r>
                </w:p>
              </w:tc>
              <w:tc>
                <w:tcPr>
                  <w:tcW w:w="1262" w:type="dxa"/>
                  <w:shd w:val="clear" w:color="auto" w:fill="auto"/>
                  <w:vAlign w:val="center"/>
                </w:tcPr>
                <w:p>
                  <w:pPr>
                    <w:jc w:val="center"/>
                    <w:rPr>
                      <w:rFonts w:eastAsiaTheme="minorEastAsia"/>
                      <w:color w:val="auto"/>
                      <w:szCs w:val="21"/>
                      <w:highlight w:val="none"/>
                    </w:rPr>
                  </w:pPr>
                  <w:r>
                    <w:rPr>
                      <w:color w:val="auto"/>
                      <w:szCs w:val="16"/>
                      <w:highlight w:val="none"/>
                    </w:rPr>
                    <w:t>非甲烷总烃</w:t>
                  </w:r>
                </w:p>
              </w:tc>
              <w:tc>
                <w:tcPr>
                  <w:tcW w:w="1350" w:type="dxa"/>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每年一次</w:t>
                  </w:r>
                </w:p>
              </w:tc>
              <w:tc>
                <w:tcPr>
                  <w:tcW w:w="3967" w:type="dxa"/>
                  <w:shd w:val="clear" w:color="auto" w:fill="auto"/>
                  <w:vAlign w:val="center"/>
                </w:tcPr>
                <w:p>
                  <w:pPr>
                    <w:jc w:val="center"/>
                    <w:rPr>
                      <w:rFonts w:eastAsiaTheme="minorEastAsia"/>
                      <w:color w:val="auto"/>
                      <w:szCs w:val="21"/>
                      <w:highlight w:val="none"/>
                    </w:rPr>
                  </w:pPr>
                  <w:r>
                    <w:rPr>
                      <w:color w:val="auto"/>
                      <w:szCs w:val="21"/>
                      <w:highlight w:val="none"/>
                    </w:rPr>
                    <w:t>《合成树脂工业污染物排放标准》（GB31572-2015）中的表9企业边界大气污染物浓度限值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dxa"/>
                  <w:vMerge w:val="continue"/>
                  <w:vAlign w:val="center"/>
                </w:tcPr>
                <w:p>
                  <w:pPr>
                    <w:spacing w:line="276" w:lineRule="auto"/>
                    <w:jc w:val="center"/>
                    <w:rPr>
                      <w:rFonts w:eastAsiaTheme="minorEastAsia"/>
                      <w:color w:val="auto"/>
                      <w:szCs w:val="21"/>
                      <w:highlight w:val="none"/>
                    </w:rPr>
                  </w:pPr>
                </w:p>
              </w:tc>
              <w:tc>
                <w:tcPr>
                  <w:tcW w:w="1652" w:type="dxa"/>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厂界上风向1个，下风向3个</w:t>
                  </w:r>
                </w:p>
              </w:tc>
              <w:tc>
                <w:tcPr>
                  <w:tcW w:w="1262" w:type="dxa"/>
                  <w:shd w:val="clear" w:color="auto" w:fill="auto"/>
                  <w:vAlign w:val="center"/>
                </w:tcPr>
                <w:p>
                  <w:pPr>
                    <w:jc w:val="center"/>
                    <w:rPr>
                      <w:rFonts w:hint="eastAsia" w:eastAsia="宋体"/>
                      <w:color w:val="auto"/>
                      <w:szCs w:val="16"/>
                      <w:highlight w:val="none"/>
                      <w:lang w:eastAsia="zh-CN"/>
                    </w:rPr>
                  </w:pPr>
                  <w:r>
                    <w:rPr>
                      <w:rFonts w:hint="eastAsia"/>
                      <w:color w:val="auto"/>
                      <w:szCs w:val="16"/>
                      <w:highlight w:val="none"/>
                      <w:lang w:eastAsia="zh-CN"/>
                    </w:rPr>
                    <w:t>臭气浓度</w:t>
                  </w:r>
                </w:p>
              </w:tc>
              <w:tc>
                <w:tcPr>
                  <w:tcW w:w="1350" w:type="dxa"/>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每年一次</w:t>
                  </w:r>
                </w:p>
              </w:tc>
              <w:tc>
                <w:tcPr>
                  <w:tcW w:w="3967" w:type="dxa"/>
                  <w:shd w:val="clear" w:color="auto" w:fill="auto"/>
                  <w:vAlign w:val="center"/>
                </w:tcPr>
                <w:p>
                  <w:pPr>
                    <w:jc w:val="center"/>
                    <w:rPr>
                      <w:color w:val="auto"/>
                      <w:szCs w:val="21"/>
                      <w:highlight w:val="none"/>
                    </w:rPr>
                  </w:pPr>
                  <w:r>
                    <w:rPr>
                      <w:rFonts w:hint="eastAsia"/>
                      <w:color w:val="auto"/>
                      <w:szCs w:val="21"/>
                      <w:highlight w:val="none"/>
                    </w:rPr>
                    <w:t>《恶臭污染物排放标准》（GB 14554—93）表1恶臭污染物厂界标准值二级新扩改建臭气浓度要求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dxa"/>
                  <w:vMerge w:val="continue"/>
                  <w:vAlign w:val="center"/>
                </w:tcPr>
                <w:p>
                  <w:pPr>
                    <w:spacing w:line="276" w:lineRule="auto"/>
                    <w:jc w:val="center"/>
                    <w:rPr>
                      <w:rFonts w:eastAsiaTheme="minorEastAsia"/>
                      <w:color w:val="auto"/>
                      <w:szCs w:val="21"/>
                      <w:highlight w:val="none"/>
                    </w:rPr>
                  </w:pPr>
                </w:p>
              </w:tc>
              <w:tc>
                <w:tcPr>
                  <w:tcW w:w="1652" w:type="dxa"/>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厂界上风向1个，下风向3个</w:t>
                  </w:r>
                </w:p>
              </w:tc>
              <w:tc>
                <w:tcPr>
                  <w:tcW w:w="1262" w:type="dxa"/>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TSP</w:t>
                  </w:r>
                </w:p>
              </w:tc>
              <w:tc>
                <w:tcPr>
                  <w:tcW w:w="1350" w:type="dxa"/>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每年一次</w:t>
                  </w:r>
                </w:p>
              </w:tc>
              <w:tc>
                <w:tcPr>
                  <w:tcW w:w="3967" w:type="dxa"/>
                  <w:shd w:val="clear" w:color="auto" w:fill="auto"/>
                  <w:vAlign w:val="center"/>
                </w:tcPr>
                <w:p>
                  <w:pPr>
                    <w:jc w:val="center"/>
                    <w:rPr>
                      <w:rFonts w:eastAsiaTheme="minorEastAsia"/>
                      <w:color w:val="auto"/>
                      <w:szCs w:val="21"/>
                      <w:highlight w:val="none"/>
                    </w:rPr>
                  </w:pPr>
                  <w:r>
                    <w:rPr>
                      <w:color w:val="auto"/>
                      <w:szCs w:val="21"/>
                      <w:highlight w:val="none"/>
                    </w:rPr>
                    <w:t>广东省地方标准《大气污染物排放限值》（DB44/ 27-2001）第二时段无组织排放监控浓度限值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867" w:type="dxa"/>
                  <w:vAlign w:val="center"/>
                </w:tcPr>
                <w:p>
                  <w:pPr>
                    <w:jc w:val="center"/>
                    <w:rPr>
                      <w:rFonts w:eastAsiaTheme="minorEastAsia"/>
                      <w:color w:val="auto"/>
                      <w:szCs w:val="21"/>
                      <w:highlight w:val="none"/>
                    </w:rPr>
                  </w:pPr>
                  <w:r>
                    <w:rPr>
                      <w:rFonts w:eastAsiaTheme="minorEastAsia"/>
                      <w:color w:val="auto"/>
                      <w:szCs w:val="21"/>
                      <w:highlight w:val="none"/>
                    </w:rPr>
                    <w:t>废水</w:t>
                  </w:r>
                </w:p>
              </w:tc>
              <w:tc>
                <w:tcPr>
                  <w:tcW w:w="1652" w:type="dxa"/>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生活污水处理设施出口</w:t>
                  </w:r>
                </w:p>
              </w:tc>
              <w:tc>
                <w:tcPr>
                  <w:tcW w:w="1262" w:type="dxa"/>
                  <w:shd w:val="clear" w:color="auto" w:fill="auto"/>
                  <w:vAlign w:val="center"/>
                </w:tcPr>
                <w:p>
                  <w:pPr>
                    <w:jc w:val="center"/>
                    <w:rPr>
                      <w:rFonts w:eastAsiaTheme="minorEastAsia"/>
                      <w:color w:val="auto"/>
                      <w:szCs w:val="21"/>
                      <w:highlight w:val="none"/>
                    </w:rPr>
                  </w:pPr>
                  <w:r>
                    <w:rPr>
                      <w:color w:val="auto"/>
                      <w:szCs w:val="21"/>
                      <w:highlight w:val="none"/>
                    </w:rPr>
                    <w:t>COD</w:t>
                  </w:r>
                  <w:r>
                    <w:rPr>
                      <w:color w:val="auto"/>
                      <w:szCs w:val="21"/>
                      <w:highlight w:val="none"/>
                      <w:vertAlign w:val="subscript"/>
                    </w:rPr>
                    <w:t>cr</w:t>
                  </w:r>
                  <w:r>
                    <w:rPr>
                      <w:color w:val="auto"/>
                      <w:szCs w:val="21"/>
                      <w:highlight w:val="none"/>
                    </w:rPr>
                    <w:t>、BOD</w:t>
                  </w:r>
                  <w:r>
                    <w:rPr>
                      <w:color w:val="auto"/>
                      <w:szCs w:val="21"/>
                      <w:highlight w:val="none"/>
                      <w:vertAlign w:val="subscript"/>
                    </w:rPr>
                    <w:t>5</w:t>
                  </w:r>
                  <w:r>
                    <w:rPr>
                      <w:color w:val="auto"/>
                      <w:szCs w:val="21"/>
                      <w:highlight w:val="none"/>
                    </w:rPr>
                    <w:t>、SS、NH</w:t>
                  </w:r>
                  <w:r>
                    <w:rPr>
                      <w:color w:val="auto"/>
                      <w:szCs w:val="21"/>
                      <w:highlight w:val="none"/>
                      <w:vertAlign w:val="subscript"/>
                    </w:rPr>
                    <w:t>3</w:t>
                  </w:r>
                  <w:r>
                    <w:rPr>
                      <w:color w:val="auto"/>
                      <w:szCs w:val="21"/>
                      <w:highlight w:val="none"/>
                    </w:rPr>
                    <w:t>-N</w:t>
                  </w:r>
                </w:p>
              </w:tc>
              <w:tc>
                <w:tcPr>
                  <w:tcW w:w="1350" w:type="dxa"/>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每年一次</w:t>
                  </w:r>
                </w:p>
              </w:tc>
              <w:tc>
                <w:tcPr>
                  <w:tcW w:w="3967" w:type="dxa"/>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广东省地方标准《水污染物排放限值》（DB44/26-2001）第二时段三级标准和</w:t>
                  </w:r>
                  <w:r>
                    <w:rPr>
                      <w:rFonts w:hint="eastAsia" w:eastAsiaTheme="minorEastAsia"/>
                      <w:color w:val="auto"/>
                      <w:szCs w:val="21"/>
                      <w:highlight w:val="none"/>
                      <w:lang w:eastAsia="zh-CN"/>
                    </w:rPr>
                    <w:t>《污水排入城镇下水道水质标准》(GB/T31962-2015 )B级标准</w:t>
                  </w:r>
                  <w:r>
                    <w:rPr>
                      <w:rFonts w:eastAsiaTheme="minorEastAsia"/>
                      <w:color w:val="auto"/>
                      <w:szCs w:val="21"/>
                      <w:highlight w:val="none"/>
                    </w:rPr>
                    <w:t>较严者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dxa"/>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噪声</w:t>
                  </w:r>
                </w:p>
              </w:tc>
              <w:tc>
                <w:tcPr>
                  <w:tcW w:w="1652" w:type="dxa"/>
                  <w:shd w:val="clear" w:color="auto" w:fill="auto"/>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厂界四周</w:t>
                  </w:r>
                </w:p>
              </w:tc>
              <w:tc>
                <w:tcPr>
                  <w:tcW w:w="1262" w:type="dxa"/>
                  <w:shd w:val="clear" w:color="auto" w:fill="auto"/>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等效连续A声级</w:t>
                  </w:r>
                </w:p>
              </w:tc>
              <w:tc>
                <w:tcPr>
                  <w:tcW w:w="1350" w:type="dxa"/>
                  <w:shd w:val="clear" w:color="auto" w:fill="auto"/>
                  <w:vAlign w:val="center"/>
                </w:tcPr>
                <w:p>
                  <w:pPr>
                    <w:spacing w:line="276" w:lineRule="auto"/>
                    <w:jc w:val="center"/>
                    <w:rPr>
                      <w:rFonts w:eastAsiaTheme="minorEastAsia"/>
                      <w:color w:val="auto"/>
                      <w:szCs w:val="21"/>
                      <w:highlight w:val="none"/>
                    </w:rPr>
                  </w:pPr>
                  <w:r>
                    <w:rPr>
                      <w:rFonts w:eastAsiaTheme="minorEastAsia"/>
                      <w:color w:val="auto"/>
                      <w:szCs w:val="21"/>
                      <w:highlight w:val="none"/>
                    </w:rPr>
                    <w:t>每年一次</w:t>
                  </w:r>
                </w:p>
              </w:tc>
              <w:tc>
                <w:tcPr>
                  <w:tcW w:w="3967" w:type="dxa"/>
                  <w:shd w:val="clear" w:color="auto" w:fill="auto"/>
                  <w:vAlign w:val="center"/>
                </w:tcPr>
                <w:p>
                  <w:pPr>
                    <w:spacing w:line="276" w:lineRule="auto"/>
                    <w:jc w:val="center"/>
                    <w:rPr>
                      <w:rFonts w:eastAsiaTheme="minorEastAsia"/>
                      <w:color w:val="auto"/>
                      <w:szCs w:val="21"/>
                      <w:highlight w:val="none"/>
                    </w:rPr>
                  </w:pPr>
                  <w:r>
                    <w:rPr>
                      <w:color w:val="auto"/>
                      <w:szCs w:val="21"/>
                      <w:highlight w:val="none"/>
                    </w:rPr>
                    <w:t xml:space="preserve">《工业企业厂界环境噪声排放标准》(GB12348-2008) </w:t>
                  </w:r>
                  <w:r>
                    <w:rPr>
                      <w:rFonts w:hint="eastAsia"/>
                      <w:color w:val="auto"/>
                      <w:szCs w:val="21"/>
                      <w:highlight w:val="none"/>
                    </w:rPr>
                    <w:t>2类</w:t>
                  </w:r>
                  <w:r>
                    <w:rPr>
                      <w:color w:val="auto"/>
                      <w:szCs w:val="21"/>
                      <w:highlight w:val="none"/>
                    </w:rPr>
                    <w:t>标准</w:t>
                  </w:r>
                </w:p>
              </w:tc>
            </w:tr>
          </w:tbl>
          <w:p>
            <w:pPr>
              <w:pStyle w:val="29"/>
              <w:spacing w:line="312" w:lineRule="auto"/>
              <w:ind w:firstLine="501" w:firstLineChars="208"/>
              <w:rPr>
                <w:b/>
                <w:color w:val="auto"/>
                <w:kern w:val="2"/>
                <w:szCs w:val="24"/>
                <w:highlight w:val="none"/>
              </w:rPr>
            </w:pPr>
            <w:r>
              <w:rPr>
                <w:rFonts w:hint="eastAsia"/>
                <w:b/>
                <w:color w:val="auto"/>
                <w:szCs w:val="24"/>
                <w:highlight w:val="none"/>
              </w:rPr>
              <w:t>八</w:t>
            </w:r>
            <w:r>
              <w:rPr>
                <w:rFonts w:hint="eastAsia"/>
                <w:b/>
                <w:color w:val="auto"/>
                <w:kern w:val="2"/>
                <w:szCs w:val="24"/>
                <w:highlight w:val="none"/>
              </w:rPr>
              <w:t>、环保投资</w:t>
            </w:r>
          </w:p>
          <w:p>
            <w:pPr>
              <w:spacing w:line="312" w:lineRule="auto"/>
              <w:ind w:firstLine="480" w:firstLineChars="200"/>
              <w:rPr>
                <w:color w:val="auto"/>
                <w:sz w:val="24"/>
                <w:highlight w:val="none"/>
              </w:rPr>
            </w:pPr>
            <w:r>
              <w:rPr>
                <w:rFonts w:hint="eastAsia"/>
                <w:color w:val="auto"/>
                <w:sz w:val="24"/>
                <w:highlight w:val="none"/>
              </w:rPr>
              <w:t>根据项目投资及行业特性，本项目拟环保投资总额为14万元，具体项目见下表。</w:t>
            </w:r>
          </w:p>
          <w:p>
            <w:pPr>
              <w:pStyle w:val="138"/>
              <w:numPr>
                <w:ilvl w:val="0"/>
                <w:numId w:val="5"/>
              </w:numPr>
              <w:tabs>
                <w:tab w:val="left" w:pos="420"/>
              </w:tabs>
              <w:spacing w:line="360" w:lineRule="auto"/>
              <w:ind w:left="0" w:firstLine="471"/>
              <w:rPr>
                <w:rFonts w:eastAsia="宋体" w:cs="Times New Roman"/>
                <w:b/>
                <w:color w:val="auto"/>
                <w:sz w:val="21"/>
                <w:szCs w:val="21"/>
                <w:highlight w:val="none"/>
                <w:lang w:val="zh-CN"/>
              </w:rPr>
            </w:pPr>
            <w:r>
              <w:rPr>
                <w:rFonts w:hint="eastAsia" w:eastAsia="宋体" w:cs="Times New Roman"/>
                <w:b/>
                <w:color w:val="auto"/>
                <w:sz w:val="21"/>
                <w:szCs w:val="21"/>
                <w:highlight w:val="none"/>
                <w:lang w:val="zh-CN"/>
              </w:rPr>
              <w:t>本项目环保投资一览表</w:t>
            </w:r>
          </w:p>
          <w:tbl>
            <w:tblPr>
              <w:tblStyle w:val="40"/>
              <w:tblW w:w="92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
              <w:gridCol w:w="1257"/>
              <w:gridCol w:w="1556"/>
              <w:gridCol w:w="4626"/>
              <w:gridCol w:w="13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457"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b/>
                      <w:color w:val="auto"/>
                      <w:kern w:val="0"/>
                      <w:szCs w:val="21"/>
                      <w:highlight w:val="none"/>
                    </w:rPr>
                  </w:pPr>
                  <w:r>
                    <w:rPr>
                      <w:rFonts w:hint="eastAsia" w:hAnsi="宋体"/>
                      <w:b/>
                      <w:color w:val="auto"/>
                      <w:kern w:val="0"/>
                      <w:szCs w:val="21"/>
                      <w:highlight w:val="none"/>
                    </w:rPr>
                    <w:t>序号</w:t>
                  </w:r>
                </w:p>
              </w:tc>
              <w:tc>
                <w:tcPr>
                  <w:tcW w:w="2813" w:type="dxa"/>
                  <w:gridSpan w:val="2"/>
                  <w:tcBorders>
                    <w:top w:val="single" w:color="auto" w:sz="4" w:space="0"/>
                    <w:left w:val="single" w:color="auto" w:sz="4" w:space="0"/>
                    <w:bottom w:val="single" w:color="auto" w:sz="4" w:space="0"/>
                    <w:right w:val="single" w:color="auto" w:sz="4" w:space="0"/>
                  </w:tcBorders>
                  <w:vAlign w:val="center"/>
                </w:tcPr>
                <w:p>
                  <w:pPr>
                    <w:spacing w:line="336" w:lineRule="auto"/>
                    <w:jc w:val="center"/>
                    <w:rPr>
                      <w:b/>
                      <w:color w:val="auto"/>
                      <w:kern w:val="0"/>
                      <w:szCs w:val="21"/>
                      <w:highlight w:val="none"/>
                    </w:rPr>
                  </w:pPr>
                  <w:r>
                    <w:rPr>
                      <w:rFonts w:hint="eastAsia"/>
                      <w:b/>
                      <w:color w:val="auto"/>
                      <w:kern w:val="0"/>
                      <w:szCs w:val="21"/>
                      <w:highlight w:val="none"/>
                    </w:rPr>
                    <w:t>污染源</w:t>
                  </w:r>
                </w:p>
              </w:tc>
              <w:tc>
                <w:tcPr>
                  <w:tcW w:w="4626"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kern w:val="0"/>
                      <w:szCs w:val="21"/>
                      <w:highlight w:val="none"/>
                    </w:rPr>
                  </w:pPr>
                  <w:r>
                    <w:rPr>
                      <w:rFonts w:hint="eastAsia" w:hAnsi="宋体"/>
                      <w:b/>
                      <w:color w:val="auto"/>
                      <w:kern w:val="0"/>
                      <w:szCs w:val="21"/>
                      <w:highlight w:val="none"/>
                    </w:rPr>
                    <w:t>主要环保措施</w:t>
                  </w:r>
                </w:p>
              </w:tc>
              <w:tc>
                <w:tcPr>
                  <w:tcW w:w="1372"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kern w:val="0"/>
                      <w:szCs w:val="21"/>
                      <w:highlight w:val="none"/>
                    </w:rPr>
                  </w:pPr>
                  <w:r>
                    <w:rPr>
                      <w:rFonts w:hint="eastAsia" w:hAnsi="宋体"/>
                      <w:b/>
                      <w:color w:val="auto"/>
                      <w:kern w:val="0"/>
                      <w:szCs w:val="21"/>
                      <w:highlight w:val="none"/>
                    </w:rPr>
                    <w:t>投资金额（万元）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457" w:type="dxa"/>
                  <w:vMerge w:val="restart"/>
                  <w:tcBorders>
                    <w:top w:val="single" w:color="auto" w:sz="4" w:space="0"/>
                    <w:left w:val="single" w:color="auto" w:sz="4" w:space="0"/>
                    <w:right w:val="single" w:color="auto" w:sz="4" w:space="0"/>
                  </w:tcBorders>
                  <w:vAlign w:val="center"/>
                </w:tcPr>
                <w:p>
                  <w:pPr>
                    <w:spacing w:line="336" w:lineRule="auto"/>
                    <w:jc w:val="center"/>
                    <w:rPr>
                      <w:color w:val="auto"/>
                      <w:kern w:val="0"/>
                      <w:szCs w:val="21"/>
                      <w:highlight w:val="none"/>
                    </w:rPr>
                  </w:pPr>
                  <w:r>
                    <w:rPr>
                      <w:color w:val="auto"/>
                      <w:kern w:val="0"/>
                      <w:szCs w:val="21"/>
                      <w:highlight w:val="none"/>
                    </w:rPr>
                    <w:t>1</w:t>
                  </w:r>
                </w:p>
              </w:tc>
              <w:tc>
                <w:tcPr>
                  <w:tcW w:w="1257" w:type="dxa"/>
                  <w:vMerge w:val="restart"/>
                  <w:tcBorders>
                    <w:top w:val="single" w:color="auto" w:sz="4" w:space="0"/>
                    <w:left w:val="single" w:color="auto" w:sz="4" w:space="0"/>
                    <w:right w:val="single" w:color="auto" w:sz="4" w:space="0"/>
                  </w:tcBorders>
                  <w:vAlign w:val="center"/>
                </w:tcPr>
                <w:p>
                  <w:pPr>
                    <w:spacing w:line="336" w:lineRule="auto"/>
                    <w:jc w:val="center"/>
                    <w:rPr>
                      <w:color w:val="auto"/>
                      <w:szCs w:val="21"/>
                      <w:highlight w:val="none"/>
                    </w:rPr>
                  </w:pPr>
                  <w:r>
                    <w:rPr>
                      <w:rFonts w:hint="eastAsia"/>
                      <w:color w:val="auto"/>
                      <w:szCs w:val="21"/>
                      <w:highlight w:val="none"/>
                    </w:rPr>
                    <w:t>大气污染物</w:t>
                  </w:r>
                </w:p>
              </w:tc>
              <w:tc>
                <w:tcPr>
                  <w:tcW w:w="1556" w:type="dxa"/>
                  <w:tcBorders>
                    <w:top w:val="single" w:color="auto" w:sz="4" w:space="0"/>
                    <w:left w:val="single" w:color="auto" w:sz="4" w:space="0"/>
                    <w:bottom w:val="single" w:color="auto" w:sz="4" w:space="0"/>
                    <w:right w:val="single" w:color="auto" w:sz="4" w:space="0"/>
                  </w:tcBorders>
                  <w:vAlign w:val="center"/>
                </w:tcPr>
                <w:p>
                  <w:pPr>
                    <w:pStyle w:val="56"/>
                    <w:spacing w:line="336" w:lineRule="auto"/>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注塑</w:t>
                  </w:r>
                  <w:r>
                    <w:rPr>
                      <w:rFonts w:ascii="Times New Roman" w:hAnsi="Times New Roman"/>
                      <w:color w:val="auto"/>
                      <w:kern w:val="2"/>
                      <w:sz w:val="21"/>
                      <w:szCs w:val="21"/>
                      <w:highlight w:val="none"/>
                    </w:rPr>
                    <w:t>工序</w:t>
                  </w:r>
                </w:p>
              </w:tc>
              <w:tc>
                <w:tcPr>
                  <w:tcW w:w="4626"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rFonts w:hint="eastAsia" w:eastAsia="宋体"/>
                      <w:color w:val="auto"/>
                      <w:szCs w:val="21"/>
                      <w:highlight w:val="none"/>
                      <w:lang w:eastAsia="zh-CN"/>
                    </w:rPr>
                  </w:pPr>
                  <w:r>
                    <w:rPr>
                      <w:rFonts w:hint="eastAsia"/>
                      <w:color w:val="auto"/>
                      <w:szCs w:val="21"/>
                      <w:highlight w:val="none"/>
                    </w:rPr>
                    <w:t>设置集气装置将废气进行收集后采用UV光解+活性炭吸附装置进行</w:t>
                  </w:r>
                  <w:r>
                    <w:rPr>
                      <w:rFonts w:hint="eastAsia"/>
                      <w:color w:val="auto"/>
                      <w:szCs w:val="21"/>
                      <w:highlight w:val="none"/>
                      <w:lang w:eastAsia="zh-CN"/>
                    </w:rPr>
                    <w:t>处理后经15m排气筒高空排放</w:t>
                  </w:r>
                </w:p>
              </w:tc>
              <w:tc>
                <w:tcPr>
                  <w:tcW w:w="1372" w:type="dxa"/>
                  <w:tcBorders>
                    <w:top w:val="single" w:color="auto" w:sz="4" w:space="0"/>
                    <w:left w:val="single" w:color="auto" w:sz="4" w:space="0"/>
                    <w:right w:val="single" w:color="auto" w:sz="4" w:space="0"/>
                  </w:tcBorders>
                  <w:vAlign w:val="center"/>
                </w:tcPr>
                <w:p>
                  <w:pPr>
                    <w:spacing w:line="336" w:lineRule="auto"/>
                    <w:jc w:val="center"/>
                    <w:rPr>
                      <w:color w:val="auto"/>
                      <w:kern w:val="0"/>
                      <w:szCs w:val="21"/>
                      <w:highlight w:val="none"/>
                    </w:rPr>
                  </w:pPr>
                  <w:r>
                    <w:rPr>
                      <w:rFonts w:hint="eastAsia"/>
                      <w:color w:val="auto"/>
                      <w:kern w:val="0"/>
                      <w:szCs w:val="21"/>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457" w:type="dxa"/>
                  <w:vMerge w:val="continue"/>
                  <w:tcBorders>
                    <w:left w:val="single" w:color="auto" w:sz="4" w:space="0"/>
                    <w:right w:val="single" w:color="auto" w:sz="4" w:space="0"/>
                  </w:tcBorders>
                  <w:vAlign w:val="center"/>
                </w:tcPr>
                <w:p>
                  <w:pPr>
                    <w:spacing w:line="336" w:lineRule="auto"/>
                    <w:jc w:val="center"/>
                    <w:rPr>
                      <w:color w:val="auto"/>
                      <w:kern w:val="0"/>
                      <w:szCs w:val="21"/>
                      <w:highlight w:val="none"/>
                    </w:rPr>
                  </w:pPr>
                </w:p>
              </w:tc>
              <w:tc>
                <w:tcPr>
                  <w:tcW w:w="1257" w:type="dxa"/>
                  <w:vMerge w:val="continue"/>
                  <w:tcBorders>
                    <w:left w:val="single" w:color="auto" w:sz="4" w:space="0"/>
                    <w:right w:val="single" w:color="auto" w:sz="4" w:space="0"/>
                  </w:tcBorders>
                  <w:vAlign w:val="center"/>
                </w:tcPr>
                <w:p>
                  <w:pPr>
                    <w:spacing w:line="336" w:lineRule="auto"/>
                    <w:jc w:val="center"/>
                    <w:rPr>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pPr>
                    <w:pStyle w:val="56"/>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破碎</w:t>
                  </w:r>
                  <w:r>
                    <w:rPr>
                      <w:rFonts w:hint="eastAsia"/>
                      <w:color w:val="auto"/>
                      <w:kern w:val="2"/>
                      <w:sz w:val="21"/>
                      <w:szCs w:val="21"/>
                      <w:highlight w:val="none"/>
                    </w:rPr>
                    <w:t>工序</w:t>
                  </w:r>
                </w:p>
              </w:tc>
              <w:tc>
                <w:tcPr>
                  <w:tcW w:w="4626"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highlight w:val="none"/>
                    </w:rPr>
                  </w:pPr>
                  <w:r>
                    <w:rPr>
                      <w:rFonts w:hint="eastAsia"/>
                      <w:color w:val="auto"/>
                      <w:szCs w:val="21"/>
                      <w:highlight w:val="none"/>
                    </w:rPr>
                    <w:t>加强车间机械通风措施</w:t>
                  </w:r>
                </w:p>
              </w:tc>
              <w:tc>
                <w:tcPr>
                  <w:tcW w:w="1372" w:type="dxa"/>
                  <w:tcBorders>
                    <w:top w:val="single" w:color="auto" w:sz="4" w:space="0"/>
                    <w:left w:val="single" w:color="auto" w:sz="4" w:space="0"/>
                    <w:right w:val="single" w:color="auto" w:sz="4" w:space="0"/>
                  </w:tcBorders>
                  <w:vAlign w:val="center"/>
                </w:tcPr>
                <w:p>
                  <w:pPr>
                    <w:spacing w:line="360" w:lineRule="auto"/>
                    <w:jc w:val="center"/>
                    <w:rPr>
                      <w:color w:val="auto"/>
                      <w:kern w:val="0"/>
                      <w:szCs w:val="21"/>
                      <w:highlight w:val="none"/>
                    </w:rPr>
                  </w:pPr>
                  <w:r>
                    <w:rPr>
                      <w:rFonts w:hint="eastAsia"/>
                      <w:color w:val="auto"/>
                      <w:kern w:val="0"/>
                      <w:szCs w:val="21"/>
                      <w:highlight w:val="none"/>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457" w:type="dxa"/>
                  <w:vMerge w:val="restart"/>
                  <w:tcBorders>
                    <w:left w:val="single" w:color="auto" w:sz="4" w:space="0"/>
                    <w:right w:val="single" w:color="auto" w:sz="4" w:space="0"/>
                  </w:tcBorders>
                  <w:vAlign w:val="center"/>
                </w:tcPr>
                <w:p>
                  <w:pPr>
                    <w:spacing w:line="336" w:lineRule="auto"/>
                    <w:jc w:val="center"/>
                    <w:rPr>
                      <w:color w:val="auto"/>
                      <w:kern w:val="0"/>
                      <w:szCs w:val="21"/>
                      <w:highlight w:val="none"/>
                    </w:rPr>
                  </w:pPr>
                  <w:r>
                    <w:rPr>
                      <w:color w:val="auto"/>
                      <w:kern w:val="0"/>
                      <w:szCs w:val="21"/>
                      <w:highlight w:val="none"/>
                    </w:rPr>
                    <w:t>2</w:t>
                  </w:r>
                </w:p>
              </w:tc>
              <w:tc>
                <w:tcPr>
                  <w:tcW w:w="1257" w:type="dxa"/>
                  <w:vMerge w:val="restart"/>
                  <w:tcBorders>
                    <w:left w:val="single" w:color="auto" w:sz="4" w:space="0"/>
                    <w:right w:val="single" w:color="auto" w:sz="4" w:space="0"/>
                  </w:tcBorders>
                  <w:vAlign w:val="center"/>
                </w:tcPr>
                <w:p>
                  <w:pPr>
                    <w:spacing w:line="336" w:lineRule="auto"/>
                    <w:jc w:val="center"/>
                    <w:rPr>
                      <w:color w:val="auto"/>
                      <w:szCs w:val="21"/>
                      <w:highlight w:val="none"/>
                    </w:rPr>
                  </w:pPr>
                  <w:r>
                    <w:rPr>
                      <w:rFonts w:hint="eastAsia" w:hAnsi="宋体"/>
                      <w:color w:val="auto"/>
                      <w:kern w:val="0"/>
                      <w:szCs w:val="21"/>
                      <w:highlight w:val="none"/>
                    </w:rPr>
                    <w:t>水污染物</w:t>
                  </w:r>
                </w:p>
              </w:tc>
              <w:tc>
                <w:tcPr>
                  <w:tcW w:w="1556"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rFonts w:hAnsi="宋体"/>
                      <w:color w:val="auto"/>
                      <w:szCs w:val="21"/>
                      <w:highlight w:val="none"/>
                    </w:rPr>
                  </w:pPr>
                  <w:r>
                    <w:rPr>
                      <w:rFonts w:hint="eastAsia" w:hAnsi="宋体"/>
                      <w:color w:val="auto"/>
                      <w:szCs w:val="21"/>
                      <w:highlight w:val="none"/>
                    </w:rPr>
                    <w:t>注塑冷却用水</w:t>
                  </w:r>
                </w:p>
              </w:tc>
              <w:tc>
                <w:tcPr>
                  <w:tcW w:w="4626"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szCs w:val="21"/>
                      <w:highlight w:val="none"/>
                    </w:rPr>
                  </w:pPr>
                  <w:r>
                    <w:rPr>
                      <w:rFonts w:hint="eastAsia"/>
                      <w:color w:val="auto"/>
                      <w:szCs w:val="21"/>
                      <w:highlight w:val="none"/>
                    </w:rPr>
                    <w:t>循环使用，定期补充，不外排</w:t>
                  </w:r>
                </w:p>
              </w:tc>
              <w:tc>
                <w:tcPr>
                  <w:tcW w:w="1372"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kern w:val="0"/>
                      <w:szCs w:val="21"/>
                      <w:highlight w:val="none"/>
                    </w:rPr>
                  </w:pPr>
                  <w:r>
                    <w:rPr>
                      <w:rFonts w:hint="eastAsia"/>
                      <w:color w:val="auto"/>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 w:hRule="atLeast"/>
                <w:jc w:val="center"/>
              </w:trPr>
              <w:tc>
                <w:tcPr>
                  <w:tcW w:w="457" w:type="dxa"/>
                  <w:vMerge w:val="continue"/>
                  <w:tcBorders>
                    <w:left w:val="single" w:color="auto" w:sz="4" w:space="0"/>
                    <w:right w:val="single" w:color="auto" w:sz="4" w:space="0"/>
                  </w:tcBorders>
                  <w:vAlign w:val="center"/>
                </w:tcPr>
                <w:p>
                  <w:pPr>
                    <w:spacing w:line="336" w:lineRule="auto"/>
                    <w:jc w:val="center"/>
                    <w:rPr>
                      <w:color w:val="auto"/>
                      <w:kern w:val="0"/>
                      <w:szCs w:val="21"/>
                      <w:highlight w:val="none"/>
                    </w:rPr>
                  </w:pPr>
                </w:p>
              </w:tc>
              <w:tc>
                <w:tcPr>
                  <w:tcW w:w="1257" w:type="dxa"/>
                  <w:vMerge w:val="continue"/>
                  <w:tcBorders>
                    <w:left w:val="single" w:color="auto" w:sz="4" w:space="0"/>
                    <w:right w:val="single" w:color="auto" w:sz="4" w:space="0"/>
                  </w:tcBorders>
                  <w:vAlign w:val="center"/>
                </w:tcPr>
                <w:p>
                  <w:pPr>
                    <w:spacing w:line="336" w:lineRule="auto"/>
                    <w:jc w:val="center"/>
                    <w:rPr>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rFonts w:ascii="宋体"/>
                      <w:color w:val="auto"/>
                      <w:szCs w:val="21"/>
                      <w:highlight w:val="none"/>
                    </w:rPr>
                  </w:pPr>
                  <w:r>
                    <w:rPr>
                      <w:rFonts w:hint="eastAsia" w:ascii="宋体" w:hAnsi="宋体"/>
                      <w:color w:val="auto"/>
                      <w:szCs w:val="21"/>
                      <w:highlight w:val="none"/>
                    </w:rPr>
                    <w:t>生活污水</w:t>
                  </w:r>
                </w:p>
              </w:tc>
              <w:tc>
                <w:tcPr>
                  <w:tcW w:w="4626"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szCs w:val="21"/>
                      <w:highlight w:val="none"/>
                    </w:rPr>
                  </w:pPr>
                  <w:r>
                    <w:rPr>
                      <w:rFonts w:hint="eastAsia" w:hAnsi="宋体"/>
                      <w:color w:val="auto"/>
                      <w:szCs w:val="21"/>
                      <w:highlight w:val="none"/>
                    </w:rPr>
                    <w:t>经</w:t>
                  </w:r>
                  <w:r>
                    <w:rPr>
                      <w:rFonts w:hAnsi="宋体"/>
                      <w:color w:val="auto"/>
                      <w:szCs w:val="21"/>
                      <w:highlight w:val="none"/>
                    </w:rPr>
                    <w:t>三级化粪池</w:t>
                  </w:r>
                  <w:r>
                    <w:rPr>
                      <w:rFonts w:hint="eastAsia" w:hAnsi="宋体"/>
                      <w:color w:val="auto"/>
                      <w:szCs w:val="21"/>
                      <w:highlight w:val="none"/>
                    </w:rPr>
                    <w:t>预</w:t>
                  </w:r>
                  <w:r>
                    <w:rPr>
                      <w:rFonts w:hAnsi="宋体"/>
                      <w:color w:val="auto"/>
                      <w:szCs w:val="21"/>
                      <w:highlight w:val="none"/>
                    </w:rPr>
                    <w:t>处理</w:t>
                  </w:r>
                  <w:r>
                    <w:rPr>
                      <w:rFonts w:hint="eastAsia" w:hAnsi="宋体"/>
                      <w:color w:val="auto"/>
                      <w:szCs w:val="21"/>
                      <w:highlight w:val="none"/>
                    </w:rPr>
                    <w:t>后排入市政污水管网</w:t>
                  </w:r>
                </w:p>
              </w:tc>
              <w:tc>
                <w:tcPr>
                  <w:tcW w:w="1372"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kern w:val="0"/>
                      <w:szCs w:val="21"/>
                      <w:highlight w:val="none"/>
                    </w:rPr>
                  </w:pPr>
                  <w:r>
                    <w:rPr>
                      <w:rFonts w:hint="eastAsia"/>
                      <w:color w:val="auto"/>
                      <w:kern w:val="0"/>
                      <w:szCs w:val="21"/>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457" w:type="dxa"/>
                  <w:vMerge w:val="restart"/>
                  <w:tcBorders>
                    <w:top w:val="single" w:color="auto" w:sz="4" w:space="0"/>
                    <w:left w:val="single" w:color="auto" w:sz="4" w:space="0"/>
                    <w:right w:val="single" w:color="auto" w:sz="4" w:space="0"/>
                  </w:tcBorders>
                  <w:vAlign w:val="center"/>
                </w:tcPr>
                <w:p>
                  <w:pPr>
                    <w:spacing w:line="336" w:lineRule="auto"/>
                    <w:jc w:val="center"/>
                    <w:rPr>
                      <w:color w:val="auto"/>
                      <w:kern w:val="0"/>
                      <w:szCs w:val="21"/>
                      <w:highlight w:val="none"/>
                    </w:rPr>
                  </w:pPr>
                  <w:r>
                    <w:rPr>
                      <w:color w:val="auto"/>
                      <w:kern w:val="0"/>
                      <w:szCs w:val="21"/>
                      <w:highlight w:val="none"/>
                    </w:rPr>
                    <w:t>3</w:t>
                  </w:r>
                </w:p>
              </w:tc>
              <w:tc>
                <w:tcPr>
                  <w:tcW w:w="1257" w:type="dxa"/>
                  <w:vMerge w:val="restart"/>
                  <w:tcBorders>
                    <w:top w:val="single" w:color="auto" w:sz="4" w:space="0"/>
                    <w:left w:val="single" w:color="auto" w:sz="4" w:space="0"/>
                    <w:right w:val="single" w:color="auto" w:sz="4" w:space="0"/>
                  </w:tcBorders>
                  <w:vAlign w:val="center"/>
                </w:tcPr>
                <w:p>
                  <w:pPr>
                    <w:spacing w:line="336" w:lineRule="auto"/>
                    <w:jc w:val="center"/>
                    <w:rPr>
                      <w:rFonts w:hAnsi="宋体"/>
                      <w:color w:val="auto"/>
                      <w:kern w:val="0"/>
                      <w:szCs w:val="21"/>
                      <w:highlight w:val="none"/>
                    </w:rPr>
                  </w:pPr>
                  <w:r>
                    <w:rPr>
                      <w:rFonts w:hint="eastAsia" w:hAnsi="宋体"/>
                      <w:color w:val="auto"/>
                      <w:kern w:val="0"/>
                      <w:szCs w:val="21"/>
                      <w:highlight w:val="none"/>
                    </w:rPr>
                    <w:t>固体废物</w:t>
                  </w:r>
                </w:p>
              </w:tc>
              <w:tc>
                <w:tcPr>
                  <w:tcW w:w="1556"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szCs w:val="21"/>
                      <w:highlight w:val="none"/>
                    </w:rPr>
                  </w:pPr>
                  <w:r>
                    <w:rPr>
                      <w:rFonts w:hint="eastAsia"/>
                      <w:color w:val="auto"/>
                      <w:szCs w:val="21"/>
                      <w:highlight w:val="none"/>
                    </w:rPr>
                    <w:t>生活垃圾</w:t>
                  </w:r>
                </w:p>
              </w:tc>
              <w:tc>
                <w:tcPr>
                  <w:tcW w:w="4626"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szCs w:val="21"/>
                      <w:highlight w:val="none"/>
                    </w:rPr>
                  </w:pPr>
                  <w:r>
                    <w:rPr>
                      <w:rFonts w:hint="eastAsia"/>
                      <w:color w:val="auto"/>
                      <w:szCs w:val="21"/>
                      <w:highlight w:val="none"/>
                    </w:rPr>
                    <w:t>环卫部门处理</w:t>
                  </w:r>
                </w:p>
              </w:tc>
              <w:tc>
                <w:tcPr>
                  <w:tcW w:w="1372"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kern w:val="0"/>
                      <w:szCs w:val="21"/>
                      <w:highlight w:val="none"/>
                    </w:rPr>
                  </w:pPr>
                  <w:r>
                    <w:rPr>
                      <w:rFonts w:hint="eastAsia"/>
                      <w:color w:val="auto"/>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457" w:type="dxa"/>
                  <w:vMerge w:val="continue"/>
                  <w:tcBorders>
                    <w:left w:val="single" w:color="auto" w:sz="4" w:space="0"/>
                    <w:right w:val="single" w:color="auto" w:sz="4" w:space="0"/>
                  </w:tcBorders>
                  <w:vAlign w:val="center"/>
                </w:tcPr>
                <w:p>
                  <w:pPr>
                    <w:spacing w:line="336" w:lineRule="auto"/>
                    <w:rPr>
                      <w:color w:val="auto"/>
                      <w:kern w:val="0"/>
                      <w:szCs w:val="21"/>
                      <w:highlight w:val="none"/>
                    </w:rPr>
                  </w:pPr>
                </w:p>
              </w:tc>
              <w:tc>
                <w:tcPr>
                  <w:tcW w:w="1257" w:type="dxa"/>
                  <w:vMerge w:val="continue"/>
                  <w:tcBorders>
                    <w:left w:val="single" w:color="auto" w:sz="4" w:space="0"/>
                    <w:right w:val="single" w:color="auto" w:sz="4" w:space="0"/>
                  </w:tcBorders>
                  <w:vAlign w:val="center"/>
                </w:tcPr>
                <w:p>
                  <w:pPr>
                    <w:spacing w:line="336" w:lineRule="auto"/>
                    <w:rPr>
                      <w:rFonts w:hAnsi="宋体"/>
                      <w:color w:val="auto"/>
                      <w:kern w:val="0"/>
                      <w:szCs w:val="21"/>
                      <w:highlight w:val="none"/>
                    </w:rPr>
                  </w:pPr>
                </w:p>
              </w:tc>
              <w:tc>
                <w:tcPr>
                  <w:tcW w:w="1556" w:type="dxa"/>
                  <w:tcBorders>
                    <w:top w:val="single" w:color="auto" w:sz="4" w:space="0"/>
                    <w:left w:val="single" w:color="auto" w:sz="4" w:space="0"/>
                    <w:right w:val="single" w:color="auto" w:sz="4" w:space="0"/>
                  </w:tcBorders>
                  <w:vAlign w:val="center"/>
                </w:tcPr>
                <w:p>
                  <w:pPr>
                    <w:spacing w:line="336" w:lineRule="auto"/>
                    <w:jc w:val="center"/>
                    <w:rPr>
                      <w:color w:val="auto"/>
                      <w:szCs w:val="21"/>
                      <w:highlight w:val="none"/>
                    </w:rPr>
                  </w:pPr>
                  <w:r>
                    <w:rPr>
                      <w:rFonts w:hint="eastAsia"/>
                      <w:color w:val="auto"/>
                      <w:szCs w:val="21"/>
                      <w:highlight w:val="none"/>
                    </w:rPr>
                    <w:t>一般工业固废</w:t>
                  </w:r>
                </w:p>
              </w:tc>
              <w:tc>
                <w:tcPr>
                  <w:tcW w:w="4626"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szCs w:val="21"/>
                      <w:highlight w:val="none"/>
                    </w:rPr>
                  </w:pPr>
                  <w:r>
                    <w:rPr>
                      <w:rFonts w:hint="eastAsia"/>
                      <w:color w:val="auto"/>
                      <w:szCs w:val="21"/>
                      <w:highlight w:val="none"/>
                    </w:rPr>
                    <w:t>交专业公司回收处理</w:t>
                  </w:r>
                </w:p>
              </w:tc>
              <w:tc>
                <w:tcPr>
                  <w:tcW w:w="1372"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kern w:val="0"/>
                      <w:szCs w:val="21"/>
                      <w:highlight w:val="none"/>
                    </w:rPr>
                  </w:pPr>
                  <w:r>
                    <w:rPr>
                      <w:rFonts w:hint="eastAsia"/>
                      <w:color w:val="auto"/>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457" w:type="dxa"/>
                  <w:vMerge w:val="continue"/>
                  <w:tcBorders>
                    <w:left w:val="single" w:color="auto" w:sz="4" w:space="0"/>
                    <w:right w:val="single" w:color="auto" w:sz="4" w:space="0"/>
                  </w:tcBorders>
                  <w:vAlign w:val="center"/>
                </w:tcPr>
                <w:p>
                  <w:pPr>
                    <w:spacing w:line="336" w:lineRule="auto"/>
                    <w:rPr>
                      <w:color w:val="auto"/>
                      <w:kern w:val="0"/>
                      <w:szCs w:val="21"/>
                      <w:highlight w:val="none"/>
                    </w:rPr>
                  </w:pPr>
                </w:p>
              </w:tc>
              <w:tc>
                <w:tcPr>
                  <w:tcW w:w="1257" w:type="dxa"/>
                  <w:vMerge w:val="continue"/>
                  <w:tcBorders>
                    <w:left w:val="single" w:color="auto" w:sz="4" w:space="0"/>
                    <w:right w:val="single" w:color="auto" w:sz="4" w:space="0"/>
                  </w:tcBorders>
                  <w:vAlign w:val="center"/>
                </w:tcPr>
                <w:p>
                  <w:pPr>
                    <w:spacing w:line="336" w:lineRule="auto"/>
                    <w:rPr>
                      <w:rFonts w:hAnsi="宋体"/>
                      <w:color w:val="auto"/>
                      <w:kern w:val="0"/>
                      <w:szCs w:val="21"/>
                      <w:highlight w:val="none"/>
                    </w:rPr>
                  </w:pPr>
                </w:p>
              </w:tc>
              <w:tc>
                <w:tcPr>
                  <w:tcW w:w="1556" w:type="dxa"/>
                  <w:tcBorders>
                    <w:top w:val="single" w:color="auto" w:sz="4" w:space="0"/>
                    <w:left w:val="single" w:color="auto" w:sz="4" w:space="0"/>
                    <w:right w:val="single" w:color="auto" w:sz="4" w:space="0"/>
                  </w:tcBorders>
                  <w:vAlign w:val="center"/>
                </w:tcPr>
                <w:p>
                  <w:pPr>
                    <w:spacing w:line="336" w:lineRule="auto"/>
                    <w:jc w:val="center"/>
                    <w:rPr>
                      <w:color w:val="auto"/>
                      <w:szCs w:val="21"/>
                      <w:highlight w:val="none"/>
                    </w:rPr>
                  </w:pPr>
                  <w:r>
                    <w:rPr>
                      <w:rFonts w:hint="eastAsia"/>
                      <w:color w:val="auto"/>
                      <w:szCs w:val="21"/>
                      <w:highlight w:val="none"/>
                    </w:rPr>
                    <w:t>危险废物</w:t>
                  </w:r>
                </w:p>
              </w:tc>
              <w:tc>
                <w:tcPr>
                  <w:tcW w:w="4626"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szCs w:val="21"/>
                      <w:highlight w:val="none"/>
                    </w:rPr>
                  </w:pPr>
                  <w:r>
                    <w:rPr>
                      <w:rFonts w:hint="eastAsia"/>
                      <w:color w:val="auto"/>
                      <w:szCs w:val="21"/>
                      <w:highlight w:val="none"/>
                    </w:rPr>
                    <w:t>交给有危险废物处置资质单位处置</w:t>
                  </w:r>
                </w:p>
              </w:tc>
              <w:tc>
                <w:tcPr>
                  <w:tcW w:w="1372"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kern w:val="0"/>
                      <w:szCs w:val="21"/>
                      <w:highlight w:val="none"/>
                    </w:rPr>
                  </w:pPr>
                  <w:r>
                    <w:rPr>
                      <w:rFonts w:hint="eastAsia"/>
                      <w:color w:val="auto"/>
                      <w:kern w:val="0"/>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57"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kern w:val="0"/>
                      <w:szCs w:val="21"/>
                      <w:highlight w:val="none"/>
                    </w:rPr>
                  </w:pPr>
                  <w:r>
                    <w:rPr>
                      <w:color w:val="auto"/>
                      <w:kern w:val="0"/>
                      <w:szCs w:val="21"/>
                      <w:highlight w:val="none"/>
                    </w:rPr>
                    <w:t>4</w:t>
                  </w:r>
                </w:p>
              </w:tc>
              <w:tc>
                <w:tcPr>
                  <w:tcW w:w="2813" w:type="dxa"/>
                  <w:gridSpan w:val="2"/>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szCs w:val="21"/>
                      <w:highlight w:val="none"/>
                    </w:rPr>
                  </w:pPr>
                  <w:r>
                    <w:rPr>
                      <w:rFonts w:hint="eastAsia" w:hAnsi="宋体"/>
                      <w:color w:val="auto"/>
                      <w:kern w:val="0"/>
                      <w:szCs w:val="21"/>
                      <w:highlight w:val="none"/>
                    </w:rPr>
                    <w:t>噪声</w:t>
                  </w:r>
                </w:p>
              </w:tc>
              <w:tc>
                <w:tcPr>
                  <w:tcW w:w="4626" w:type="dxa"/>
                  <w:tcBorders>
                    <w:top w:val="single" w:color="auto" w:sz="4" w:space="0"/>
                    <w:left w:val="single" w:color="auto" w:sz="4" w:space="0"/>
                    <w:bottom w:val="single" w:color="auto" w:sz="4" w:space="0"/>
                    <w:right w:val="single" w:color="auto" w:sz="4" w:space="0"/>
                  </w:tcBorders>
                  <w:vAlign w:val="center"/>
                </w:tcPr>
                <w:p>
                  <w:pPr>
                    <w:pStyle w:val="56"/>
                    <w:spacing w:line="336" w:lineRule="auto"/>
                    <w:rPr>
                      <w:rFonts w:hAnsi="宋体"/>
                      <w:color w:val="auto"/>
                      <w:kern w:val="2"/>
                      <w:sz w:val="21"/>
                      <w:szCs w:val="21"/>
                      <w:highlight w:val="none"/>
                    </w:rPr>
                  </w:pPr>
                  <w:r>
                    <w:rPr>
                      <w:rFonts w:hint="eastAsia" w:hAnsi="宋体"/>
                      <w:bCs/>
                      <w:color w:val="auto"/>
                      <w:kern w:val="2"/>
                      <w:sz w:val="21"/>
                      <w:szCs w:val="21"/>
                      <w:highlight w:val="none"/>
                    </w:rPr>
                    <w:t>稳固设备，安装消声器，设置隔音门窗，设置单独隔声间，</w:t>
                  </w:r>
                  <w:r>
                    <w:rPr>
                      <w:rFonts w:hint="eastAsia" w:hAnsi="宋体"/>
                      <w:color w:val="auto"/>
                      <w:kern w:val="2"/>
                      <w:sz w:val="21"/>
                      <w:szCs w:val="21"/>
                      <w:highlight w:val="none"/>
                    </w:rPr>
                    <w:t>定期对各种机械设备进行维护与保养，适时添加润滑油</w:t>
                  </w:r>
                </w:p>
              </w:tc>
              <w:tc>
                <w:tcPr>
                  <w:tcW w:w="1372"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kern w:val="0"/>
                      <w:szCs w:val="21"/>
                      <w:highlight w:val="none"/>
                    </w:rPr>
                  </w:pPr>
                  <w:r>
                    <w:rPr>
                      <w:rFonts w:hint="eastAsia"/>
                      <w:color w:val="auto"/>
                      <w:kern w:val="0"/>
                      <w:szCs w:val="21"/>
                      <w:highlight w:val="none"/>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457"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kern w:val="0"/>
                      <w:szCs w:val="21"/>
                      <w:highlight w:val="none"/>
                    </w:rPr>
                  </w:pPr>
                  <w:r>
                    <w:rPr>
                      <w:color w:val="auto"/>
                      <w:kern w:val="0"/>
                      <w:szCs w:val="21"/>
                      <w:highlight w:val="none"/>
                    </w:rPr>
                    <w:t>5</w:t>
                  </w:r>
                </w:p>
              </w:tc>
              <w:tc>
                <w:tcPr>
                  <w:tcW w:w="7439" w:type="dxa"/>
                  <w:gridSpan w:val="3"/>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szCs w:val="21"/>
                      <w:highlight w:val="none"/>
                    </w:rPr>
                  </w:pPr>
                  <w:r>
                    <w:rPr>
                      <w:rFonts w:hint="eastAsia" w:hAnsi="宋体"/>
                      <w:color w:val="auto"/>
                      <w:kern w:val="0"/>
                      <w:szCs w:val="21"/>
                      <w:highlight w:val="none"/>
                    </w:rPr>
                    <w:t>合计</w:t>
                  </w:r>
                </w:p>
              </w:tc>
              <w:tc>
                <w:tcPr>
                  <w:tcW w:w="1372"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kern w:val="0"/>
                      <w:szCs w:val="21"/>
                      <w:highlight w:val="none"/>
                    </w:rPr>
                  </w:pPr>
                  <w:r>
                    <w:rPr>
                      <w:rFonts w:hint="eastAsia"/>
                      <w:color w:val="auto"/>
                      <w:kern w:val="0"/>
                      <w:szCs w:val="21"/>
                      <w:highlight w:val="none"/>
                    </w:rPr>
                    <w:t>14.0</w:t>
                  </w:r>
                </w:p>
              </w:tc>
            </w:tr>
          </w:tbl>
          <w:p>
            <w:pPr>
              <w:adjustRightInd w:val="0"/>
              <w:snapToGrid w:val="0"/>
              <w:spacing w:line="312" w:lineRule="auto"/>
              <w:ind w:firstLine="482" w:firstLineChars="200"/>
              <w:rPr>
                <w:color w:val="auto"/>
                <w:highlight w:val="none"/>
              </w:rPr>
            </w:pPr>
            <w:r>
              <w:rPr>
                <w:rFonts w:hint="eastAsia" w:ascii="宋体" w:hAnsi="宋体"/>
                <w:b/>
                <w:color w:val="auto"/>
                <w:sz w:val="24"/>
                <w:highlight w:val="none"/>
              </w:rPr>
              <w:t>九、项目 “三同时”环境保护验收情况见下表：</w:t>
            </w:r>
          </w:p>
          <w:p>
            <w:pPr>
              <w:pStyle w:val="138"/>
              <w:numPr>
                <w:ilvl w:val="0"/>
                <w:numId w:val="5"/>
              </w:numPr>
              <w:tabs>
                <w:tab w:val="left" w:pos="420"/>
              </w:tabs>
              <w:spacing w:line="360" w:lineRule="auto"/>
              <w:ind w:left="0" w:firstLine="471"/>
              <w:rPr>
                <w:rFonts w:eastAsia="宋体" w:cs="Times New Roman"/>
                <w:b/>
                <w:color w:val="auto"/>
                <w:sz w:val="21"/>
                <w:szCs w:val="21"/>
                <w:highlight w:val="none"/>
                <w:lang w:val="zh-CN"/>
              </w:rPr>
            </w:pPr>
            <w:r>
              <w:rPr>
                <w:rFonts w:hint="eastAsia" w:eastAsia="宋体" w:cs="Times New Roman"/>
                <w:b/>
                <w:color w:val="auto"/>
                <w:sz w:val="21"/>
                <w:szCs w:val="21"/>
                <w:highlight w:val="none"/>
                <w:lang w:val="zh-CN"/>
              </w:rPr>
              <w:t>建设项目“三同时”环境保护验收一览表</w:t>
            </w:r>
          </w:p>
          <w:tbl>
            <w:tblPr>
              <w:tblStyle w:val="40"/>
              <w:tblW w:w="932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57" w:type="dxa"/>
                <w:bottom w:w="57" w:type="dxa"/>
                <w:right w:w="57" w:type="dxa"/>
              </w:tblCellMar>
            </w:tblPr>
            <w:tblGrid>
              <w:gridCol w:w="543"/>
              <w:gridCol w:w="1646"/>
              <w:gridCol w:w="1865"/>
              <w:gridCol w:w="2490"/>
              <w:gridCol w:w="278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253" w:hRule="atLeast"/>
                <w:jc w:val="center"/>
              </w:trPr>
              <w:tc>
                <w:tcPr>
                  <w:tcW w:w="543" w:type="dxa"/>
                  <w:tcBorders>
                    <w:top w:val="single" w:color="auto" w:sz="4" w:space="0"/>
                    <w:left w:val="single" w:color="auto" w:sz="4" w:space="0"/>
                  </w:tcBorders>
                  <w:vAlign w:val="center"/>
                </w:tcPr>
                <w:p>
                  <w:pPr>
                    <w:jc w:val="center"/>
                    <w:rPr>
                      <w:b/>
                      <w:color w:val="auto"/>
                      <w:szCs w:val="21"/>
                      <w:highlight w:val="none"/>
                    </w:rPr>
                  </w:pPr>
                  <w:r>
                    <w:rPr>
                      <w:b/>
                      <w:color w:val="auto"/>
                      <w:szCs w:val="21"/>
                      <w:highlight w:val="none"/>
                    </w:rPr>
                    <w:t>项目</w:t>
                  </w:r>
                </w:p>
              </w:tc>
              <w:tc>
                <w:tcPr>
                  <w:tcW w:w="1646" w:type="dxa"/>
                  <w:tcBorders>
                    <w:top w:val="single" w:color="auto" w:sz="4" w:space="0"/>
                  </w:tcBorders>
                  <w:vAlign w:val="center"/>
                </w:tcPr>
                <w:p>
                  <w:pPr>
                    <w:jc w:val="center"/>
                    <w:rPr>
                      <w:b/>
                      <w:color w:val="auto"/>
                      <w:szCs w:val="21"/>
                      <w:highlight w:val="none"/>
                    </w:rPr>
                  </w:pPr>
                  <w:r>
                    <w:rPr>
                      <w:b/>
                      <w:color w:val="auto"/>
                      <w:szCs w:val="21"/>
                      <w:highlight w:val="none"/>
                    </w:rPr>
                    <w:t>污染源</w:t>
                  </w:r>
                </w:p>
              </w:tc>
              <w:tc>
                <w:tcPr>
                  <w:tcW w:w="1865" w:type="dxa"/>
                  <w:tcBorders>
                    <w:top w:val="single" w:color="auto" w:sz="4" w:space="0"/>
                  </w:tcBorders>
                  <w:vAlign w:val="center"/>
                </w:tcPr>
                <w:p>
                  <w:pPr>
                    <w:jc w:val="center"/>
                    <w:rPr>
                      <w:b/>
                      <w:color w:val="auto"/>
                      <w:szCs w:val="21"/>
                      <w:highlight w:val="none"/>
                    </w:rPr>
                  </w:pPr>
                  <w:r>
                    <w:rPr>
                      <w:b/>
                      <w:color w:val="auto"/>
                      <w:szCs w:val="21"/>
                      <w:highlight w:val="none"/>
                    </w:rPr>
                    <w:t>防治措施</w:t>
                  </w:r>
                </w:p>
              </w:tc>
              <w:tc>
                <w:tcPr>
                  <w:tcW w:w="2490" w:type="dxa"/>
                  <w:tcBorders>
                    <w:top w:val="single" w:color="auto" w:sz="4" w:space="0"/>
                  </w:tcBorders>
                  <w:vAlign w:val="center"/>
                </w:tcPr>
                <w:p>
                  <w:pPr>
                    <w:jc w:val="center"/>
                    <w:rPr>
                      <w:b/>
                      <w:color w:val="auto"/>
                      <w:szCs w:val="21"/>
                      <w:highlight w:val="none"/>
                    </w:rPr>
                  </w:pPr>
                  <w:r>
                    <w:rPr>
                      <w:b/>
                      <w:color w:val="auto"/>
                      <w:szCs w:val="21"/>
                      <w:highlight w:val="none"/>
                    </w:rPr>
                    <w:t>规模</w:t>
                  </w:r>
                </w:p>
              </w:tc>
              <w:tc>
                <w:tcPr>
                  <w:tcW w:w="2781" w:type="dxa"/>
                  <w:tcBorders>
                    <w:top w:val="single" w:color="auto" w:sz="4" w:space="0"/>
                    <w:right w:val="single" w:color="auto" w:sz="4" w:space="0"/>
                  </w:tcBorders>
                  <w:vAlign w:val="center"/>
                </w:tcPr>
                <w:p>
                  <w:pPr>
                    <w:jc w:val="center"/>
                    <w:rPr>
                      <w:b/>
                      <w:color w:val="auto"/>
                      <w:szCs w:val="21"/>
                      <w:highlight w:val="none"/>
                    </w:rPr>
                  </w:pPr>
                  <w:r>
                    <w:rPr>
                      <w:b/>
                      <w:color w:val="auto"/>
                      <w:szCs w:val="21"/>
                      <w:highlight w:val="none"/>
                    </w:rPr>
                    <w:t>验收要求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245" w:hRule="atLeast"/>
                <w:jc w:val="center"/>
              </w:trPr>
              <w:tc>
                <w:tcPr>
                  <w:tcW w:w="543" w:type="dxa"/>
                  <w:vMerge w:val="restart"/>
                  <w:tcBorders>
                    <w:left w:val="single" w:color="auto" w:sz="4" w:space="0"/>
                  </w:tcBorders>
                  <w:vAlign w:val="center"/>
                </w:tcPr>
                <w:p>
                  <w:pPr>
                    <w:rPr>
                      <w:color w:val="auto"/>
                      <w:szCs w:val="21"/>
                      <w:highlight w:val="none"/>
                    </w:rPr>
                  </w:pPr>
                  <w:r>
                    <w:rPr>
                      <w:color w:val="auto"/>
                      <w:szCs w:val="21"/>
                      <w:highlight w:val="none"/>
                    </w:rPr>
                    <w:t>废气</w:t>
                  </w:r>
                </w:p>
              </w:tc>
              <w:tc>
                <w:tcPr>
                  <w:tcW w:w="1646" w:type="dxa"/>
                  <w:vMerge w:val="restart"/>
                  <w:vAlign w:val="center"/>
                </w:tcPr>
                <w:p>
                  <w:pPr>
                    <w:pStyle w:val="56"/>
                    <w:rPr>
                      <w:rFonts w:ascii="Times New Roman" w:hAnsi="Times New Roman"/>
                      <w:color w:val="auto"/>
                      <w:sz w:val="21"/>
                      <w:szCs w:val="21"/>
                      <w:highlight w:val="none"/>
                    </w:rPr>
                  </w:pPr>
                  <w:r>
                    <w:rPr>
                      <w:rFonts w:hint="eastAsia" w:ascii="Times New Roman" w:hAnsi="Times New Roman"/>
                      <w:color w:val="auto"/>
                      <w:kern w:val="2"/>
                      <w:sz w:val="21"/>
                      <w:szCs w:val="21"/>
                      <w:highlight w:val="none"/>
                    </w:rPr>
                    <w:t>注塑</w:t>
                  </w:r>
                  <w:r>
                    <w:rPr>
                      <w:rFonts w:ascii="Times New Roman" w:hAnsi="Times New Roman"/>
                      <w:color w:val="auto"/>
                      <w:kern w:val="2"/>
                      <w:sz w:val="21"/>
                      <w:szCs w:val="21"/>
                      <w:highlight w:val="none"/>
                    </w:rPr>
                    <w:t>工序</w:t>
                  </w:r>
                </w:p>
              </w:tc>
              <w:tc>
                <w:tcPr>
                  <w:tcW w:w="1865" w:type="dxa"/>
                  <w:vMerge w:val="restart"/>
                  <w:vAlign w:val="center"/>
                </w:tcPr>
                <w:p>
                  <w:pPr>
                    <w:jc w:val="center"/>
                    <w:rPr>
                      <w:rFonts w:hint="eastAsia" w:eastAsia="宋体"/>
                      <w:color w:val="auto"/>
                      <w:szCs w:val="21"/>
                      <w:highlight w:val="none"/>
                      <w:lang w:eastAsia="zh-CN"/>
                    </w:rPr>
                  </w:pPr>
                  <w:r>
                    <w:rPr>
                      <w:rFonts w:hint="eastAsia"/>
                      <w:color w:val="auto"/>
                      <w:szCs w:val="21"/>
                      <w:highlight w:val="none"/>
                    </w:rPr>
                    <w:t>设置集气装置将废气进行收集后采用UV光解+活性炭吸附装置进行</w:t>
                  </w:r>
                  <w:r>
                    <w:rPr>
                      <w:rFonts w:hint="eastAsia"/>
                      <w:color w:val="auto"/>
                      <w:szCs w:val="21"/>
                      <w:highlight w:val="none"/>
                      <w:lang w:eastAsia="zh-CN"/>
                    </w:rPr>
                    <w:t>处理后经15m排气筒高空排放</w:t>
                  </w:r>
                </w:p>
              </w:tc>
              <w:tc>
                <w:tcPr>
                  <w:tcW w:w="2490" w:type="dxa"/>
                  <w:tcBorders>
                    <w:bottom w:val="single" w:color="auto" w:sz="4" w:space="0"/>
                  </w:tcBorders>
                  <w:vAlign w:val="center"/>
                </w:tcPr>
                <w:p>
                  <w:pPr>
                    <w:jc w:val="center"/>
                    <w:rPr>
                      <w:rFonts w:hint="eastAsia"/>
                      <w:color w:val="auto"/>
                      <w:szCs w:val="21"/>
                      <w:highlight w:val="none"/>
                      <w:lang w:eastAsia="zh-CN"/>
                    </w:rPr>
                  </w:pPr>
                  <w:r>
                    <w:rPr>
                      <w:rFonts w:hint="eastAsia"/>
                      <w:color w:val="auto"/>
                      <w:szCs w:val="21"/>
                      <w:highlight w:val="none"/>
                      <w:lang w:eastAsia="zh-CN"/>
                    </w:rPr>
                    <w:t>非甲烷总烃：</w:t>
                  </w:r>
                  <w:r>
                    <w:rPr>
                      <w:rFonts w:hint="eastAsia"/>
                      <w:color w:val="auto"/>
                      <w:szCs w:val="21"/>
                      <w:highlight w:val="none"/>
                    </w:rPr>
                    <w:t>有组织</w:t>
                  </w:r>
                  <w:r>
                    <w:rPr>
                      <w:rFonts w:hint="eastAsia"/>
                      <w:color w:val="auto"/>
                      <w:szCs w:val="21"/>
                      <w:highlight w:val="none"/>
                      <w:lang w:val="en-US" w:eastAsia="zh-CN"/>
                    </w:rPr>
                    <w:t>8.33</w:t>
                  </w:r>
                  <w:r>
                    <w:rPr>
                      <w:rFonts w:hint="eastAsia"/>
                      <w:color w:val="auto"/>
                      <w:szCs w:val="21"/>
                      <w:highlight w:val="none"/>
                    </w:rPr>
                    <w:t>mg/m</w:t>
                  </w:r>
                  <w:r>
                    <w:rPr>
                      <w:rFonts w:hint="eastAsia"/>
                      <w:color w:val="auto"/>
                      <w:szCs w:val="21"/>
                      <w:highlight w:val="none"/>
                      <w:vertAlign w:val="superscript"/>
                    </w:rPr>
                    <w:t>3</w:t>
                  </w:r>
                  <w:r>
                    <w:rPr>
                      <w:rFonts w:hint="eastAsia"/>
                      <w:color w:val="auto"/>
                      <w:szCs w:val="21"/>
                      <w:highlight w:val="none"/>
                      <w:lang w:eastAsia="zh-CN"/>
                    </w:rPr>
                    <w:t>、</w:t>
                  </w:r>
                  <w:r>
                    <w:rPr>
                      <w:rFonts w:hint="eastAsia"/>
                      <w:color w:val="auto"/>
                      <w:szCs w:val="21"/>
                      <w:highlight w:val="none"/>
                      <w:lang w:val="en-US" w:eastAsia="zh-CN"/>
                    </w:rPr>
                    <w:t>0.166</w:t>
                  </w:r>
                  <w:r>
                    <w:rPr>
                      <w:rFonts w:hint="eastAsia"/>
                      <w:color w:val="auto"/>
                      <w:szCs w:val="21"/>
                      <w:highlight w:val="none"/>
                    </w:rPr>
                    <w:t>t</w:t>
                  </w:r>
                  <w:r>
                    <w:rPr>
                      <w:color w:val="auto"/>
                      <w:szCs w:val="21"/>
                      <w:highlight w:val="none"/>
                    </w:rPr>
                    <w:t>/a</w:t>
                  </w:r>
                  <w:r>
                    <w:rPr>
                      <w:rFonts w:hint="eastAsia"/>
                      <w:color w:val="auto"/>
                      <w:szCs w:val="21"/>
                      <w:highlight w:val="none"/>
                      <w:lang w:eastAsia="zh-CN"/>
                    </w:rPr>
                    <w:t>，</w:t>
                  </w:r>
                  <w:r>
                    <w:rPr>
                      <w:rFonts w:hint="eastAsia"/>
                      <w:color w:val="auto"/>
                      <w:szCs w:val="21"/>
                      <w:highlight w:val="none"/>
                    </w:rPr>
                    <w:t>无组织</w:t>
                  </w:r>
                  <w:r>
                    <w:rPr>
                      <w:rFonts w:hint="eastAsia"/>
                      <w:color w:val="auto"/>
                      <w:kern w:val="0"/>
                      <w:szCs w:val="21"/>
                      <w:highlight w:val="none"/>
                      <w:lang w:val="en-US" w:eastAsia="zh-CN"/>
                    </w:rPr>
                    <w:t>1.414</w:t>
                  </w:r>
                  <w:r>
                    <w:rPr>
                      <w:rFonts w:hint="eastAsia"/>
                      <w:color w:val="auto"/>
                      <w:szCs w:val="21"/>
                      <w:highlight w:val="none"/>
                    </w:rPr>
                    <w:t>mg/m</w:t>
                  </w:r>
                  <w:r>
                    <w:rPr>
                      <w:rFonts w:hint="eastAsia"/>
                      <w:color w:val="auto"/>
                      <w:szCs w:val="21"/>
                      <w:highlight w:val="none"/>
                      <w:vertAlign w:val="superscript"/>
                    </w:rPr>
                    <w:t>3</w:t>
                  </w:r>
                  <w:r>
                    <w:rPr>
                      <w:rFonts w:hint="eastAsia"/>
                      <w:color w:val="auto"/>
                      <w:szCs w:val="21"/>
                      <w:highlight w:val="none"/>
                      <w:lang w:eastAsia="zh-CN"/>
                    </w:rPr>
                    <w:t>、</w:t>
                  </w:r>
                  <w:r>
                    <w:rPr>
                      <w:rFonts w:hint="eastAsia"/>
                      <w:color w:val="auto"/>
                      <w:szCs w:val="21"/>
                      <w:highlight w:val="none"/>
                      <w:lang w:val="en-US" w:eastAsia="zh-CN"/>
                    </w:rPr>
                    <w:t>0.108</w:t>
                  </w:r>
                  <w:r>
                    <w:rPr>
                      <w:rFonts w:hint="eastAsia"/>
                      <w:color w:val="auto"/>
                      <w:szCs w:val="21"/>
                      <w:highlight w:val="none"/>
                    </w:rPr>
                    <w:t>t</w:t>
                  </w:r>
                  <w:r>
                    <w:rPr>
                      <w:color w:val="auto"/>
                      <w:szCs w:val="21"/>
                      <w:highlight w:val="none"/>
                    </w:rPr>
                    <w:t>/a</w:t>
                  </w:r>
                  <w:r>
                    <w:rPr>
                      <w:rFonts w:hint="eastAsia"/>
                      <w:color w:val="auto"/>
                      <w:szCs w:val="21"/>
                      <w:highlight w:val="none"/>
                      <w:lang w:eastAsia="zh-CN"/>
                    </w:rPr>
                    <w:t>；</w:t>
                  </w:r>
                </w:p>
                <w:p>
                  <w:pPr>
                    <w:jc w:val="center"/>
                    <w:rPr>
                      <w:rFonts w:hint="eastAsia" w:eastAsia="宋体"/>
                      <w:color w:val="auto"/>
                      <w:szCs w:val="21"/>
                      <w:highlight w:val="none"/>
                      <w:lang w:eastAsia="zh-CN"/>
                    </w:rPr>
                  </w:pPr>
                  <w:r>
                    <w:rPr>
                      <w:rFonts w:hint="default" w:ascii="Times New Roman" w:hAnsi="Times New Roman" w:cs="Times New Roman"/>
                      <w:bCs/>
                      <w:color w:val="auto"/>
                      <w:sz w:val="21"/>
                      <w:szCs w:val="21"/>
                      <w:highlight w:val="none"/>
                    </w:rPr>
                    <w:t>苯乙烯</w:t>
                  </w:r>
                  <w:r>
                    <w:rPr>
                      <w:rFonts w:hint="default" w:ascii="Times New Roman" w:hAnsi="Times New Roman" w:cs="Times New Roman"/>
                      <w:bCs/>
                      <w:color w:val="auto"/>
                      <w:sz w:val="21"/>
                      <w:szCs w:val="21"/>
                      <w:highlight w:val="none"/>
                      <w:lang w:eastAsia="zh-CN"/>
                    </w:rPr>
                    <w:t>：少量</w:t>
                  </w:r>
                  <w:r>
                    <w:rPr>
                      <w:rFonts w:hint="eastAsia"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丙烯腈</w:t>
                  </w:r>
                  <w:r>
                    <w:rPr>
                      <w:rFonts w:hint="default" w:ascii="Times New Roman" w:hAnsi="Times New Roman" w:cs="Times New Roman"/>
                      <w:bCs/>
                      <w:color w:val="auto"/>
                      <w:sz w:val="21"/>
                      <w:szCs w:val="21"/>
                      <w:highlight w:val="none"/>
                      <w:lang w:eastAsia="zh-CN"/>
                    </w:rPr>
                    <w:t>：少量</w:t>
                  </w:r>
                  <w:r>
                    <w:rPr>
                      <w:rFonts w:hint="eastAsia"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1,3-丁二烯</w:t>
                  </w:r>
                  <w:r>
                    <w:rPr>
                      <w:rFonts w:hint="default" w:ascii="Times New Roman" w:hAnsi="Times New Roman" w:cs="Times New Roman"/>
                      <w:bCs/>
                      <w:color w:val="auto"/>
                      <w:sz w:val="21"/>
                      <w:szCs w:val="21"/>
                      <w:highlight w:val="none"/>
                      <w:lang w:eastAsia="zh-CN"/>
                    </w:rPr>
                    <w:t>：少量</w:t>
                  </w:r>
                  <w:r>
                    <w:rPr>
                      <w:rFonts w:hint="eastAsia"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甲苯</w:t>
                  </w:r>
                  <w:r>
                    <w:rPr>
                      <w:rFonts w:hint="default" w:ascii="Times New Roman" w:hAnsi="Times New Roman" w:cs="Times New Roman"/>
                      <w:bCs/>
                      <w:color w:val="auto"/>
                      <w:sz w:val="21"/>
                      <w:szCs w:val="21"/>
                      <w:highlight w:val="none"/>
                      <w:lang w:eastAsia="zh-CN"/>
                    </w:rPr>
                    <w:t>：少量</w:t>
                  </w:r>
                  <w:r>
                    <w:rPr>
                      <w:rFonts w:hint="eastAsia"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乙苯</w:t>
                  </w:r>
                  <w:r>
                    <w:rPr>
                      <w:rFonts w:hint="default" w:ascii="Times New Roman" w:hAnsi="Times New Roman" w:cs="Times New Roman"/>
                      <w:bCs/>
                      <w:color w:val="auto"/>
                      <w:sz w:val="21"/>
                      <w:szCs w:val="21"/>
                      <w:highlight w:val="none"/>
                      <w:lang w:eastAsia="zh-CN"/>
                    </w:rPr>
                    <w:t>：少量</w:t>
                  </w:r>
                </w:p>
              </w:tc>
              <w:tc>
                <w:tcPr>
                  <w:tcW w:w="2781" w:type="dxa"/>
                  <w:tcBorders>
                    <w:bottom w:val="single" w:color="auto" w:sz="4" w:space="0"/>
                    <w:right w:val="single" w:color="auto" w:sz="4" w:space="0"/>
                  </w:tcBorders>
                  <w:vAlign w:val="center"/>
                </w:tcPr>
                <w:p>
                  <w:pPr>
                    <w:spacing w:line="216" w:lineRule="auto"/>
                    <w:jc w:val="center"/>
                    <w:rPr>
                      <w:color w:val="auto"/>
                      <w:szCs w:val="21"/>
                      <w:highlight w:val="none"/>
                    </w:rPr>
                  </w:pPr>
                  <w:r>
                    <w:rPr>
                      <w:rFonts w:hint="eastAsia"/>
                      <w:color w:val="auto"/>
                      <w:szCs w:val="21"/>
                      <w:highlight w:val="none"/>
                    </w:rPr>
                    <w:t>达到《合成树脂工业污染物排放标准》(GB 31572-2015)表5规定的大气污染物特别排放标准限值和表9企业边界大气污染物浓度限值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245" w:hRule="atLeast"/>
                <w:jc w:val="center"/>
              </w:trPr>
              <w:tc>
                <w:tcPr>
                  <w:tcW w:w="543" w:type="dxa"/>
                  <w:vMerge w:val="continue"/>
                  <w:tcBorders>
                    <w:left w:val="single" w:color="auto" w:sz="4" w:space="0"/>
                  </w:tcBorders>
                  <w:vAlign w:val="center"/>
                </w:tcPr>
                <w:p>
                  <w:pPr>
                    <w:rPr>
                      <w:color w:val="auto"/>
                      <w:szCs w:val="21"/>
                      <w:highlight w:val="none"/>
                    </w:rPr>
                  </w:pPr>
                </w:p>
              </w:tc>
              <w:tc>
                <w:tcPr>
                  <w:tcW w:w="1646" w:type="dxa"/>
                  <w:vMerge w:val="continue"/>
                  <w:tcBorders>
                    <w:bottom w:val="single" w:color="auto" w:sz="4" w:space="0"/>
                  </w:tcBorders>
                  <w:vAlign w:val="center"/>
                </w:tcPr>
                <w:p>
                  <w:pPr>
                    <w:pStyle w:val="56"/>
                    <w:rPr>
                      <w:rFonts w:hint="eastAsia" w:ascii="Times New Roman" w:hAnsi="Times New Roman"/>
                      <w:color w:val="auto"/>
                      <w:kern w:val="2"/>
                      <w:sz w:val="21"/>
                      <w:szCs w:val="21"/>
                      <w:highlight w:val="none"/>
                    </w:rPr>
                  </w:pPr>
                </w:p>
              </w:tc>
              <w:tc>
                <w:tcPr>
                  <w:tcW w:w="1865" w:type="dxa"/>
                  <w:vMerge w:val="continue"/>
                  <w:tcBorders>
                    <w:bottom w:val="single" w:color="auto" w:sz="4" w:space="0"/>
                  </w:tcBorders>
                  <w:vAlign w:val="center"/>
                </w:tcPr>
                <w:p>
                  <w:pPr>
                    <w:jc w:val="center"/>
                    <w:rPr>
                      <w:rFonts w:hint="eastAsia"/>
                      <w:color w:val="auto"/>
                      <w:szCs w:val="21"/>
                      <w:highlight w:val="none"/>
                    </w:rPr>
                  </w:pPr>
                </w:p>
              </w:tc>
              <w:tc>
                <w:tcPr>
                  <w:tcW w:w="2490" w:type="dxa"/>
                  <w:tcBorders>
                    <w:bottom w:val="single" w:color="auto" w:sz="4" w:space="0"/>
                  </w:tcBorders>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臭气浓度&lt;20（无纲量）</w:t>
                  </w:r>
                </w:p>
              </w:tc>
              <w:tc>
                <w:tcPr>
                  <w:tcW w:w="2781" w:type="dxa"/>
                  <w:tcBorders>
                    <w:bottom w:val="single" w:color="auto" w:sz="4" w:space="0"/>
                    <w:right w:val="single" w:color="auto" w:sz="4" w:space="0"/>
                  </w:tcBorders>
                  <w:vAlign w:val="center"/>
                </w:tcPr>
                <w:p>
                  <w:pPr>
                    <w:spacing w:line="216" w:lineRule="auto"/>
                    <w:jc w:val="center"/>
                    <w:rPr>
                      <w:rFonts w:hint="eastAsia"/>
                      <w:color w:val="auto"/>
                      <w:szCs w:val="21"/>
                      <w:highlight w:val="none"/>
                    </w:rPr>
                  </w:pPr>
                  <w:r>
                    <w:rPr>
                      <w:rFonts w:hint="eastAsia"/>
                      <w:color w:val="auto"/>
                      <w:szCs w:val="21"/>
                      <w:highlight w:val="none"/>
                    </w:rPr>
                    <w:t>达到《恶臭污染物排放标准》（GB 14554—93）表1恶臭污染物厂界标准值二级新扩改建臭气浓度要求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245" w:hRule="atLeast"/>
                <w:jc w:val="center"/>
              </w:trPr>
              <w:tc>
                <w:tcPr>
                  <w:tcW w:w="543" w:type="dxa"/>
                  <w:vMerge w:val="continue"/>
                  <w:tcBorders>
                    <w:left w:val="single" w:color="auto" w:sz="4" w:space="0"/>
                  </w:tcBorders>
                  <w:vAlign w:val="center"/>
                </w:tcPr>
                <w:p>
                  <w:pPr>
                    <w:rPr>
                      <w:color w:val="auto"/>
                      <w:szCs w:val="21"/>
                      <w:highlight w:val="none"/>
                    </w:rPr>
                  </w:pPr>
                </w:p>
              </w:tc>
              <w:tc>
                <w:tcPr>
                  <w:tcW w:w="1646" w:type="dxa"/>
                  <w:tcBorders>
                    <w:bottom w:val="single" w:color="auto" w:sz="4" w:space="0"/>
                  </w:tcBorders>
                  <w:vAlign w:val="center"/>
                </w:tcPr>
                <w:p>
                  <w:pPr>
                    <w:pStyle w:val="56"/>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破碎工序</w:t>
                  </w:r>
                </w:p>
              </w:tc>
              <w:tc>
                <w:tcPr>
                  <w:tcW w:w="1865" w:type="dxa"/>
                  <w:tcBorders>
                    <w:bottom w:val="single" w:color="auto" w:sz="4" w:space="0"/>
                  </w:tcBorders>
                  <w:vAlign w:val="center"/>
                </w:tcPr>
                <w:p>
                  <w:pPr>
                    <w:jc w:val="center"/>
                    <w:rPr>
                      <w:color w:val="auto"/>
                      <w:szCs w:val="21"/>
                      <w:highlight w:val="none"/>
                    </w:rPr>
                  </w:pPr>
                  <w:r>
                    <w:rPr>
                      <w:rFonts w:hint="eastAsia"/>
                      <w:color w:val="auto"/>
                      <w:szCs w:val="21"/>
                      <w:highlight w:val="none"/>
                    </w:rPr>
                    <w:t>加强车间机械通风措施</w:t>
                  </w:r>
                </w:p>
              </w:tc>
              <w:tc>
                <w:tcPr>
                  <w:tcW w:w="2490" w:type="dxa"/>
                  <w:tcBorders>
                    <w:bottom w:val="single" w:color="auto" w:sz="4" w:space="0"/>
                  </w:tcBorders>
                  <w:vAlign w:val="center"/>
                </w:tcPr>
                <w:p>
                  <w:pPr>
                    <w:jc w:val="center"/>
                    <w:rPr>
                      <w:color w:val="auto"/>
                      <w:szCs w:val="21"/>
                      <w:highlight w:val="none"/>
                    </w:rPr>
                  </w:pPr>
                  <w:r>
                    <w:rPr>
                      <w:rFonts w:hint="eastAsia"/>
                      <w:color w:val="auto"/>
                      <w:szCs w:val="21"/>
                      <w:highlight w:val="none"/>
                    </w:rPr>
                    <w:t>无组织：</w:t>
                  </w:r>
                  <w:r>
                    <w:rPr>
                      <w:rFonts w:hint="eastAsia"/>
                      <w:color w:val="auto"/>
                      <w:kern w:val="0"/>
                      <w:sz w:val="21"/>
                      <w:szCs w:val="21"/>
                      <w:highlight w:val="none"/>
                      <w:lang w:val="en-US" w:eastAsia="zh-CN"/>
                    </w:rPr>
                    <w:t>0.41</w:t>
                  </w:r>
                  <w:r>
                    <w:rPr>
                      <w:color w:val="auto"/>
                      <w:sz w:val="21"/>
                      <w:szCs w:val="21"/>
                      <w:highlight w:val="none"/>
                    </w:rPr>
                    <w:t>mg/m</w:t>
                  </w:r>
                  <w:r>
                    <w:rPr>
                      <w:color w:val="auto"/>
                      <w:sz w:val="21"/>
                      <w:szCs w:val="21"/>
                      <w:highlight w:val="none"/>
                      <w:vertAlign w:val="superscript"/>
                    </w:rPr>
                    <w:t>3</w:t>
                  </w:r>
                  <w:r>
                    <w:rPr>
                      <w:rFonts w:hint="eastAsia"/>
                      <w:color w:val="auto"/>
                      <w:sz w:val="21"/>
                      <w:szCs w:val="21"/>
                      <w:highlight w:val="none"/>
                      <w:lang w:eastAsia="zh-CN"/>
                    </w:rPr>
                    <w:t>、</w:t>
                  </w:r>
                  <w:r>
                    <w:rPr>
                      <w:rFonts w:hint="eastAsia"/>
                      <w:color w:val="auto"/>
                      <w:szCs w:val="21"/>
                      <w:highlight w:val="none"/>
                    </w:rPr>
                    <w:t>0.00</w:t>
                  </w:r>
                  <w:r>
                    <w:rPr>
                      <w:rFonts w:hint="eastAsia"/>
                      <w:color w:val="auto"/>
                      <w:szCs w:val="21"/>
                      <w:highlight w:val="none"/>
                      <w:lang w:val="en-US" w:eastAsia="zh-CN"/>
                    </w:rPr>
                    <w:t>5</w:t>
                  </w:r>
                  <w:r>
                    <w:rPr>
                      <w:color w:val="auto"/>
                      <w:szCs w:val="21"/>
                      <w:highlight w:val="none"/>
                    </w:rPr>
                    <w:t>t/a</w:t>
                  </w:r>
                </w:p>
              </w:tc>
              <w:tc>
                <w:tcPr>
                  <w:tcW w:w="2781" w:type="dxa"/>
                  <w:tcBorders>
                    <w:bottom w:val="single" w:color="auto" w:sz="4" w:space="0"/>
                    <w:right w:val="single" w:color="auto" w:sz="4" w:space="0"/>
                  </w:tcBorders>
                  <w:vAlign w:val="center"/>
                </w:tcPr>
                <w:p>
                  <w:pPr>
                    <w:spacing w:line="216" w:lineRule="auto"/>
                    <w:jc w:val="center"/>
                    <w:rPr>
                      <w:color w:val="auto"/>
                      <w:szCs w:val="21"/>
                      <w:highlight w:val="none"/>
                    </w:rPr>
                  </w:pPr>
                  <w:r>
                    <w:rPr>
                      <w:rFonts w:hint="eastAsia"/>
                      <w:color w:val="auto"/>
                      <w:szCs w:val="21"/>
                      <w:highlight w:val="none"/>
                    </w:rPr>
                    <w:t>达到广东省地方标准《大气污染物排放限值》（DB44/ 77-2001）第二时段无组织排放监控浓度限值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0" w:hRule="atLeast"/>
                <w:jc w:val="center"/>
              </w:trPr>
              <w:tc>
                <w:tcPr>
                  <w:tcW w:w="543" w:type="dxa"/>
                  <w:vMerge w:val="restart"/>
                  <w:tcBorders>
                    <w:left w:val="single" w:color="auto" w:sz="4" w:space="0"/>
                  </w:tcBorders>
                  <w:vAlign w:val="center"/>
                </w:tcPr>
                <w:p>
                  <w:pPr>
                    <w:rPr>
                      <w:color w:val="auto"/>
                      <w:szCs w:val="21"/>
                      <w:highlight w:val="none"/>
                    </w:rPr>
                  </w:pPr>
                  <w:r>
                    <w:rPr>
                      <w:color w:val="auto"/>
                      <w:szCs w:val="21"/>
                      <w:highlight w:val="none"/>
                    </w:rPr>
                    <w:t>废水</w:t>
                  </w:r>
                </w:p>
              </w:tc>
              <w:tc>
                <w:tcPr>
                  <w:tcW w:w="1646" w:type="dxa"/>
                  <w:vAlign w:val="center"/>
                </w:tcPr>
                <w:p>
                  <w:pPr>
                    <w:jc w:val="center"/>
                    <w:rPr>
                      <w:color w:val="auto"/>
                      <w:szCs w:val="21"/>
                      <w:highlight w:val="none"/>
                    </w:rPr>
                  </w:pPr>
                  <w:r>
                    <w:rPr>
                      <w:rFonts w:hint="eastAsia" w:hAnsi="宋体"/>
                      <w:color w:val="auto"/>
                      <w:szCs w:val="21"/>
                      <w:highlight w:val="none"/>
                    </w:rPr>
                    <w:t>注塑冷却用水</w:t>
                  </w:r>
                </w:p>
              </w:tc>
              <w:tc>
                <w:tcPr>
                  <w:tcW w:w="1865" w:type="dxa"/>
                  <w:vAlign w:val="center"/>
                </w:tcPr>
                <w:p>
                  <w:pPr>
                    <w:widowControl/>
                    <w:suppressAutoHyphens/>
                    <w:overflowPunct w:val="0"/>
                    <w:topLinePunct/>
                    <w:spacing w:before="72" w:after="72"/>
                    <w:jc w:val="center"/>
                    <w:textAlignment w:val="baseline"/>
                    <w:rPr>
                      <w:bCs/>
                      <w:color w:val="auto"/>
                      <w:kern w:val="0"/>
                      <w:szCs w:val="21"/>
                      <w:highlight w:val="none"/>
                    </w:rPr>
                  </w:pPr>
                  <w:r>
                    <w:rPr>
                      <w:rFonts w:hint="eastAsia"/>
                      <w:bCs/>
                      <w:color w:val="auto"/>
                      <w:kern w:val="0"/>
                      <w:szCs w:val="21"/>
                      <w:highlight w:val="none"/>
                    </w:rPr>
                    <w:t>循环使用，定期补充，不外排</w:t>
                  </w:r>
                </w:p>
              </w:tc>
              <w:tc>
                <w:tcPr>
                  <w:tcW w:w="2490" w:type="dxa"/>
                  <w:vAlign w:val="center"/>
                </w:tcPr>
                <w:p>
                  <w:pPr>
                    <w:jc w:val="center"/>
                    <w:rPr>
                      <w:color w:val="auto"/>
                      <w:szCs w:val="21"/>
                      <w:highlight w:val="none"/>
                    </w:rPr>
                  </w:pPr>
                  <w:r>
                    <w:rPr>
                      <w:rFonts w:hint="eastAsia"/>
                      <w:color w:val="auto"/>
                      <w:szCs w:val="21"/>
                      <w:highlight w:val="none"/>
                    </w:rPr>
                    <w:t>——</w:t>
                  </w:r>
                </w:p>
              </w:tc>
              <w:tc>
                <w:tcPr>
                  <w:tcW w:w="2781" w:type="dxa"/>
                  <w:tcBorders>
                    <w:right w:val="single" w:color="auto" w:sz="4" w:space="0"/>
                  </w:tcBorders>
                  <w:vAlign w:val="center"/>
                </w:tcPr>
                <w:p>
                  <w:pPr>
                    <w:jc w:val="center"/>
                    <w:rPr>
                      <w:color w:val="auto"/>
                      <w:szCs w:val="21"/>
                      <w:highlight w:val="none"/>
                    </w:rPr>
                  </w:pPr>
                  <w:r>
                    <w:rPr>
                      <w:color w:val="auto"/>
                      <w:kern w:val="0"/>
                      <w:szCs w:val="21"/>
                      <w:highlight w:val="none"/>
                    </w:rPr>
                    <w:t>符合环保要求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1135" w:hRule="atLeast"/>
                <w:jc w:val="center"/>
              </w:trPr>
              <w:tc>
                <w:tcPr>
                  <w:tcW w:w="543" w:type="dxa"/>
                  <w:vMerge w:val="continue"/>
                  <w:tcBorders>
                    <w:left w:val="single" w:color="auto" w:sz="4" w:space="0"/>
                  </w:tcBorders>
                  <w:vAlign w:val="center"/>
                </w:tcPr>
                <w:p>
                  <w:pPr>
                    <w:rPr>
                      <w:color w:val="auto"/>
                      <w:szCs w:val="21"/>
                      <w:highlight w:val="none"/>
                    </w:rPr>
                  </w:pPr>
                </w:p>
              </w:tc>
              <w:tc>
                <w:tcPr>
                  <w:tcW w:w="1646" w:type="dxa"/>
                  <w:vAlign w:val="center"/>
                </w:tcPr>
                <w:p>
                  <w:pPr>
                    <w:jc w:val="center"/>
                    <w:rPr>
                      <w:color w:val="auto"/>
                      <w:szCs w:val="21"/>
                      <w:highlight w:val="none"/>
                    </w:rPr>
                  </w:pPr>
                  <w:r>
                    <w:rPr>
                      <w:rFonts w:hAnsi="宋体"/>
                      <w:color w:val="auto"/>
                      <w:szCs w:val="21"/>
                      <w:highlight w:val="none"/>
                    </w:rPr>
                    <w:t>生活污水</w:t>
                  </w:r>
                </w:p>
              </w:tc>
              <w:tc>
                <w:tcPr>
                  <w:tcW w:w="1865" w:type="dxa"/>
                  <w:vAlign w:val="center"/>
                </w:tcPr>
                <w:p>
                  <w:pPr>
                    <w:widowControl/>
                    <w:suppressAutoHyphens/>
                    <w:overflowPunct w:val="0"/>
                    <w:topLinePunct/>
                    <w:spacing w:before="72" w:after="72"/>
                    <w:jc w:val="center"/>
                    <w:textAlignment w:val="baseline"/>
                    <w:rPr>
                      <w:bCs/>
                      <w:color w:val="auto"/>
                      <w:kern w:val="0"/>
                      <w:szCs w:val="21"/>
                      <w:highlight w:val="none"/>
                    </w:rPr>
                  </w:pPr>
                  <w:r>
                    <w:rPr>
                      <w:rFonts w:hint="eastAsia"/>
                      <w:bCs/>
                      <w:color w:val="auto"/>
                      <w:kern w:val="0"/>
                      <w:szCs w:val="21"/>
                      <w:highlight w:val="none"/>
                    </w:rPr>
                    <w:t>经三级化粪池预处理后排入市政污水管网</w:t>
                  </w:r>
                </w:p>
              </w:tc>
              <w:tc>
                <w:tcPr>
                  <w:tcW w:w="2490" w:type="dxa"/>
                  <w:vAlign w:val="center"/>
                </w:tcPr>
                <w:p>
                  <w:pPr>
                    <w:jc w:val="center"/>
                    <w:rPr>
                      <w:color w:val="auto"/>
                      <w:szCs w:val="21"/>
                      <w:highlight w:val="none"/>
                    </w:rPr>
                  </w:pPr>
                  <w:r>
                    <w:rPr>
                      <w:rFonts w:hint="eastAsia"/>
                      <w:color w:val="auto"/>
                      <w:szCs w:val="21"/>
                      <w:highlight w:val="none"/>
                    </w:rPr>
                    <w:t>108</w:t>
                  </w:r>
                  <w:r>
                    <w:rPr>
                      <w:color w:val="auto"/>
                      <w:szCs w:val="21"/>
                      <w:highlight w:val="none"/>
                    </w:rPr>
                    <w:t>t/a</w:t>
                  </w:r>
                </w:p>
              </w:tc>
              <w:tc>
                <w:tcPr>
                  <w:tcW w:w="2781" w:type="dxa"/>
                  <w:tcBorders>
                    <w:top w:val="single" w:color="auto" w:sz="4" w:space="0"/>
                    <w:right w:val="single" w:color="auto" w:sz="4" w:space="0"/>
                  </w:tcBorders>
                  <w:vAlign w:val="center"/>
                </w:tcPr>
                <w:p>
                  <w:pPr>
                    <w:jc w:val="center"/>
                    <w:rPr>
                      <w:color w:val="auto"/>
                      <w:szCs w:val="21"/>
                      <w:highlight w:val="none"/>
                    </w:rPr>
                  </w:pPr>
                  <w:r>
                    <w:rPr>
                      <w:rFonts w:hint="eastAsia"/>
                      <w:color w:val="auto"/>
                      <w:szCs w:val="21"/>
                      <w:highlight w:val="none"/>
                    </w:rPr>
                    <w:t>达到广东省地方标准《水污染物排放限值》（DB44/26-2001）第二时段三级标准和</w:t>
                  </w:r>
                  <w:r>
                    <w:rPr>
                      <w:rFonts w:hint="eastAsia"/>
                      <w:color w:val="auto"/>
                      <w:szCs w:val="21"/>
                      <w:highlight w:val="none"/>
                      <w:lang w:eastAsia="zh-CN"/>
                    </w:rPr>
                    <w:t>《污水排入城镇下水道水质标准》(GB/T31962-2015 )B级标准</w:t>
                  </w:r>
                  <w:r>
                    <w:rPr>
                      <w:rFonts w:hint="eastAsia"/>
                      <w:color w:val="auto"/>
                      <w:szCs w:val="21"/>
                      <w:highlight w:val="none"/>
                    </w:rPr>
                    <w:t>较严者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140" w:hRule="atLeast"/>
                <w:jc w:val="center"/>
              </w:trPr>
              <w:tc>
                <w:tcPr>
                  <w:tcW w:w="543" w:type="dxa"/>
                  <w:vMerge w:val="restart"/>
                  <w:tcBorders>
                    <w:left w:val="single" w:color="auto" w:sz="4" w:space="0"/>
                  </w:tcBorders>
                  <w:vAlign w:val="center"/>
                </w:tcPr>
                <w:p>
                  <w:pPr>
                    <w:rPr>
                      <w:color w:val="auto"/>
                      <w:szCs w:val="21"/>
                      <w:highlight w:val="none"/>
                    </w:rPr>
                  </w:pPr>
                  <w:r>
                    <w:rPr>
                      <w:color w:val="auto"/>
                      <w:szCs w:val="21"/>
                      <w:highlight w:val="none"/>
                    </w:rPr>
                    <w:t>固废</w:t>
                  </w:r>
                </w:p>
              </w:tc>
              <w:tc>
                <w:tcPr>
                  <w:tcW w:w="1646" w:type="dxa"/>
                  <w:vAlign w:val="center"/>
                </w:tcPr>
                <w:p>
                  <w:pPr>
                    <w:snapToGrid w:val="0"/>
                    <w:jc w:val="center"/>
                    <w:rPr>
                      <w:color w:val="auto"/>
                      <w:szCs w:val="21"/>
                      <w:highlight w:val="none"/>
                    </w:rPr>
                  </w:pPr>
                  <w:r>
                    <w:rPr>
                      <w:color w:val="auto"/>
                      <w:szCs w:val="21"/>
                      <w:highlight w:val="none"/>
                    </w:rPr>
                    <w:t>生活垃圾</w:t>
                  </w:r>
                </w:p>
              </w:tc>
              <w:tc>
                <w:tcPr>
                  <w:tcW w:w="1865" w:type="dxa"/>
                  <w:vAlign w:val="center"/>
                </w:tcPr>
                <w:p>
                  <w:pPr>
                    <w:keepNext/>
                    <w:topLinePunct/>
                    <w:autoSpaceDE w:val="0"/>
                    <w:autoSpaceDN w:val="0"/>
                    <w:adjustRightInd w:val="0"/>
                    <w:jc w:val="center"/>
                    <w:textAlignment w:val="baseline"/>
                    <w:rPr>
                      <w:color w:val="auto"/>
                      <w:kern w:val="0"/>
                      <w:position w:val="-28"/>
                      <w:szCs w:val="21"/>
                      <w:highlight w:val="none"/>
                    </w:rPr>
                  </w:pPr>
                  <w:r>
                    <w:rPr>
                      <w:color w:val="auto"/>
                      <w:kern w:val="0"/>
                      <w:szCs w:val="21"/>
                      <w:highlight w:val="none"/>
                    </w:rPr>
                    <w:t>交环卫部门处理</w:t>
                  </w:r>
                </w:p>
              </w:tc>
              <w:tc>
                <w:tcPr>
                  <w:tcW w:w="2490" w:type="dxa"/>
                  <w:vAlign w:val="center"/>
                </w:tcPr>
                <w:p>
                  <w:pPr>
                    <w:keepNext/>
                    <w:topLinePunct/>
                    <w:autoSpaceDE w:val="0"/>
                    <w:autoSpaceDN w:val="0"/>
                    <w:adjustRightInd w:val="0"/>
                    <w:jc w:val="center"/>
                    <w:textAlignment w:val="baseline"/>
                    <w:rPr>
                      <w:color w:val="auto"/>
                      <w:kern w:val="0"/>
                      <w:szCs w:val="21"/>
                      <w:highlight w:val="none"/>
                    </w:rPr>
                  </w:pPr>
                  <w:r>
                    <w:rPr>
                      <w:rFonts w:hint="eastAsia"/>
                      <w:color w:val="auto"/>
                      <w:szCs w:val="21"/>
                      <w:highlight w:val="none"/>
                    </w:rPr>
                    <w:t>1.5</w:t>
                  </w:r>
                  <w:r>
                    <w:rPr>
                      <w:color w:val="auto"/>
                      <w:kern w:val="0"/>
                      <w:szCs w:val="21"/>
                      <w:highlight w:val="none"/>
                    </w:rPr>
                    <w:t>t/a</w:t>
                  </w:r>
                </w:p>
              </w:tc>
              <w:tc>
                <w:tcPr>
                  <w:tcW w:w="2781" w:type="dxa"/>
                  <w:vMerge w:val="restart"/>
                  <w:tcBorders>
                    <w:right w:val="single" w:color="auto" w:sz="4" w:space="0"/>
                  </w:tcBorders>
                  <w:vAlign w:val="center"/>
                </w:tcPr>
                <w:p>
                  <w:pPr>
                    <w:widowControl/>
                    <w:adjustRightInd w:val="0"/>
                    <w:spacing w:before="60"/>
                    <w:jc w:val="center"/>
                    <w:textAlignment w:val="baseline"/>
                    <w:rPr>
                      <w:bCs/>
                      <w:color w:val="auto"/>
                      <w:szCs w:val="21"/>
                      <w:highlight w:val="none"/>
                    </w:rPr>
                  </w:pPr>
                  <w:r>
                    <w:rPr>
                      <w:color w:val="auto"/>
                      <w:kern w:val="0"/>
                      <w:szCs w:val="21"/>
                      <w:highlight w:val="none"/>
                    </w:rPr>
                    <w:t>符合环保要求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413" w:hRule="atLeast"/>
                <w:jc w:val="center"/>
              </w:trPr>
              <w:tc>
                <w:tcPr>
                  <w:tcW w:w="543" w:type="dxa"/>
                  <w:vMerge w:val="continue"/>
                  <w:tcBorders>
                    <w:left w:val="single" w:color="auto" w:sz="4" w:space="0"/>
                  </w:tcBorders>
                  <w:vAlign w:val="center"/>
                </w:tcPr>
                <w:p>
                  <w:pPr>
                    <w:rPr>
                      <w:color w:val="auto"/>
                      <w:szCs w:val="21"/>
                      <w:highlight w:val="none"/>
                    </w:rPr>
                  </w:pPr>
                </w:p>
              </w:tc>
              <w:tc>
                <w:tcPr>
                  <w:tcW w:w="1646" w:type="dxa"/>
                </w:tcPr>
                <w:p>
                  <w:pPr>
                    <w:rPr>
                      <w:color w:val="auto"/>
                      <w:szCs w:val="21"/>
                      <w:highlight w:val="none"/>
                    </w:rPr>
                  </w:pPr>
                  <w:r>
                    <w:rPr>
                      <w:rFonts w:hint="eastAsia"/>
                      <w:color w:val="auto"/>
                      <w:szCs w:val="21"/>
                      <w:highlight w:val="none"/>
                    </w:rPr>
                    <w:t>金属碎屑、金属边角料、不合格品、废包装材料</w:t>
                  </w:r>
                </w:p>
              </w:tc>
              <w:tc>
                <w:tcPr>
                  <w:tcW w:w="1865" w:type="dxa"/>
                  <w:vAlign w:val="center"/>
                </w:tcPr>
                <w:p>
                  <w:pPr>
                    <w:adjustRightInd w:val="0"/>
                    <w:jc w:val="center"/>
                    <w:rPr>
                      <w:color w:val="auto"/>
                      <w:szCs w:val="21"/>
                      <w:highlight w:val="none"/>
                    </w:rPr>
                  </w:pPr>
                  <w:r>
                    <w:rPr>
                      <w:color w:val="auto"/>
                      <w:szCs w:val="21"/>
                      <w:highlight w:val="none"/>
                    </w:rPr>
                    <w:t>交专业公司回收处理</w:t>
                  </w:r>
                </w:p>
              </w:tc>
              <w:tc>
                <w:tcPr>
                  <w:tcW w:w="2490" w:type="dxa"/>
                  <w:vAlign w:val="center"/>
                </w:tcPr>
                <w:p>
                  <w:pPr>
                    <w:keepNext/>
                    <w:topLinePunct/>
                    <w:autoSpaceDE w:val="0"/>
                    <w:autoSpaceDN w:val="0"/>
                    <w:adjustRightInd w:val="0"/>
                    <w:jc w:val="center"/>
                    <w:textAlignment w:val="baseline"/>
                    <w:rPr>
                      <w:color w:val="auto"/>
                      <w:kern w:val="0"/>
                      <w:szCs w:val="21"/>
                      <w:highlight w:val="none"/>
                    </w:rPr>
                  </w:pPr>
                  <w:r>
                    <w:rPr>
                      <w:rFonts w:hint="eastAsia"/>
                      <w:color w:val="auto"/>
                      <w:szCs w:val="21"/>
                      <w:highlight w:val="none"/>
                    </w:rPr>
                    <w:t>2.1</w:t>
                  </w:r>
                  <w:r>
                    <w:rPr>
                      <w:color w:val="auto"/>
                      <w:kern w:val="0"/>
                      <w:szCs w:val="21"/>
                      <w:highlight w:val="none"/>
                    </w:rPr>
                    <w:t>t/a</w:t>
                  </w:r>
                </w:p>
              </w:tc>
              <w:tc>
                <w:tcPr>
                  <w:tcW w:w="2781" w:type="dxa"/>
                  <w:vMerge w:val="continue"/>
                  <w:tcBorders>
                    <w:right w:val="single" w:color="auto" w:sz="4" w:space="0"/>
                  </w:tcBorders>
                  <w:vAlign w:val="center"/>
                </w:tcPr>
                <w:p>
                  <w:pPr>
                    <w:widowControl/>
                    <w:adjustRightInd w:val="0"/>
                    <w:spacing w:before="60"/>
                    <w:jc w:val="center"/>
                    <w:textAlignment w:val="baseline"/>
                    <w:rPr>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195" w:hRule="atLeast"/>
                <w:jc w:val="center"/>
              </w:trPr>
              <w:tc>
                <w:tcPr>
                  <w:tcW w:w="543" w:type="dxa"/>
                  <w:vMerge w:val="continue"/>
                  <w:tcBorders>
                    <w:left w:val="single" w:color="auto" w:sz="4" w:space="0"/>
                  </w:tcBorders>
                  <w:vAlign w:val="center"/>
                </w:tcPr>
                <w:p>
                  <w:pPr>
                    <w:rPr>
                      <w:color w:val="auto"/>
                      <w:szCs w:val="21"/>
                      <w:highlight w:val="none"/>
                    </w:rPr>
                  </w:pPr>
                </w:p>
              </w:tc>
              <w:tc>
                <w:tcPr>
                  <w:tcW w:w="1646" w:type="dxa"/>
                  <w:tcBorders>
                    <w:bottom w:val="single" w:color="auto" w:sz="4" w:space="0"/>
                  </w:tcBorders>
                  <w:vAlign w:val="center"/>
                </w:tcPr>
                <w:p>
                  <w:pPr>
                    <w:topLinePunct/>
                    <w:adjustRightInd w:val="0"/>
                    <w:snapToGrid w:val="0"/>
                    <w:jc w:val="center"/>
                    <w:rPr>
                      <w:color w:val="auto"/>
                      <w:spacing w:val="-2"/>
                      <w:szCs w:val="21"/>
                      <w:highlight w:val="none"/>
                    </w:rPr>
                  </w:pPr>
                  <w:r>
                    <w:rPr>
                      <w:rFonts w:hint="eastAsia"/>
                      <w:color w:val="auto"/>
                      <w:szCs w:val="21"/>
                      <w:highlight w:val="none"/>
                    </w:rPr>
                    <w:t>废液压油油桶、废润滑油油桶</w:t>
                  </w:r>
                </w:p>
              </w:tc>
              <w:tc>
                <w:tcPr>
                  <w:tcW w:w="1865" w:type="dxa"/>
                  <w:vMerge w:val="restart"/>
                  <w:vAlign w:val="center"/>
                </w:tcPr>
                <w:p>
                  <w:pPr>
                    <w:pStyle w:val="55"/>
                    <w:rPr>
                      <w:rFonts w:ascii="Times New Roman" w:hAnsi="Times New Roman"/>
                      <w:color w:val="auto"/>
                      <w:position w:val="0"/>
                      <w:szCs w:val="21"/>
                      <w:highlight w:val="none"/>
                    </w:rPr>
                  </w:pPr>
                  <w:r>
                    <w:rPr>
                      <w:rFonts w:hint="eastAsia"/>
                      <w:color w:val="auto"/>
                      <w:szCs w:val="21"/>
                      <w:highlight w:val="none"/>
                    </w:rPr>
                    <w:t>交给有危险废物处置资质单位处置</w:t>
                  </w:r>
                </w:p>
              </w:tc>
              <w:tc>
                <w:tcPr>
                  <w:tcW w:w="2490" w:type="dxa"/>
                  <w:tcBorders>
                    <w:bottom w:val="single" w:color="auto" w:sz="4" w:space="0"/>
                  </w:tcBorders>
                  <w:vAlign w:val="center"/>
                </w:tcPr>
                <w:p>
                  <w:pPr>
                    <w:topLinePunct/>
                    <w:adjustRightInd w:val="0"/>
                    <w:snapToGrid w:val="0"/>
                    <w:jc w:val="center"/>
                    <w:rPr>
                      <w:color w:val="auto"/>
                      <w:szCs w:val="21"/>
                      <w:highlight w:val="none"/>
                    </w:rPr>
                  </w:pPr>
                  <w:r>
                    <w:rPr>
                      <w:color w:val="auto"/>
                      <w:kern w:val="0"/>
                      <w:szCs w:val="21"/>
                      <w:highlight w:val="none"/>
                    </w:rPr>
                    <w:t>0.0</w:t>
                  </w:r>
                  <w:r>
                    <w:rPr>
                      <w:rFonts w:hint="eastAsia"/>
                      <w:color w:val="auto"/>
                      <w:kern w:val="0"/>
                      <w:szCs w:val="21"/>
                      <w:highlight w:val="none"/>
                    </w:rPr>
                    <w:t>2t</w:t>
                  </w:r>
                  <w:r>
                    <w:rPr>
                      <w:color w:val="auto"/>
                      <w:kern w:val="0"/>
                      <w:szCs w:val="21"/>
                      <w:highlight w:val="none"/>
                    </w:rPr>
                    <w:t>/</w:t>
                  </w:r>
                  <w:r>
                    <w:rPr>
                      <w:rFonts w:hint="eastAsia"/>
                      <w:color w:val="auto"/>
                      <w:kern w:val="0"/>
                      <w:szCs w:val="21"/>
                      <w:highlight w:val="none"/>
                    </w:rPr>
                    <w:t>a</w:t>
                  </w:r>
                </w:p>
              </w:tc>
              <w:tc>
                <w:tcPr>
                  <w:tcW w:w="2781" w:type="dxa"/>
                  <w:vMerge w:val="continue"/>
                  <w:tcBorders>
                    <w:right w:val="single" w:color="auto" w:sz="4" w:space="0"/>
                  </w:tcBorders>
                  <w:vAlign w:val="center"/>
                </w:tcPr>
                <w:p>
                  <w:pPr>
                    <w:widowControl/>
                    <w:adjustRightInd w:val="0"/>
                    <w:spacing w:before="60"/>
                    <w:jc w:val="center"/>
                    <w:textAlignment w:val="baseline"/>
                    <w:rPr>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170" w:hRule="atLeast"/>
                <w:jc w:val="center"/>
              </w:trPr>
              <w:tc>
                <w:tcPr>
                  <w:tcW w:w="543" w:type="dxa"/>
                  <w:vMerge w:val="continue"/>
                  <w:tcBorders>
                    <w:left w:val="single" w:color="auto" w:sz="4" w:space="0"/>
                  </w:tcBorders>
                  <w:vAlign w:val="center"/>
                </w:tcPr>
                <w:p>
                  <w:pPr>
                    <w:rPr>
                      <w:color w:val="auto"/>
                      <w:szCs w:val="21"/>
                      <w:highlight w:val="none"/>
                    </w:rPr>
                  </w:pPr>
                </w:p>
              </w:tc>
              <w:tc>
                <w:tcPr>
                  <w:tcW w:w="1646" w:type="dxa"/>
                  <w:tcBorders>
                    <w:top w:val="single" w:color="auto" w:sz="4" w:space="0"/>
                    <w:bottom w:val="single" w:color="auto" w:sz="4" w:space="0"/>
                  </w:tcBorders>
                  <w:vAlign w:val="center"/>
                </w:tcPr>
                <w:p>
                  <w:pPr>
                    <w:topLinePunct/>
                    <w:adjustRightInd w:val="0"/>
                    <w:snapToGrid w:val="0"/>
                    <w:jc w:val="center"/>
                    <w:rPr>
                      <w:color w:val="auto"/>
                      <w:spacing w:val="-2"/>
                      <w:szCs w:val="21"/>
                      <w:highlight w:val="none"/>
                    </w:rPr>
                  </w:pPr>
                  <w:r>
                    <w:rPr>
                      <w:bCs/>
                      <w:color w:val="auto"/>
                      <w:szCs w:val="21"/>
                      <w:highlight w:val="none"/>
                    </w:rPr>
                    <w:t>废</w:t>
                  </w:r>
                  <w:r>
                    <w:rPr>
                      <w:rFonts w:hint="eastAsia"/>
                      <w:bCs/>
                      <w:color w:val="auto"/>
                      <w:szCs w:val="21"/>
                      <w:highlight w:val="none"/>
                    </w:rPr>
                    <w:t>液压油、废润滑油</w:t>
                  </w:r>
                </w:p>
              </w:tc>
              <w:tc>
                <w:tcPr>
                  <w:tcW w:w="1865" w:type="dxa"/>
                  <w:vMerge w:val="continue"/>
                  <w:vAlign w:val="center"/>
                </w:tcPr>
                <w:p>
                  <w:pPr>
                    <w:pStyle w:val="55"/>
                    <w:rPr>
                      <w:rFonts w:ascii="Times New Roman" w:hAnsi="Times New Roman"/>
                      <w:color w:val="auto"/>
                      <w:position w:val="0"/>
                      <w:szCs w:val="21"/>
                      <w:highlight w:val="none"/>
                    </w:rPr>
                  </w:pPr>
                </w:p>
              </w:tc>
              <w:tc>
                <w:tcPr>
                  <w:tcW w:w="2490" w:type="dxa"/>
                  <w:tcBorders>
                    <w:top w:val="single" w:color="auto" w:sz="4" w:space="0"/>
                    <w:bottom w:val="single" w:color="auto" w:sz="4" w:space="0"/>
                  </w:tcBorders>
                  <w:vAlign w:val="center"/>
                </w:tcPr>
                <w:p>
                  <w:pPr>
                    <w:topLinePunct/>
                    <w:adjustRightInd w:val="0"/>
                    <w:snapToGrid w:val="0"/>
                    <w:jc w:val="center"/>
                    <w:rPr>
                      <w:color w:val="auto"/>
                      <w:szCs w:val="21"/>
                      <w:highlight w:val="none"/>
                    </w:rPr>
                  </w:pPr>
                  <w:r>
                    <w:rPr>
                      <w:rFonts w:hint="eastAsia"/>
                      <w:bCs/>
                      <w:color w:val="auto"/>
                      <w:szCs w:val="21"/>
                      <w:highlight w:val="none"/>
                    </w:rPr>
                    <w:t>0.19</w:t>
                  </w:r>
                  <w:r>
                    <w:rPr>
                      <w:rFonts w:hint="eastAsia"/>
                      <w:color w:val="auto"/>
                      <w:kern w:val="0"/>
                      <w:szCs w:val="21"/>
                      <w:highlight w:val="none"/>
                    </w:rPr>
                    <w:t>t</w:t>
                  </w:r>
                  <w:r>
                    <w:rPr>
                      <w:color w:val="auto"/>
                      <w:kern w:val="0"/>
                      <w:szCs w:val="21"/>
                      <w:highlight w:val="none"/>
                    </w:rPr>
                    <w:t>/</w:t>
                  </w:r>
                  <w:r>
                    <w:rPr>
                      <w:rFonts w:hint="eastAsia"/>
                      <w:color w:val="auto"/>
                      <w:kern w:val="0"/>
                      <w:szCs w:val="21"/>
                      <w:highlight w:val="none"/>
                    </w:rPr>
                    <w:t>a</w:t>
                  </w:r>
                </w:p>
              </w:tc>
              <w:tc>
                <w:tcPr>
                  <w:tcW w:w="2781" w:type="dxa"/>
                  <w:vMerge w:val="continue"/>
                  <w:tcBorders>
                    <w:right w:val="single" w:color="auto" w:sz="4" w:space="0"/>
                  </w:tcBorders>
                  <w:vAlign w:val="center"/>
                </w:tcPr>
                <w:p>
                  <w:pPr>
                    <w:widowControl/>
                    <w:adjustRightInd w:val="0"/>
                    <w:spacing w:before="60"/>
                    <w:jc w:val="center"/>
                    <w:textAlignment w:val="baseline"/>
                    <w:rPr>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175" w:hRule="atLeast"/>
                <w:jc w:val="center"/>
              </w:trPr>
              <w:tc>
                <w:tcPr>
                  <w:tcW w:w="543" w:type="dxa"/>
                  <w:vMerge w:val="continue"/>
                  <w:tcBorders>
                    <w:left w:val="single" w:color="auto" w:sz="4" w:space="0"/>
                  </w:tcBorders>
                  <w:vAlign w:val="center"/>
                </w:tcPr>
                <w:p>
                  <w:pPr>
                    <w:rPr>
                      <w:color w:val="auto"/>
                      <w:szCs w:val="21"/>
                      <w:highlight w:val="none"/>
                    </w:rPr>
                  </w:pPr>
                </w:p>
              </w:tc>
              <w:tc>
                <w:tcPr>
                  <w:tcW w:w="1646" w:type="dxa"/>
                  <w:tcBorders>
                    <w:top w:val="single" w:color="auto" w:sz="4" w:space="0"/>
                    <w:bottom w:val="single" w:color="auto" w:sz="4" w:space="0"/>
                  </w:tcBorders>
                  <w:vAlign w:val="center"/>
                </w:tcPr>
                <w:p>
                  <w:pPr>
                    <w:jc w:val="center"/>
                    <w:rPr>
                      <w:color w:val="auto"/>
                      <w:spacing w:val="-2"/>
                      <w:szCs w:val="21"/>
                      <w:highlight w:val="none"/>
                    </w:rPr>
                  </w:pPr>
                  <w:r>
                    <w:rPr>
                      <w:rFonts w:hint="eastAsia"/>
                      <w:color w:val="auto"/>
                      <w:szCs w:val="21"/>
                      <w:highlight w:val="none"/>
                    </w:rPr>
                    <w:t>废UV灯管</w:t>
                  </w:r>
                </w:p>
              </w:tc>
              <w:tc>
                <w:tcPr>
                  <w:tcW w:w="1865" w:type="dxa"/>
                  <w:vMerge w:val="continue"/>
                  <w:vAlign w:val="center"/>
                </w:tcPr>
                <w:p>
                  <w:pPr>
                    <w:pStyle w:val="55"/>
                    <w:rPr>
                      <w:rFonts w:ascii="Times New Roman" w:hAnsi="Times New Roman"/>
                      <w:color w:val="auto"/>
                      <w:position w:val="0"/>
                      <w:szCs w:val="21"/>
                      <w:highlight w:val="none"/>
                    </w:rPr>
                  </w:pPr>
                </w:p>
              </w:tc>
              <w:tc>
                <w:tcPr>
                  <w:tcW w:w="2490" w:type="dxa"/>
                  <w:tcBorders>
                    <w:top w:val="single" w:color="auto" w:sz="4" w:space="0"/>
                    <w:bottom w:val="single" w:color="auto" w:sz="4" w:space="0"/>
                  </w:tcBorders>
                  <w:vAlign w:val="center"/>
                </w:tcPr>
                <w:p>
                  <w:pPr>
                    <w:topLinePunct/>
                    <w:adjustRightInd w:val="0"/>
                    <w:snapToGrid w:val="0"/>
                    <w:jc w:val="center"/>
                    <w:rPr>
                      <w:color w:val="auto"/>
                      <w:szCs w:val="21"/>
                      <w:highlight w:val="none"/>
                    </w:rPr>
                  </w:pPr>
                  <w:r>
                    <w:rPr>
                      <w:rFonts w:hint="eastAsia"/>
                      <w:color w:val="auto"/>
                      <w:kern w:val="0"/>
                      <w:szCs w:val="21"/>
                      <w:highlight w:val="none"/>
                      <w:lang w:eastAsia="zh-CN"/>
                    </w:rPr>
                    <w:t>22根</w:t>
                  </w:r>
                  <w:r>
                    <w:rPr>
                      <w:color w:val="auto"/>
                      <w:kern w:val="0"/>
                      <w:szCs w:val="21"/>
                      <w:highlight w:val="none"/>
                    </w:rPr>
                    <w:t>/</w:t>
                  </w:r>
                  <w:r>
                    <w:rPr>
                      <w:rFonts w:hint="eastAsia"/>
                      <w:color w:val="auto"/>
                      <w:kern w:val="0"/>
                      <w:szCs w:val="21"/>
                      <w:highlight w:val="none"/>
                    </w:rPr>
                    <w:t>a</w:t>
                  </w:r>
                </w:p>
              </w:tc>
              <w:tc>
                <w:tcPr>
                  <w:tcW w:w="2781" w:type="dxa"/>
                  <w:vMerge w:val="continue"/>
                  <w:tcBorders>
                    <w:right w:val="single" w:color="auto" w:sz="4" w:space="0"/>
                  </w:tcBorders>
                  <w:vAlign w:val="center"/>
                </w:tcPr>
                <w:p>
                  <w:pPr>
                    <w:widowControl/>
                    <w:adjustRightInd w:val="0"/>
                    <w:spacing w:before="60"/>
                    <w:jc w:val="center"/>
                    <w:textAlignment w:val="baseline"/>
                    <w:rPr>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195" w:hRule="atLeast"/>
                <w:jc w:val="center"/>
              </w:trPr>
              <w:tc>
                <w:tcPr>
                  <w:tcW w:w="543" w:type="dxa"/>
                  <w:vMerge w:val="continue"/>
                  <w:tcBorders>
                    <w:left w:val="single" w:color="auto" w:sz="4" w:space="0"/>
                  </w:tcBorders>
                  <w:vAlign w:val="center"/>
                </w:tcPr>
                <w:p>
                  <w:pPr>
                    <w:rPr>
                      <w:color w:val="auto"/>
                      <w:szCs w:val="21"/>
                      <w:highlight w:val="none"/>
                    </w:rPr>
                  </w:pPr>
                </w:p>
              </w:tc>
              <w:tc>
                <w:tcPr>
                  <w:tcW w:w="1646" w:type="dxa"/>
                  <w:tcBorders>
                    <w:top w:val="single" w:color="auto" w:sz="4" w:space="0"/>
                  </w:tcBorders>
                  <w:vAlign w:val="center"/>
                </w:tcPr>
                <w:p>
                  <w:pPr>
                    <w:jc w:val="center"/>
                    <w:rPr>
                      <w:color w:val="auto"/>
                      <w:spacing w:val="-2"/>
                      <w:szCs w:val="21"/>
                      <w:highlight w:val="none"/>
                    </w:rPr>
                  </w:pPr>
                  <w:r>
                    <w:rPr>
                      <w:rFonts w:hint="eastAsia"/>
                      <w:color w:val="auto"/>
                      <w:szCs w:val="21"/>
                      <w:highlight w:val="none"/>
                    </w:rPr>
                    <w:t>废活性炭</w:t>
                  </w:r>
                </w:p>
              </w:tc>
              <w:tc>
                <w:tcPr>
                  <w:tcW w:w="1865" w:type="dxa"/>
                  <w:vMerge w:val="continue"/>
                  <w:vAlign w:val="center"/>
                </w:tcPr>
                <w:p>
                  <w:pPr>
                    <w:pStyle w:val="55"/>
                    <w:rPr>
                      <w:rFonts w:ascii="Times New Roman" w:hAnsi="Times New Roman"/>
                      <w:color w:val="auto"/>
                      <w:position w:val="0"/>
                      <w:szCs w:val="21"/>
                      <w:highlight w:val="none"/>
                    </w:rPr>
                  </w:pPr>
                </w:p>
              </w:tc>
              <w:tc>
                <w:tcPr>
                  <w:tcW w:w="2490" w:type="dxa"/>
                  <w:tcBorders>
                    <w:top w:val="single" w:color="auto" w:sz="4" w:space="0"/>
                  </w:tcBorders>
                  <w:vAlign w:val="center"/>
                </w:tcPr>
                <w:p>
                  <w:pPr>
                    <w:topLinePunct/>
                    <w:adjustRightInd w:val="0"/>
                    <w:snapToGrid w:val="0"/>
                    <w:jc w:val="center"/>
                    <w:rPr>
                      <w:rFonts w:hint="eastAsia" w:eastAsia="宋体"/>
                      <w:color w:val="auto"/>
                      <w:szCs w:val="21"/>
                      <w:highlight w:val="none"/>
                      <w:lang w:eastAsia="zh-CN"/>
                    </w:rPr>
                  </w:pPr>
                  <w:r>
                    <w:rPr>
                      <w:rFonts w:hint="eastAsia"/>
                      <w:color w:val="auto"/>
                      <w:kern w:val="0"/>
                      <w:szCs w:val="21"/>
                      <w:highlight w:val="none"/>
                      <w:lang w:eastAsia="zh-CN"/>
                    </w:rPr>
                    <w:t>2.125t/a</w:t>
                  </w:r>
                </w:p>
              </w:tc>
              <w:tc>
                <w:tcPr>
                  <w:tcW w:w="2781" w:type="dxa"/>
                  <w:vMerge w:val="continue"/>
                  <w:tcBorders>
                    <w:right w:val="single" w:color="auto" w:sz="4" w:space="0"/>
                  </w:tcBorders>
                  <w:vAlign w:val="center"/>
                </w:tcPr>
                <w:p>
                  <w:pPr>
                    <w:widowControl/>
                    <w:adjustRightInd w:val="0"/>
                    <w:spacing w:before="60"/>
                    <w:jc w:val="center"/>
                    <w:textAlignment w:val="baseline"/>
                    <w:rPr>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874" w:hRule="atLeast"/>
                <w:jc w:val="center"/>
              </w:trPr>
              <w:tc>
                <w:tcPr>
                  <w:tcW w:w="543" w:type="dxa"/>
                  <w:tcBorders>
                    <w:left w:val="single" w:color="auto" w:sz="4" w:space="0"/>
                    <w:bottom w:val="single" w:color="auto" w:sz="4" w:space="0"/>
                  </w:tcBorders>
                  <w:vAlign w:val="center"/>
                </w:tcPr>
                <w:p>
                  <w:pPr>
                    <w:rPr>
                      <w:color w:val="auto"/>
                      <w:szCs w:val="21"/>
                      <w:highlight w:val="none"/>
                    </w:rPr>
                  </w:pPr>
                  <w:r>
                    <w:rPr>
                      <w:color w:val="auto"/>
                      <w:szCs w:val="21"/>
                      <w:highlight w:val="none"/>
                    </w:rPr>
                    <w:t>噪声</w:t>
                  </w:r>
                </w:p>
              </w:tc>
              <w:tc>
                <w:tcPr>
                  <w:tcW w:w="1646" w:type="dxa"/>
                  <w:tcBorders>
                    <w:bottom w:val="single" w:color="auto" w:sz="4" w:space="0"/>
                  </w:tcBorders>
                  <w:vAlign w:val="center"/>
                </w:tcPr>
                <w:p>
                  <w:pPr>
                    <w:jc w:val="center"/>
                    <w:rPr>
                      <w:bCs/>
                      <w:color w:val="auto"/>
                      <w:szCs w:val="21"/>
                      <w:highlight w:val="none"/>
                    </w:rPr>
                  </w:pPr>
                  <w:r>
                    <w:rPr>
                      <w:color w:val="auto"/>
                      <w:szCs w:val="21"/>
                      <w:highlight w:val="none"/>
                    </w:rPr>
                    <w:t>设备、机械噪声</w:t>
                  </w:r>
                </w:p>
              </w:tc>
              <w:tc>
                <w:tcPr>
                  <w:tcW w:w="1865" w:type="dxa"/>
                  <w:tcBorders>
                    <w:bottom w:val="single" w:color="auto" w:sz="4" w:space="0"/>
                  </w:tcBorders>
                  <w:vAlign w:val="center"/>
                </w:tcPr>
                <w:p>
                  <w:pPr>
                    <w:jc w:val="center"/>
                    <w:rPr>
                      <w:color w:val="auto"/>
                      <w:szCs w:val="21"/>
                      <w:highlight w:val="none"/>
                    </w:rPr>
                  </w:pPr>
                  <w:r>
                    <w:rPr>
                      <w:color w:val="auto"/>
                      <w:szCs w:val="21"/>
                      <w:highlight w:val="none"/>
                    </w:rPr>
                    <w:t>使用低噪声设备，合理安排高噪声设备作业时段，采用隔声、消声、减振等措施</w:t>
                  </w:r>
                </w:p>
              </w:tc>
              <w:tc>
                <w:tcPr>
                  <w:tcW w:w="2490" w:type="dxa"/>
                  <w:tcBorders>
                    <w:bottom w:val="single" w:color="auto" w:sz="4" w:space="0"/>
                  </w:tcBorders>
                  <w:vAlign w:val="center"/>
                </w:tcPr>
                <w:p>
                  <w:pPr>
                    <w:jc w:val="center"/>
                    <w:rPr>
                      <w:color w:val="auto"/>
                      <w:szCs w:val="21"/>
                      <w:highlight w:val="none"/>
                    </w:rPr>
                  </w:pPr>
                  <w:r>
                    <w:rPr>
                      <w:color w:val="auto"/>
                      <w:szCs w:val="21"/>
                      <w:highlight w:val="none"/>
                    </w:rPr>
                    <w:t>噪声值</w:t>
                  </w:r>
                  <w:r>
                    <w:rPr>
                      <w:rFonts w:hint="eastAsia"/>
                      <w:color w:val="auto"/>
                      <w:szCs w:val="21"/>
                      <w:highlight w:val="none"/>
                    </w:rPr>
                    <w:t>＜60</w:t>
                  </w:r>
                  <w:r>
                    <w:rPr>
                      <w:color w:val="auto"/>
                      <w:szCs w:val="21"/>
                      <w:highlight w:val="none"/>
                    </w:rPr>
                    <w:t>dB(A)</w:t>
                  </w:r>
                </w:p>
              </w:tc>
              <w:tc>
                <w:tcPr>
                  <w:tcW w:w="2781" w:type="dxa"/>
                  <w:tcBorders>
                    <w:bottom w:val="single" w:color="auto" w:sz="4" w:space="0"/>
                    <w:right w:val="single" w:color="auto" w:sz="4" w:space="0"/>
                  </w:tcBorders>
                  <w:vAlign w:val="center"/>
                </w:tcPr>
                <w:p>
                  <w:pPr>
                    <w:jc w:val="center"/>
                    <w:rPr>
                      <w:bCs/>
                      <w:color w:val="auto"/>
                      <w:szCs w:val="21"/>
                      <w:highlight w:val="none"/>
                    </w:rPr>
                  </w:pPr>
                  <w:r>
                    <w:rPr>
                      <w:bCs/>
                      <w:color w:val="auto"/>
                      <w:szCs w:val="21"/>
                      <w:highlight w:val="none"/>
                    </w:rPr>
                    <w:t>达到《工业企业厂界环境噪声排放标准》（GB12348-2008）2类标准</w:t>
                  </w:r>
                </w:p>
              </w:tc>
            </w:tr>
          </w:tbl>
          <w:p>
            <w:pPr>
              <w:pStyle w:val="47"/>
              <w:ind w:firstLine="480" w:firstLineChars="200"/>
              <w:rPr>
                <w:rFonts w:ascii="Times New Roman" w:cs="Times New Roman"/>
                <w:color w:val="auto"/>
                <w:highlight w:val="none"/>
              </w:rPr>
            </w:pPr>
          </w:p>
          <w:p>
            <w:pPr>
              <w:pStyle w:val="49"/>
              <w:rPr>
                <w:rFonts w:ascii="Times New Roman"/>
                <w:color w:val="auto"/>
                <w:sz w:val="24"/>
                <w:highlight w:val="none"/>
              </w:rPr>
            </w:pPr>
          </w:p>
          <w:p>
            <w:pPr>
              <w:pStyle w:val="50"/>
              <w:rPr>
                <w:rFonts w:ascii="Times New Roman"/>
                <w:color w:val="auto"/>
                <w:sz w:val="24"/>
                <w:highlight w:val="none"/>
              </w:rPr>
            </w:pPr>
          </w:p>
          <w:p>
            <w:pPr>
              <w:pStyle w:val="34"/>
              <w:rPr>
                <w:rFonts w:ascii="Times New Roman"/>
                <w:color w:val="auto"/>
                <w:sz w:val="24"/>
                <w:highlight w:val="none"/>
              </w:rPr>
            </w:pPr>
          </w:p>
          <w:p>
            <w:pPr>
              <w:pStyle w:val="14"/>
              <w:rPr>
                <w:rFonts w:ascii="Times New Roman"/>
                <w:color w:val="auto"/>
                <w:sz w:val="24"/>
                <w:highlight w:val="none"/>
              </w:rPr>
            </w:pPr>
          </w:p>
          <w:p>
            <w:pPr>
              <w:pStyle w:val="15"/>
              <w:rPr>
                <w:color w:val="auto"/>
                <w:highlight w:val="none"/>
              </w:rPr>
            </w:pPr>
          </w:p>
          <w:p>
            <w:pPr>
              <w:pStyle w:val="50"/>
              <w:rPr>
                <w:rFonts w:ascii="Times New Roman" w:hAnsi="Times New Roman" w:cs="Times New Roman"/>
                <w:color w:val="auto"/>
                <w:sz w:val="24"/>
                <w:highlight w:val="none"/>
              </w:rPr>
            </w:pPr>
          </w:p>
          <w:p>
            <w:pPr>
              <w:pStyle w:val="34"/>
              <w:rPr>
                <w:color w:val="auto"/>
                <w:highlight w:val="none"/>
              </w:rPr>
            </w:pPr>
          </w:p>
          <w:p>
            <w:pPr>
              <w:pStyle w:val="34"/>
              <w:rPr>
                <w:rFonts w:ascii="Times New Roman" w:hAnsi="Times New Roman" w:cs="Times New Roman"/>
                <w:color w:val="auto"/>
                <w:sz w:val="24"/>
                <w:highlight w:val="none"/>
              </w:rPr>
            </w:pPr>
          </w:p>
          <w:p>
            <w:pPr>
              <w:pStyle w:val="15"/>
              <w:rPr>
                <w:color w:val="auto"/>
                <w:highlight w:val="none"/>
              </w:rPr>
            </w:pPr>
          </w:p>
          <w:p>
            <w:pPr>
              <w:pStyle w:val="34"/>
              <w:rPr>
                <w:rFonts w:cs="Times New Roman"/>
                <w:color w:val="auto"/>
                <w:sz w:val="24"/>
                <w:highlight w:val="none"/>
              </w:rPr>
            </w:pPr>
          </w:p>
          <w:p>
            <w:pPr>
              <w:pStyle w:val="50"/>
              <w:rPr>
                <w:rStyle w:val="46"/>
                <w:rFonts w:ascii="Times New Roman" w:hAnsi="Times New Roman" w:cs="Times New Roman"/>
                <w:color w:val="auto"/>
                <w:kern w:val="2"/>
                <w:highlight w:val="none"/>
              </w:rPr>
            </w:pPr>
          </w:p>
          <w:p>
            <w:pPr>
              <w:ind w:firstLine="480" w:firstLineChars="200"/>
              <w:rPr>
                <w:color w:val="auto"/>
                <w:sz w:val="24"/>
                <w:highlight w:val="none"/>
              </w:rPr>
            </w:pPr>
          </w:p>
        </w:tc>
      </w:tr>
    </w:tbl>
    <w:p>
      <w:pPr>
        <w:pStyle w:val="38"/>
        <w:jc w:val="left"/>
        <w:rPr>
          <w:rFonts w:ascii="Times New Roman" w:hAnsi="Times New Roman"/>
          <w:color w:val="auto"/>
          <w:highlight w:val="none"/>
        </w:rPr>
        <w:sectPr>
          <w:footerReference r:id="rId15" w:type="default"/>
          <w:pgSz w:w="11907" w:h="16840"/>
          <w:pgMar w:top="1440" w:right="1134" w:bottom="1134" w:left="1418" w:header="0" w:footer="898" w:gutter="0"/>
          <w:cols w:space="720" w:num="1"/>
          <w:docGrid w:linePitch="326" w:charSpace="-4916"/>
        </w:sectPr>
      </w:pPr>
    </w:p>
    <w:p>
      <w:pPr>
        <w:adjustRightInd w:val="0"/>
        <w:snapToGrid w:val="0"/>
        <w:spacing w:line="360" w:lineRule="auto"/>
        <w:ind w:firstLine="480" w:firstLineChars="200"/>
        <w:jc w:val="left"/>
        <w:rPr>
          <w:rFonts w:ascii="Times New Roman" w:hAnsi="Times New Roman" w:cs="Times New Roman"/>
          <w:color w:val="auto"/>
          <w:kern w:val="24"/>
          <w:sz w:val="24"/>
          <w:highlight w:val="none"/>
        </w:rPr>
      </w:pPr>
      <w:r>
        <w:rPr>
          <w:rFonts w:hint="eastAsia" w:ascii="Times New Roman" w:hAnsi="Times New Roman" w:cs="Times New Roman"/>
          <w:color w:val="auto"/>
          <w:kern w:val="24"/>
          <w:sz w:val="24"/>
          <w:highlight w:val="none"/>
        </w:rPr>
        <w:t>根据</w:t>
      </w:r>
      <w:r>
        <w:rPr>
          <w:rFonts w:ascii="Times New Roman" w:hAnsi="Times New Roman" w:cs="Times New Roman"/>
          <w:color w:val="auto"/>
          <w:kern w:val="24"/>
          <w:sz w:val="24"/>
          <w:highlight w:val="none"/>
        </w:rPr>
        <w:t>《关于做好环境影响评价制度与排污许可制衔接相关工作的通知》（环办环评【2017】84号）的要求，</w:t>
      </w:r>
      <w:r>
        <w:rPr>
          <w:rFonts w:hint="eastAsia" w:ascii="Times New Roman" w:hAnsi="Times New Roman" w:cs="Times New Roman"/>
          <w:color w:val="auto"/>
          <w:kern w:val="24"/>
          <w:sz w:val="24"/>
          <w:highlight w:val="none"/>
        </w:rPr>
        <w:t>本项目</w:t>
      </w:r>
      <w:r>
        <w:rPr>
          <w:rFonts w:ascii="Times New Roman" w:hAnsi="Times New Roman" w:cs="Times New Roman"/>
          <w:color w:val="auto"/>
          <w:kern w:val="24"/>
          <w:sz w:val="24"/>
          <w:highlight w:val="none"/>
        </w:rPr>
        <w:t>污染物排放清单</w:t>
      </w:r>
      <w:r>
        <w:rPr>
          <w:rFonts w:hint="eastAsia" w:ascii="Times New Roman" w:hAnsi="Times New Roman" w:cs="Times New Roman"/>
          <w:color w:val="auto"/>
          <w:kern w:val="24"/>
          <w:sz w:val="24"/>
          <w:highlight w:val="none"/>
        </w:rPr>
        <w:t>如下表所示：</w:t>
      </w:r>
    </w:p>
    <w:p>
      <w:pPr>
        <w:widowControl/>
        <w:numPr>
          <w:ilvl w:val="0"/>
          <w:numId w:val="5"/>
        </w:numPr>
        <w:tabs>
          <w:tab w:val="left" w:pos="420"/>
        </w:tabs>
        <w:adjustRightInd w:val="0"/>
        <w:snapToGrid w:val="0"/>
        <w:spacing w:line="36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本项目污染物排放清单</w:t>
      </w:r>
    </w:p>
    <w:tbl>
      <w:tblPr>
        <w:tblStyle w:val="40"/>
        <w:tblW w:w="14190"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36"/>
        <w:gridCol w:w="767"/>
        <w:gridCol w:w="937"/>
        <w:gridCol w:w="1373"/>
        <w:gridCol w:w="1335"/>
        <w:gridCol w:w="1815"/>
        <w:gridCol w:w="1125"/>
        <w:gridCol w:w="846"/>
        <w:gridCol w:w="794"/>
        <w:gridCol w:w="1180"/>
        <w:gridCol w:w="750"/>
        <w:gridCol w:w="645"/>
        <w:gridCol w:w="735"/>
        <w:gridCol w:w="647"/>
        <w:gridCol w:w="70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1" w:hRule="atLeast"/>
          <w:tblHeader/>
          <w:jc w:val="center"/>
        </w:trPr>
        <w:tc>
          <w:tcPr>
            <w:tcW w:w="536" w:type="dxa"/>
            <w:vMerge w:val="restart"/>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类别</w:t>
            </w:r>
          </w:p>
        </w:tc>
        <w:tc>
          <w:tcPr>
            <w:tcW w:w="1704" w:type="dxa"/>
            <w:gridSpan w:val="2"/>
            <w:vMerge w:val="restart"/>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污染源</w:t>
            </w:r>
          </w:p>
        </w:tc>
        <w:tc>
          <w:tcPr>
            <w:tcW w:w="1373" w:type="dxa"/>
            <w:vMerge w:val="restart"/>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排放规模</w:t>
            </w:r>
          </w:p>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m</w:t>
            </w:r>
            <w:r>
              <w:rPr>
                <w:rFonts w:ascii="Times New Roman" w:hAnsi="Times New Roman" w:cs="Times New Roman"/>
                <w:b/>
                <w:color w:val="auto"/>
                <w:kern w:val="24"/>
                <w:sz w:val="21"/>
                <w:szCs w:val="21"/>
                <w:highlight w:val="none"/>
                <w:vertAlign w:val="superscript"/>
              </w:rPr>
              <w:t>3</w:t>
            </w:r>
            <w:r>
              <w:rPr>
                <w:rFonts w:ascii="Times New Roman" w:hAnsi="Times New Roman" w:cs="Times New Roman"/>
                <w:b/>
                <w:color w:val="auto"/>
                <w:kern w:val="24"/>
                <w:sz w:val="21"/>
                <w:szCs w:val="21"/>
                <w:highlight w:val="none"/>
              </w:rPr>
              <w:t>/</w:t>
            </w:r>
            <w:r>
              <w:rPr>
                <w:rFonts w:hint="eastAsia" w:ascii="Times New Roman" w:hAnsi="Times New Roman" w:cs="Times New Roman"/>
                <w:b/>
                <w:color w:val="auto"/>
                <w:kern w:val="24"/>
                <w:sz w:val="21"/>
                <w:szCs w:val="21"/>
                <w:highlight w:val="none"/>
              </w:rPr>
              <w:t>a</w:t>
            </w:r>
          </w:p>
        </w:tc>
        <w:tc>
          <w:tcPr>
            <w:tcW w:w="1335" w:type="dxa"/>
            <w:vMerge w:val="restart"/>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污染物</w:t>
            </w:r>
          </w:p>
        </w:tc>
        <w:tc>
          <w:tcPr>
            <w:tcW w:w="1815" w:type="dxa"/>
            <w:vMerge w:val="restart"/>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治理措施</w:t>
            </w:r>
          </w:p>
        </w:tc>
        <w:tc>
          <w:tcPr>
            <w:tcW w:w="2765" w:type="dxa"/>
            <w:gridSpan w:val="3"/>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污染物排放量</w:t>
            </w:r>
          </w:p>
        </w:tc>
        <w:tc>
          <w:tcPr>
            <w:tcW w:w="1930" w:type="dxa"/>
            <w:gridSpan w:val="2"/>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执行标准</w:t>
            </w:r>
          </w:p>
        </w:tc>
        <w:tc>
          <w:tcPr>
            <w:tcW w:w="2027" w:type="dxa"/>
            <w:gridSpan w:val="3"/>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排放源参数</w:t>
            </w:r>
          </w:p>
        </w:tc>
        <w:tc>
          <w:tcPr>
            <w:tcW w:w="705" w:type="dxa"/>
            <w:vMerge w:val="restart"/>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年排放时间h</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81" w:hRule="atLeast"/>
          <w:tblHeader/>
          <w:jc w:val="center"/>
        </w:trPr>
        <w:tc>
          <w:tcPr>
            <w:tcW w:w="536" w:type="dxa"/>
            <w:vMerge w:val="continue"/>
            <w:tcBorders>
              <w:tl2br w:val="nil"/>
              <w:tr2bl w:val="nil"/>
            </w:tcBorders>
            <w:vAlign w:val="center"/>
          </w:tcPr>
          <w:p>
            <w:pPr>
              <w:jc w:val="center"/>
              <w:rPr>
                <w:rFonts w:ascii="Times New Roman" w:hAnsi="Times New Roman" w:cs="Times New Roman"/>
                <w:b/>
                <w:color w:val="auto"/>
                <w:kern w:val="24"/>
                <w:sz w:val="21"/>
                <w:szCs w:val="21"/>
                <w:highlight w:val="none"/>
              </w:rPr>
            </w:pPr>
          </w:p>
        </w:tc>
        <w:tc>
          <w:tcPr>
            <w:tcW w:w="1704" w:type="dxa"/>
            <w:gridSpan w:val="2"/>
            <w:vMerge w:val="continue"/>
            <w:tcBorders>
              <w:tl2br w:val="nil"/>
              <w:tr2bl w:val="nil"/>
            </w:tcBorders>
            <w:vAlign w:val="center"/>
          </w:tcPr>
          <w:p>
            <w:pPr>
              <w:jc w:val="center"/>
              <w:rPr>
                <w:rFonts w:ascii="Times New Roman" w:hAnsi="Times New Roman" w:cs="Times New Roman"/>
                <w:b/>
                <w:color w:val="auto"/>
                <w:kern w:val="24"/>
                <w:sz w:val="21"/>
                <w:szCs w:val="21"/>
                <w:highlight w:val="none"/>
              </w:rPr>
            </w:pPr>
          </w:p>
        </w:tc>
        <w:tc>
          <w:tcPr>
            <w:tcW w:w="1373" w:type="dxa"/>
            <w:vMerge w:val="continue"/>
            <w:tcBorders>
              <w:tl2br w:val="nil"/>
              <w:tr2bl w:val="nil"/>
            </w:tcBorders>
            <w:vAlign w:val="center"/>
          </w:tcPr>
          <w:p>
            <w:pPr>
              <w:jc w:val="center"/>
              <w:rPr>
                <w:rFonts w:ascii="Times New Roman" w:hAnsi="Times New Roman" w:cs="Times New Roman"/>
                <w:b/>
                <w:color w:val="auto"/>
                <w:kern w:val="24"/>
                <w:sz w:val="21"/>
                <w:szCs w:val="21"/>
                <w:highlight w:val="none"/>
              </w:rPr>
            </w:pPr>
          </w:p>
        </w:tc>
        <w:tc>
          <w:tcPr>
            <w:tcW w:w="1335" w:type="dxa"/>
            <w:vMerge w:val="continue"/>
            <w:tcBorders>
              <w:tl2br w:val="nil"/>
              <w:tr2bl w:val="nil"/>
            </w:tcBorders>
            <w:vAlign w:val="center"/>
          </w:tcPr>
          <w:p>
            <w:pPr>
              <w:jc w:val="center"/>
              <w:rPr>
                <w:rFonts w:ascii="Times New Roman" w:hAnsi="Times New Roman" w:cs="Times New Roman"/>
                <w:b/>
                <w:color w:val="auto"/>
                <w:kern w:val="24"/>
                <w:sz w:val="21"/>
                <w:szCs w:val="21"/>
                <w:highlight w:val="none"/>
              </w:rPr>
            </w:pPr>
          </w:p>
        </w:tc>
        <w:tc>
          <w:tcPr>
            <w:tcW w:w="1815" w:type="dxa"/>
            <w:vMerge w:val="continue"/>
            <w:tcBorders>
              <w:tl2br w:val="nil"/>
              <w:tr2bl w:val="nil"/>
            </w:tcBorders>
            <w:vAlign w:val="center"/>
          </w:tcPr>
          <w:p>
            <w:pPr>
              <w:jc w:val="center"/>
              <w:rPr>
                <w:rFonts w:ascii="Times New Roman" w:hAnsi="Times New Roman" w:cs="Times New Roman"/>
                <w:b/>
                <w:color w:val="auto"/>
                <w:kern w:val="24"/>
                <w:sz w:val="21"/>
                <w:szCs w:val="21"/>
                <w:highlight w:val="none"/>
              </w:rPr>
            </w:pPr>
          </w:p>
        </w:tc>
        <w:tc>
          <w:tcPr>
            <w:tcW w:w="1125" w:type="dxa"/>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排放浓度mg/m</w:t>
            </w:r>
            <w:r>
              <w:rPr>
                <w:rFonts w:ascii="Times New Roman" w:hAnsi="Times New Roman" w:cs="Times New Roman"/>
                <w:b/>
                <w:color w:val="auto"/>
                <w:kern w:val="24"/>
                <w:sz w:val="21"/>
                <w:szCs w:val="21"/>
                <w:highlight w:val="none"/>
                <w:vertAlign w:val="superscript"/>
              </w:rPr>
              <w:t>3</w:t>
            </w:r>
          </w:p>
        </w:tc>
        <w:tc>
          <w:tcPr>
            <w:tcW w:w="846" w:type="dxa"/>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排放量t/a</w:t>
            </w:r>
          </w:p>
        </w:tc>
        <w:tc>
          <w:tcPr>
            <w:tcW w:w="794" w:type="dxa"/>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排放速率kg/h</w:t>
            </w:r>
          </w:p>
        </w:tc>
        <w:tc>
          <w:tcPr>
            <w:tcW w:w="1180" w:type="dxa"/>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浓度mg/m</w:t>
            </w:r>
            <w:r>
              <w:rPr>
                <w:rFonts w:ascii="Times New Roman" w:hAnsi="Times New Roman" w:cs="Times New Roman"/>
                <w:b/>
                <w:color w:val="auto"/>
                <w:kern w:val="24"/>
                <w:sz w:val="21"/>
                <w:szCs w:val="21"/>
                <w:highlight w:val="none"/>
                <w:vertAlign w:val="superscript"/>
              </w:rPr>
              <w:t>3</w:t>
            </w:r>
          </w:p>
        </w:tc>
        <w:tc>
          <w:tcPr>
            <w:tcW w:w="750" w:type="dxa"/>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速率kg/h</w:t>
            </w:r>
          </w:p>
        </w:tc>
        <w:tc>
          <w:tcPr>
            <w:tcW w:w="645" w:type="dxa"/>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高度m</w:t>
            </w:r>
          </w:p>
        </w:tc>
        <w:tc>
          <w:tcPr>
            <w:tcW w:w="735" w:type="dxa"/>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直径m</w:t>
            </w:r>
          </w:p>
        </w:tc>
        <w:tc>
          <w:tcPr>
            <w:tcW w:w="647" w:type="dxa"/>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温度℃</w:t>
            </w:r>
          </w:p>
        </w:tc>
        <w:tc>
          <w:tcPr>
            <w:tcW w:w="705" w:type="dxa"/>
            <w:vMerge w:val="continue"/>
            <w:tcBorders>
              <w:tl2br w:val="nil"/>
              <w:tr2bl w:val="nil"/>
            </w:tcBorders>
            <w:vAlign w:val="center"/>
          </w:tcPr>
          <w:p>
            <w:pPr>
              <w:jc w:val="center"/>
              <w:rPr>
                <w:rFonts w:ascii="Times New Roman" w:hAnsi="Times New Roman" w:cs="Times New Roman"/>
                <w:b/>
                <w:color w:val="auto"/>
                <w:kern w:val="2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1" w:hRule="atLeast"/>
          <w:jc w:val="center"/>
        </w:trPr>
        <w:tc>
          <w:tcPr>
            <w:tcW w:w="536" w:type="dxa"/>
            <w:vMerge w:val="restart"/>
            <w:tcBorders>
              <w:tl2br w:val="nil"/>
              <w:tr2bl w:val="nil"/>
            </w:tcBorders>
            <w:vAlign w:val="center"/>
          </w:tcPr>
          <w:p>
            <w:pPr>
              <w:jc w:val="center"/>
              <w:rPr>
                <w:rFonts w:ascii="Times New Roman" w:hAnsi="Times New Roman" w:cs="Times New Roman"/>
                <w:b/>
                <w:color w:val="auto"/>
                <w:kern w:val="24"/>
                <w:sz w:val="21"/>
                <w:szCs w:val="21"/>
                <w:highlight w:val="none"/>
              </w:rPr>
            </w:pPr>
            <w:r>
              <w:rPr>
                <w:rFonts w:ascii="Times New Roman" w:hAnsi="Times New Roman" w:cs="Times New Roman"/>
                <w:b/>
                <w:color w:val="auto"/>
                <w:kern w:val="24"/>
                <w:sz w:val="21"/>
                <w:szCs w:val="21"/>
                <w:highlight w:val="none"/>
              </w:rPr>
              <w:t>废气</w:t>
            </w:r>
          </w:p>
        </w:tc>
        <w:tc>
          <w:tcPr>
            <w:tcW w:w="767" w:type="dxa"/>
            <w:vMerge w:val="restart"/>
            <w:tcBorders>
              <w:right w:val="single" w:color="auto" w:sz="4" w:space="0"/>
              <w:tl2br w:val="nil"/>
              <w:tr2bl w:val="nil"/>
            </w:tcBorders>
            <w:vAlign w:val="center"/>
          </w:tcPr>
          <w:p>
            <w:pPr>
              <w:jc w:val="center"/>
              <w:rPr>
                <w:rFonts w:hint="eastAsia" w:ascii="Calibri" w:hAnsi="Calibri" w:eastAsia="宋体" w:cs="Times New Roman"/>
                <w:color w:val="auto"/>
                <w:kern w:val="24"/>
                <w:sz w:val="21"/>
                <w:szCs w:val="21"/>
                <w:highlight w:val="none"/>
                <w:lang w:eastAsia="zh-CN"/>
              </w:rPr>
            </w:pPr>
            <w:r>
              <w:rPr>
                <w:rFonts w:hint="eastAsia" w:ascii="Calibri" w:hAnsi="Calibri" w:cs="Times New Roman"/>
                <w:color w:val="auto"/>
                <w:kern w:val="24"/>
                <w:sz w:val="21"/>
                <w:szCs w:val="21"/>
                <w:highlight w:val="none"/>
                <w:lang w:eastAsia="zh-CN"/>
              </w:rPr>
              <w:t>注塑工序</w:t>
            </w:r>
          </w:p>
        </w:tc>
        <w:tc>
          <w:tcPr>
            <w:tcW w:w="937" w:type="dxa"/>
            <w:tcBorders>
              <w:left w:val="single" w:color="auto" w:sz="4" w:space="0"/>
              <w:bottom w:val="single" w:color="auto" w:sz="4" w:space="0"/>
              <w:tl2br w:val="nil"/>
              <w:tr2bl w:val="nil"/>
            </w:tcBorders>
            <w:vAlign w:val="center"/>
          </w:tcPr>
          <w:p>
            <w:pPr>
              <w:jc w:val="center"/>
              <w:rPr>
                <w:rFonts w:hint="eastAsia" w:ascii="Calibri" w:hAnsi="Calibri" w:cs="Times New Roman"/>
                <w:color w:val="auto"/>
                <w:kern w:val="24"/>
                <w:sz w:val="21"/>
                <w:szCs w:val="21"/>
                <w:highlight w:val="none"/>
                <w:lang w:eastAsia="zh-CN"/>
              </w:rPr>
            </w:pPr>
            <w:r>
              <w:rPr>
                <w:rFonts w:hint="eastAsia" w:ascii="Calibri" w:hAnsi="Calibri" w:cs="Times New Roman"/>
                <w:color w:val="auto"/>
                <w:kern w:val="24"/>
                <w:sz w:val="21"/>
                <w:szCs w:val="21"/>
                <w:highlight w:val="none"/>
                <w:lang w:eastAsia="zh-CN"/>
              </w:rPr>
              <w:t>有组织</w:t>
            </w:r>
          </w:p>
        </w:tc>
        <w:tc>
          <w:tcPr>
            <w:tcW w:w="1373" w:type="dxa"/>
            <w:tcBorders>
              <w:tl2br w:val="nil"/>
              <w:tr2bl w:val="nil"/>
            </w:tcBorders>
            <w:vAlign w:val="center"/>
          </w:tcPr>
          <w:p>
            <w:pPr>
              <w:autoSpaceDE w:val="0"/>
              <w:autoSpaceDN w:val="0"/>
              <w:jc w:val="center"/>
              <w:rPr>
                <w:rFonts w:ascii="Times New Roman" w:hAnsi="Times New Roman" w:cs="Times New Roman"/>
                <w:color w:val="auto"/>
                <w:kern w:val="24"/>
                <w:sz w:val="21"/>
                <w:szCs w:val="21"/>
                <w:highlight w:val="none"/>
              </w:rPr>
            </w:pPr>
            <w:r>
              <w:rPr>
                <w:rFonts w:hint="eastAsia" w:cs="Times New Roman"/>
                <w:color w:val="auto"/>
                <w:sz w:val="21"/>
                <w:szCs w:val="21"/>
                <w:highlight w:val="none"/>
                <w:lang w:val="en-US" w:eastAsia="zh-CN"/>
              </w:rPr>
              <w:t>1963.44</w:t>
            </w:r>
            <w:r>
              <w:rPr>
                <w:rFonts w:ascii="Times New Roman" w:hAnsi="Times New Roman" w:cs="Times New Roman"/>
                <w:color w:val="auto"/>
                <w:sz w:val="21"/>
                <w:szCs w:val="21"/>
                <w:highlight w:val="none"/>
              </w:rPr>
              <w:t>×10</w:t>
            </w:r>
            <w:r>
              <w:rPr>
                <w:rFonts w:ascii="Times New Roman" w:hAnsi="Times New Roman" w:cs="Times New Roman"/>
                <w:color w:val="auto"/>
                <w:sz w:val="21"/>
                <w:szCs w:val="21"/>
                <w:highlight w:val="none"/>
                <w:vertAlign w:val="superscript"/>
              </w:rPr>
              <w:t>4</w:t>
            </w:r>
          </w:p>
        </w:tc>
        <w:tc>
          <w:tcPr>
            <w:tcW w:w="1335" w:type="dxa"/>
            <w:tcBorders>
              <w:tl2br w:val="nil"/>
              <w:tr2bl w:val="nil"/>
            </w:tcBorders>
            <w:vAlign w:val="center"/>
          </w:tcPr>
          <w:p>
            <w:pPr>
              <w:adjustRightInd w:val="0"/>
              <w:snapToGrid w:val="0"/>
              <w:jc w:val="center"/>
              <w:rPr>
                <w:rFonts w:ascii="Times New Roman" w:hAnsi="Times New Roman" w:cs="Times New Roman"/>
                <w:color w:val="auto"/>
                <w:kern w:val="24"/>
                <w:sz w:val="21"/>
                <w:szCs w:val="21"/>
                <w:highlight w:val="none"/>
              </w:rPr>
            </w:pPr>
            <w:r>
              <w:rPr>
                <w:rFonts w:hint="eastAsia" w:ascii="Times New Roman" w:hAnsi="Times New Roman" w:cs="Times New Roman"/>
                <w:color w:val="auto"/>
                <w:kern w:val="24"/>
                <w:sz w:val="21"/>
                <w:szCs w:val="21"/>
                <w:highlight w:val="none"/>
              </w:rPr>
              <w:t>非甲烷总烃</w:t>
            </w:r>
          </w:p>
        </w:tc>
        <w:tc>
          <w:tcPr>
            <w:tcW w:w="1815" w:type="dxa"/>
            <w:vMerge w:val="restart"/>
            <w:tcBorders>
              <w:tl2br w:val="nil"/>
              <w:tr2bl w:val="nil"/>
            </w:tcBorders>
            <w:vAlign w:val="center"/>
          </w:tcPr>
          <w:p>
            <w:pPr>
              <w:snapToGrid w:val="0"/>
              <w:jc w:val="center"/>
              <w:rPr>
                <w:rFonts w:hint="eastAsia" w:ascii="Times New Roman" w:hAnsi="Times New Roman" w:eastAsia="宋体" w:cs="Times New Roman"/>
                <w:color w:val="auto"/>
                <w:kern w:val="24"/>
                <w:sz w:val="21"/>
                <w:szCs w:val="21"/>
                <w:highlight w:val="none"/>
                <w:lang w:eastAsia="zh-CN"/>
              </w:rPr>
            </w:pPr>
            <w:r>
              <w:rPr>
                <w:rFonts w:hint="eastAsia" w:ascii="Times New Roman" w:hAnsi="Times New Roman" w:eastAsia="宋体" w:cs="Times New Roman"/>
                <w:color w:val="auto"/>
                <w:kern w:val="24"/>
                <w:sz w:val="21"/>
                <w:szCs w:val="21"/>
                <w:highlight w:val="none"/>
                <w:lang w:eastAsia="zh-CN"/>
              </w:rPr>
              <w:t>设置集气装置将废气进行收集后采用UV光解+活性炭吸附装置进行</w:t>
            </w:r>
            <w:r>
              <w:rPr>
                <w:rFonts w:hint="eastAsia" w:cs="Times New Roman"/>
                <w:color w:val="auto"/>
                <w:kern w:val="24"/>
                <w:sz w:val="21"/>
                <w:szCs w:val="21"/>
                <w:highlight w:val="none"/>
                <w:lang w:eastAsia="zh-CN"/>
              </w:rPr>
              <w:t>处理后经15m排气筒高空排放</w:t>
            </w:r>
          </w:p>
        </w:tc>
        <w:tc>
          <w:tcPr>
            <w:tcW w:w="1125" w:type="dxa"/>
            <w:tcBorders>
              <w:tl2br w:val="nil"/>
              <w:tr2bl w:val="nil"/>
            </w:tcBorders>
            <w:vAlign w:val="center"/>
          </w:tcPr>
          <w:p>
            <w:pPr>
              <w:widowControl/>
              <w:jc w:val="center"/>
              <w:textAlignment w:val="center"/>
              <w:rPr>
                <w:rFonts w:hint="default" w:ascii="Times New Roman" w:hAnsi="Times New Roman" w:cs="Times New Roman"/>
                <w:color w:val="auto"/>
                <w:kern w:val="24"/>
                <w:sz w:val="21"/>
                <w:szCs w:val="21"/>
                <w:highlight w:val="none"/>
                <w:lang w:val="en-US"/>
              </w:rPr>
            </w:pPr>
            <w:r>
              <w:rPr>
                <w:rFonts w:hint="eastAsia"/>
                <w:color w:val="auto"/>
                <w:kern w:val="0"/>
                <w:szCs w:val="21"/>
                <w:highlight w:val="none"/>
                <w:lang w:val="en-US" w:eastAsia="zh-CN"/>
              </w:rPr>
              <w:t>8.33</w:t>
            </w:r>
          </w:p>
        </w:tc>
        <w:tc>
          <w:tcPr>
            <w:tcW w:w="846"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24"/>
                <w:sz w:val="21"/>
                <w:szCs w:val="21"/>
                <w:highlight w:val="none"/>
                <w:lang w:val="en-US" w:eastAsia="zh-CN"/>
              </w:rPr>
            </w:pPr>
            <w:r>
              <w:rPr>
                <w:rFonts w:hint="eastAsia"/>
                <w:color w:val="auto"/>
                <w:kern w:val="0"/>
                <w:szCs w:val="21"/>
                <w:highlight w:val="none"/>
                <w:lang w:val="en-US" w:eastAsia="zh-CN"/>
              </w:rPr>
              <w:t>0.166</w:t>
            </w:r>
          </w:p>
        </w:tc>
        <w:tc>
          <w:tcPr>
            <w:tcW w:w="794"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24"/>
                <w:sz w:val="21"/>
                <w:szCs w:val="21"/>
                <w:highlight w:val="none"/>
                <w:lang w:val="en-US" w:eastAsia="zh-CN"/>
              </w:rPr>
            </w:pPr>
            <w:r>
              <w:rPr>
                <w:rFonts w:hint="eastAsia"/>
                <w:bCs/>
                <w:color w:val="auto"/>
                <w:szCs w:val="21"/>
                <w:highlight w:val="none"/>
                <w:lang w:val="en-US" w:eastAsia="zh-CN"/>
              </w:rPr>
              <w:t>0.069</w:t>
            </w:r>
          </w:p>
        </w:tc>
        <w:tc>
          <w:tcPr>
            <w:tcW w:w="1180" w:type="dxa"/>
            <w:tcBorders>
              <w:tl2br w:val="nil"/>
              <w:tr2bl w:val="nil"/>
            </w:tcBorders>
            <w:vAlign w:val="center"/>
          </w:tcPr>
          <w:p>
            <w:pPr>
              <w:snapToGrid w:val="0"/>
              <w:jc w:val="center"/>
              <w:rPr>
                <w:rFonts w:hint="default" w:ascii="Times New Roman" w:hAnsi="Times New Roman" w:eastAsia="宋体"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100</w:t>
            </w:r>
          </w:p>
        </w:tc>
        <w:tc>
          <w:tcPr>
            <w:tcW w:w="750" w:type="dxa"/>
            <w:tcBorders>
              <w:tl2br w:val="nil"/>
              <w:tr2bl w:val="nil"/>
            </w:tcBorders>
            <w:vAlign w:val="center"/>
          </w:tcPr>
          <w:p>
            <w:pPr>
              <w:snapToGrid w:val="0"/>
              <w:jc w:val="center"/>
              <w:rPr>
                <w:rFonts w:hint="default" w:ascii="Times New Roman" w:hAnsi="Times New Roman" w:eastAsia="宋体" w:cs="Times New Roman"/>
                <w:color w:val="auto"/>
                <w:kern w:val="24"/>
                <w:sz w:val="21"/>
                <w:szCs w:val="21"/>
                <w:highlight w:val="none"/>
                <w:lang w:val="en-US" w:eastAsia="zh-CN"/>
              </w:rPr>
            </w:pPr>
            <w:r>
              <w:rPr>
                <w:rFonts w:ascii="Calibri" w:hAnsi="Calibri" w:cs="Times New Roman"/>
                <w:color w:val="auto"/>
                <w:kern w:val="24"/>
                <w:sz w:val="21"/>
                <w:szCs w:val="21"/>
                <w:highlight w:val="none"/>
              </w:rPr>
              <w:t>/</w:t>
            </w:r>
          </w:p>
        </w:tc>
        <w:tc>
          <w:tcPr>
            <w:tcW w:w="645" w:type="dxa"/>
            <w:tcBorders>
              <w:tl2br w:val="nil"/>
              <w:tr2bl w:val="nil"/>
            </w:tcBorders>
            <w:vAlign w:val="center"/>
          </w:tcPr>
          <w:p>
            <w:pPr>
              <w:snapToGrid w:val="0"/>
              <w:jc w:val="center"/>
              <w:rPr>
                <w:rFonts w:ascii="Times New Roman" w:hAnsi="Times New Roman" w:cs="Times New Roman"/>
                <w:color w:val="auto"/>
                <w:kern w:val="24"/>
                <w:sz w:val="21"/>
                <w:szCs w:val="21"/>
                <w:highlight w:val="none"/>
              </w:rPr>
            </w:pPr>
            <w:r>
              <w:rPr>
                <w:rFonts w:hint="eastAsia" w:ascii="Times New Roman" w:hAnsi="Times New Roman" w:cs="Times New Roman"/>
                <w:color w:val="auto"/>
                <w:kern w:val="24"/>
                <w:sz w:val="21"/>
                <w:szCs w:val="21"/>
                <w:highlight w:val="none"/>
              </w:rPr>
              <w:t>15</w:t>
            </w:r>
          </w:p>
        </w:tc>
        <w:tc>
          <w:tcPr>
            <w:tcW w:w="735" w:type="dxa"/>
            <w:tcBorders>
              <w:tl2br w:val="nil"/>
              <w:tr2bl w:val="nil"/>
            </w:tcBorders>
            <w:vAlign w:val="center"/>
          </w:tcPr>
          <w:p>
            <w:pPr>
              <w:autoSpaceDE w:val="0"/>
              <w:autoSpaceDN w:val="0"/>
              <w:jc w:val="center"/>
              <w:rPr>
                <w:rFonts w:hint="default" w:ascii="Times New Roman" w:hAnsi="Times New Roman" w:eastAsia="宋体" w:cs="Times New Roman"/>
                <w:color w:val="auto"/>
                <w:kern w:val="24"/>
                <w:sz w:val="21"/>
                <w:szCs w:val="21"/>
                <w:highlight w:val="none"/>
                <w:lang w:val="en-US" w:eastAsia="zh-CN"/>
              </w:rPr>
            </w:pPr>
            <w:r>
              <w:rPr>
                <w:rFonts w:hint="eastAsia" w:cs="Times New Roman"/>
                <w:color w:val="auto"/>
                <w:sz w:val="21"/>
                <w:szCs w:val="21"/>
                <w:highlight w:val="none"/>
                <w:lang w:val="en-US" w:eastAsia="zh-CN"/>
              </w:rPr>
              <w:t>0.4</w:t>
            </w:r>
          </w:p>
        </w:tc>
        <w:tc>
          <w:tcPr>
            <w:tcW w:w="647"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Times New Roman" w:hAnsi="Times New Roman" w:cs="Times New Roman"/>
                <w:color w:val="auto"/>
                <w:kern w:val="24"/>
                <w:sz w:val="21"/>
                <w:szCs w:val="21"/>
                <w:highlight w:val="none"/>
              </w:rPr>
              <w:t>25</w:t>
            </w:r>
          </w:p>
        </w:tc>
        <w:tc>
          <w:tcPr>
            <w:tcW w:w="705"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Times New Roman" w:hAnsi="Times New Roman" w:cs="Times New Roman"/>
                <w:color w:val="auto"/>
                <w:sz w:val="21"/>
                <w:szCs w:val="21"/>
                <w:highlight w:val="none"/>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36"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767" w:type="dxa"/>
            <w:vMerge w:val="continue"/>
            <w:tcBorders>
              <w:right w:val="single" w:color="auto" w:sz="4" w:space="0"/>
              <w:tl2br w:val="nil"/>
              <w:tr2bl w:val="nil"/>
            </w:tcBorders>
            <w:vAlign w:val="center"/>
          </w:tcPr>
          <w:p>
            <w:pPr>
              <w:jc w:val="center"/>
              <w:rPr>
                <w:rFonts w:hint="eastAsia" w:ascii="Calibri" w:hAnsi="Calibri" w:eastAsia="宋体" w:cs="Times New Roman"/>
                <w:color w:val="auto"/>
                <w:kern w:val="24"/>
                <w:sz w:val="21"/>
                <w:szCs w:val="21"/>
                <w:highlight w:val="none"/>
                <w:lang w:eastAsia="zh-CN"/>
              </w:rPr>
            </w:pPr>
          </w:p>
        </w:tc>
        <w:tc>
          <w:tcPr>
            <w:tcW w:w="937" w:type="dxa"/>
            <w:vMerge w:val="restart"/>
            <w:tcBorders>
              <w:top w:val="single" w:color="auto" w:sz="4" w:space="0"/>
              <w:left w:val="single" w:color="auto" w:sz="4" w:space="0"/>
              <w:tl2br w:val="nil"/>
              <w:tr2bl w:val="nil"/>
            </w:tcBorders>
            <w:vAlign w:val="center"/>
          </w:tcPr>
          <w:p>
            <w:pPr>
              <w:jc w:val="center"/>
              <w:rPr>
                <w:rFonts w:hint="eastAsia" w:ascii="Calibri" w:hAnsi="Calibri" w:eastAsia="宋体" w:cs="Times New Roman"/>
                <w:color w:val="auto"/>
                <w:kern w:val="24"/>
                <w:sz w:val="21"/>
                <w:szCs w:val="21"/>
                <w:highlight w:val="none"/>
                <w:lang w:eastAsia="zh-CN"/>
              </w:rPr>
            </w:pPr>
            <w:r>
              <w:rPr>
                <w:rFonts w:hint="eastAsia" w:ascii="Calibri" w:hAnsi="Calibri" w:cs="Times New Roman"/>
                <w:color w:val="auto"/>
                <w:kern w:val="24"/>
                <w:sz w:val="21"/>
                <w:szCs w:val="21"/>
                <w:highlight w:val="none"/>
                <w:lang w:eastAsia="zh-CN"/>
              </w:rPr>
              <w:t>无组织</w:t>
            </w:r>
          </w:p>
        </w:tc>
        <w:tc>
          <w:tcPr>
            <w:tcW w:w="1373" w:type="dxa"/>
            <w:tcBorders>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1335" w:type="dxa"/>
            <w:tcBorders>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hint="eastAsia" w:ascii="Times New Roman" w:hAnsi="Times New Roman" w:cs="Times New Roman"/>
                <w:color w:val="auto"/>
                <w:kern w:val="24"/>
                <w:sz w:val="21"/>
                <w:szCs w:val="21"/>
                <w:highlight w:val="none"/>
              </w:rPr>
              <w:t>非甲烷总烃</w:t>
            </w:r>
          </w:p>
        </w:tc>
        <w:tc>
          <w:tcPr>
            <w:tcW w:w="1815"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1125" w:type="dxa"/>
            <w:tcBorders>
              <w:top w:val="single" w:color="auto" w:sz="4" w:space="0"/>
              <w:bottom w:val="single" w:color="auto" w:sz="4" w:space="0"/>
              <w:tl2br w:val="nil"/>
              <w:tr2bl w:val="nil"/>
            </w:tcBorders>
            <w:vAlign w:val="center"/>
          </w:tcPr>
          <w:p>
            <w:pPr>
              <w:widowControl/>
              <w:jc w:val="center"/>
              <w:textAlignment w:val="center"/>
              <w:rPr>
                <w:rFonts w:hint="default" w:ascii="Times New Roman" w:hAnsi="Times New Roman" w:eastAsia="宋体" w:cs="Times New Roman"/>
                <w:color w:val="auto"/>
                <w:kern w:val="24"/>
                <w:sz w:val="21"/>
                <w:szCs w:val="21"/>
                <w:highlight w:val="none"/>
                <w:lang w:val="en-US" w:eastAsia="zh-CN"/>
              </w:rPr>
            </w:pPr>
            <w:r>
              <w:rPr>
                <w:rFonts w:hint="eastAsia"/>
                <w:color w:val="auto"/>
                <w:kern w:val="0"/>
                <w:szCs w:val="21"/>
                <w:highlight w:val="none"/>
                <w:lang w:val="en-US" w:eastAsia="zh-CN"/>
              </w:rPr>
              <w:t>1.414</w:t>
            </w:r>
          </w:p>
        </w:tc>
        <w:tc>
          <w:tcPr>
            <w:tcW w:w="846" w:type="dxa"/>
            <w:tcBorders>
              <w:top w:val="single" w:color="auto" w:sz="4" w:space="0"/>
              <w:bottom w:val="single" w:color="auto" w:sz="4" w:space="0"/>
              <w:tl2br w:val="nil"/>
              <w:tr2bl w:val="nil"/>
            </w:tcBorders>
            <w:vAlign w:val="center"/>
          </w:tcPr>
          <w:p>
            <w:pPr>
              <w:widowControl/>
              <w:jc w:val="center"/>
              <w:textAlignment w:val="center"/>
              <w:rPr>
                <w:rFonts w:hint="default" w:ascii="Times New Roman" w:hAnsi="Times New Roman" w:eastAsia="宋体" w:cs="Times New Roman"/>
                <w:color w:val="auto"/>
                <w:kern w:val="24"/>
                <w:sz w:val="21"/>
                <w:szCs w:val="21"/>
                <w:highlight w:val="none"/>
                <w:lang w:val="en-US" w:eastAsia="zh-CN"/>
              </w:rPr>
            </w:pPr>
            <w:r>
              <w:rPr>
                <w:rFonts w:hint="eastAsia"/>
                <w:color w:val="auto"/>
                <w:highlight w:val="none"/>
                <w:lang w:val="en-US" w:eastAsia="zh-CN"/>
              </w:rPr>
              <w:t>0.108</w:t>
            </w:r>
          </w:p>
        </w:tc>
        <w:tc>
          <w:tcPr>
            <w:tcW w:w="794" w:type="dxa"/>
            <w:tcBorders>
              <w:top w:val="single" w:color="auto" w:sz="4" w:space="0"/>
              <w:bottom w:val="single" w:color="auto" w:sz="4" w:space="0"/>
              <w:tl2br w:val="nil"/>
              <w:tr2bl w:val="nil"/>
            </w:tcBorders>
            <w:vAlign w:val="center"/>
          </w:tcPr>
          <w:p>
            <w:pPr>
              <w:widowControl/>
              <w:jc w:val="center"/>
              <w:textAlignment w:val="center"/>
              <w:rPr>
                <w:rFonts w:hint="default" w:ascii="Times New Roman" w:hAnsi="Times New Roman" w:eastAsia="宋体" w:cs="Times New Roman"/>
                <w:color w:val="auto"/>
                <w:kern w:val="24"/>
                <w:sz w:val="21"/>
                <w:szCs w:val="21"/>
                <w:highlight w:val="none"/>
                <w:lang w:val="en-US" w:eastAsia="zh-CN"/>
              </w:rPr>
            </w:pPr>
            <w:r>
              <w:rPr>
                <w:rFonts w:hint="eastAsia"/>
                <w:bCs/>
                <w:color w:val="auto"/>
                <w:szCs w:val="21"/>
                <w:highlight w:val="none"/>
                <w:lang w:val="en-US" w:eastAsia="zh-CN"/>
              </w:rPr>
              <w:t>0.045</w:t>
            </w:r>
          </w:p>
        </w:tc>
        <w:tc>
          <w:tcPr>
            <w:tcW w:w="1180"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hint="eastAsia" w:cs="Times New Roman"/>
                <w:color w:val="auto"/>
                <w:kern w:val="24"/>
                <w:sz w:val="21"/>
                <w:szCs w:val="21"/>
                <w:highlight w:val="none"/>
                <w:lang w:val="en-US" w:eastAsia="zh-CN"/>
              </w:rPr>
              <w:t>4</w:t>
            </w:r>
            <w:r>
              <w:rPr>
                <w:rFonts w:hint="eastAsia" w:ascii="Times New Roman" w:hAnsi="Times New Roman" w:cs="Times New Roman"/>
                <w:color w:val="auto"/>
                <w:kern w:val="24"/>
                <w:sz w:val="21"/>
                <w:szCs w:val="21"/>
                <w:highlight w:val="none"/>
              </w:rPr>
              <w:t>.0</w:t>
            </w:r>
          </w:p>
        </w:tc>
        <w:tc>
          <w:tcPr>
            <w:tcW w:w="750"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645"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735"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647"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Times New Roman" w:hAnsi="Times New Roman" w:cs="Times New Roman"/>
                <w:color w:val="auto"/>
                <w:kern w:val="24"/>
                <w:sz w:val="21"/>
                <w:szCs w:val="21"/>
                <w:highlight w:val="none"/>
              </w:rPr>
              <w:t>25</w:t>
            </w:r>
          </w:p>
        </w:tc>
        <w:tc>
          <w:tcPr>
            <w:tcW w:w="705"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Times New Roman" w:hAnsi="Times New Roman" w:cs="Times New Roman"/>
                <w:color w:val="auto"/>
                <w:sz w:val="21"/>
                <w:szCs w:val="21"/>
                <w:highlight w:val="none"/>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36"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767" w:type="dxa"/>
            <w:vMerge w:val="continue"/>
            <w:tcBorders>
              <w:right w:val="single" w:color="auto" w:sz="4" w:space="0"/>
              <w:tl2br w:val="nil"/>
              <w:tr2bl w:val="nil"/>
            </w:tcBorders>
            <w:vAlign w:val="center"/>
          </w:tcPr>
          <w:p>
            <w:pPr>
              <w:jc w:val="center"/>
              <w:rPr>
                <w:rFonts w:hint="eastAsia" w:ascii="Calibri" w:hAnsi="Calibri" w:eastAsia="宋体" w:cs="Times New Roman"/>
                <w:color w:val="auto"/>
                <w:kern w:val="24"/>
                <w:sz w:val="21"/>
                <w:szCs w:val="21"/>
                <w:highlight w:val="none"/>
                <w:lang w:eastAsia="zh-CN"/>
              </w:rPr>
            </w:pPr>
          </w:p>
        </w:tc>
        <w:tc>
          <w:tcPr>
            <w:tcW w:w="937" w:type="dxa"/>
            <w:vMerge w:val="continue"/>
            <w:tcBorders>
              <w:top w:val="single" w:color="auto" w:sz="4" w:space="0"/>
              <w:left w:val="single" w:color="auto" w:sz="4" w:space="0"/>
              <w:bottom w:val="single" w:color="auto" w:sz="4" w:space="0"/>
              <w:tl2br w:val="nil"/>
              <w:tr2bl w:val="nil"/>
            </w:tcBorders>
            <w:vAlign w:val="center"/>
          </w:tcPr>
          <w:p>
            <w:pPr>
              <w:jc w:val="center"/>
              <w:rPr>
                <w:rFonts w:hint="eastAsia" w:ascii="Calibri" w:hAnsi="Calibri" w:eastAsia="宋体" w:cs="Times New Roman"/>
                <w:color w:val="auto"/>
                <w:kern w:val="24"/>
                <w:sz w:val="21"/>
                <w:szCs w:val="21"/>
                <w:highlight w:val="none"/>
                <w:lang w:eastAsia="zh-CN"/>
              </w:rPr>
            </w:pPr>
          </w:p>
        </w:tc>
        <w:tc>
          <w:tcPr>
            <w:tcW w:w="1373" w:type="dxa"/>
            <w:tcBorders>
              <w:bottom w:val="single" w:color="auto" w:sz="4" w:space="0"/>
              <w:tl2br w:val="nil"/>
              <w:tr2bl w:val="nil"/>
            </w:tcBorders>
            <w:vAlign w:val="center"/>
          </w:tcPr>
          <w:p>
            <w:pPr>
              <w:jc w:val="center"/>
              <w:rPr>
                <w:rFonts w:hint="eastAsia" w:ascii="Calibri" w:hAnsi="Calibri" w:eastAsia="宋体" w:cs="Times New Roman"/>
                <w:color w:val="auto"/>
                <w:kern w:val="24"/>
                <w:sz w:val="21"/>
                <w:szCs w:val="21"/>
                <w:highlight w:val="none"/>
                <w:lang w:val="en-US" w:eastAsia="zh-CN"/>
              </w:rPr>
            </w:pPr>
            <w:r>
              <w:rPr>
                <w:rFonts w:hint="eastAsia" w:ascii="Calibri" w:hAnsi="Calibri" w:cs="Times New Roman"/>
                <w:color w:val="auto"/>
                <w:kern w:val="24"/>
                <w:sz w:val="21"/>
                <w:szCs w:val="21"/>
                <w:highlight w:val="none"/>
                <w:lang w:val="en-US" w:eastAsia="zh-CN"/>
              </w:rPr>
              <w:t>/</w:t>
            </w:r>
          </w:p>
        </w:tc>
        <w:tc>
          <w:tcPr>
            <w:tcW w:w="1335" w:type="dxa"/>
            <w:tcBorders>
              <w:bottom w:val="single" w:color="auto" w:sz="4" w:space="0"/>
              <w:tl2br w:val="nil"/>
              <w:tr2bl w:val="nil"/>
            </w:tcBorders>
            <w:vAlign w:val="center"/>
          </w:tcPr>
          <w:p>
            <w:pPr>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臭气浓度</w:t>
            </w:r>
          </w:p>
        </w:tc>
        <w:tc>
          <w:tcPr>
            <w:tcW w:w="1815"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2765" w:type="dxa"/>
            <w:gridSpan w:val="3"/>
            <w:tcBorders>
              <w:top w:val="single" w:color="auto" w:sz="4" w:space="0"/>
              <w:bottom w:val="single" w:color="auto" w:sz="4" w:space="0"/>
              <w:tl2br w:val="nil"/>
              <w:tr2bl w:val="nil"/>
            </w:tcBorders>
            <w:vAlign w:val="center"/>
          </w:tcPr>
          <w:p>
            <w:pPr>
              <w:autoSpaceDE w:val="0"/>
              <w:autoSpaceDN w:val="0"/>
              <w:jc w:val="center"/>
              <w:rPr>
                <w:rFonts w:hint="default" w:ascii="Times New Roman" w:hAnsi="Times New Roman"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少量</w:t>
            </w:r>
          </w:p>
        </w:tc>
        <w:tc>
          <w:tcPr>
            <w:tcW w:w="1180" w:type="dxa"/>
            <w:tcBorders>
              <w:top w:val="single" w:color="auto" w:sz="4" w:space="0"/>
              <w:bottom w:val="single" w:color="auto" w:sz="4" w:space="0"/>
              <w:tl2br w:val="nil"/>
              <w:tr2bl w:val="nil"/>
            </w:tcBorders>
            <w:vAlign w:val="center"/>
          </w:tcPr>
          <w:p>
            <w:pPr>
              <w:jc w:val="center"/>
              <w:rPr>
                <w:rFonts w:hint="eastAsia" w:ascii="Times New Roman" w:hAnsi="Times New Roman" w:cs="Times New Roman"/>
                <w:color w:val="auto"/>
                <w:kern w:val="24"/>
                <w:sz w:val="21"/>
                <w:szCs w:val="21"/>
                <w:highlight w:val="none"/>
              </w:rPr>
            </w:pPr>
            <w:r>
              <w:rPr>
                <w:rFonts w:hint="eastAsia" w:ascii="Times New Roman" w:hAnsi="Times New Roman" w:cs="Times New Roman"/>
                <w:color w:val="auto"/>
                <w:kern w:val="24"/>
                <w:sz w:val="21"/>
                <w:szCs w:val="21"/>
                <w:highlight w:val="none"/>
              </w:rPr>
              <w:t>&lt;20</w:t>
            </w:r>
          </w:p>
          <w:p>
            <w:pPr>
              <w:jc w:val="center"/>
              <w:rPr>
                <w:rFonts w:hint="eastAsia" w:ascii="Times New Roman" w:hAnsi="Times New Roman" w:cs="Times New Roman"/>
                <w:color w:val="auto"/>
                <w:kern w:val="24"/>
                <w:sz w:val="21"/>
                <w:szCs w:val="21"/>
                <w:highlight w:val="none"/>
              </w:rPr>
            </w:pPr>
            <w:r>
              <w:rPr>
                <w:rFonts w:hint="eastAsia" w:ascii="Times New Roman" w:hAnsi="Times New Roman" w:cs="Times New Roman"/>
                <w:color w:val="auto"/>
                <w:kern w:val="24"/>
                <w:sz w:val="21"/>
                <w:szCs w:val="21"/>
                <w:highlight w:val="none"/>
              </w:rPr>
              <w:t>（无纲量）</w:t>
            </w:r>
          </w:p>
        </w:tc>
        <w:tc>
          <w:tcPr>
            <w:tcW w:w="750"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645"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735"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647"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Times New Roman" w:hAnsi="Times New Roman" w:cs="Times New Roman"/>
                <w:color w:val="auto"/>
                <w:kern w:val="24"/>
                <w:sz w:val="21"/>
                <w:szCs w:val="21"/>
                <w:highlight w:val="none"/>
              </w:rPr>
              <w:t>25</w:t>
            </w:r>
          </w:p>
        </w:tc>
        <w:tc>
          <w:tcPr>
            <w:tcW w:w="705"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36"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767" w:type="dxa"/>
            <w:vMerge w:val="continue"/>
            <w:tcBorders>
              <w:right w:val="single" w:color="auto" w:sz="4" w:space="0"/>
              <w:tl2br w:val="nil"/>
              <w:tr2bl w:val="nil"/>
            </w:tcBorders>
            <w:vAlign w:val="center"/>
          </w:tcPr>
          <w:p>
            <w:pPr>
              <w:jc w:val="center"/>
              <w:rPr>
                <w:rFonts w:hint="eastAsia" w:ascii="Calibri" w:hAnsi="Calibri" w:cs="Times New Roman"/>
                <w:color w:val="auto"/>
                <w:kern w:val="24"/>
                <w:sz w:val="21"/>
                <w:szCs w:val="21"/>
                <w:highlight w:val="none"/>
                <w:lang w:eastAsia="zh-CN"/>
              </w:rPr>
            </w:pPr>
          </w:p>
        </w:tc>
        <w:tc>
          <w:tcPr>
            <w:tcW w:w="937" w:type="dxa"/>
            <w:vMerge w:val="continue"/>
            <w:tcBorders>
              <w:top w:val="single" w:color="auto" w:sz="4" w:space="0"/>
              <w:left w:val="single" w:color="auto" w:sz="4" w:space="0"/>
              <w:bottom w:val="single" w:color="auto" w:sz="4" w:space="0"/>
              <w:tl2br w:val="nil"/>
              <w:tr2bl w:val="nil"/>
            </w:tcBorders>
            <w:vAlign w:val="center"/>
          </w:tcPr>
          <w:p>
            <w:pPr>
              <w:jc w:val="center"/>
              <w:rPr>
                <w:rFonts w:hint="eastAsia" w:ascii="Calibri" w:hAnsi="Calibri" w:cs="Times New Roman"/>
                <w:color w:val="auto"/>
                <w:kern w:val="24"/>
                <w:sz w:val="21"/>
                <w:szCs w:val="21"/>
                <w:highlight w:val="none"/>
                <w:lang w:eastAsia="zh-CN"/>
              </w:rPr>
            </w:pPr>
          </w:p>
        </w:tc>
        <w:tc>
          <w:tcPr>
            <w:tcW w:w="1373" w:type="dxa"/>
            <w:tcBorders>
              <w:bottom w:val="single" w:color="auto" w:sz="4" w:space="0"/>
              <w:tl2br w:val="nil"/>
              <w:tr2bl w:val="nil"/>
            </w:tcBorders>
            <w:vAlign w:val="center"/>
          </w:tcPr>
          <w:p>
            <w:pPr>
              <w:jc w:val="center"/>
              <w:rPr>
                <w:rFonts w:hint="eastAsia" w:ascii="Calibri" w:hAnsi="Calibri" w:cs="Times New Roman"/>
                <w:color w:val="auto"/>
                <w:kern w:val="24"/>
                <w:sz w:val="21"/>
                <w:szCs w:val="21"/>
                <w:highlight w:val="none"/>
                <w:lang w:val="en-US" w:eastAsia="zh-CN"/>
              </w:rPr>
            </w:pPr>
            <w:r>
              <w:rPr>
                <w:rFonts w:hint="eastAsia" w:ascii="Calibri" w:hAnsi="Calibri" w:cs="Times New Roman"/>
                <w:color w:val="auto"/>
                <w:kern w:val="24"/>
                <w:sz w:val="21"/>
                <w:szCs w:val="21"/>
                <w:highlight w:val="none"/>
                <w:lang w:val="en-US" w:eastAsia="zh-CN"/>
              </w:rPr>
              <w:t>/</w:t>
            </w:r>
          </w:p>
        </w:tc>
        <w:tc>
          <w:tcPr>
            <w:tcW w:w="1335" w:type="dxa"/>
            <w:tcBorders>
              <w:bottom w:val="single" w:color="auto" w:sz="4" w:space="0"/>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eastAsia" w:cs="Times New Roman"/>
                <w:color w:val="auto"/>
                <w:sz w:val="21"/>
                <w:szCs w:val="21"/>
                <w:highlight w:val="none"/>
                <w:lang w:eastAsia="zh-CN"/>
              </w:rPr>
            </w:pPr>
            <w:r>
              <w:rPr>
                <w:rFonts w:hint="default" w:ascii="Times New Roman" w:hAnsi="Times New Roman" w:cs="Times New Roman"/>
                <w:color w:val="auto"/>
                <w:sz w:val="21"/>
                <w:szCs w:val="21"/>
                <w:highlight w:val="none"/>
                <w:u w:val="none"/>
                <w:lang w:val="en-US" w:eastAsia="zh-CN"/>
              </w:rPr>
              <w:t>苯乙烯</w:t>
            </w:r>
          </w:p>
        </w:tc>
        <w:tc>
          <w:tcPr>
            <w:tcW w:w="1815"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2765" w:type="dxa"/>
            <w:gridSpan w:val="3"/>
            <w:tcBorders>
              <w:top w:val="single" w:color="auto" w:sz="4" w:space="0"/>
              <w:bottom w:val="single" w:color="auto" w:sz="4" w:space="0"/>
              <w:tl2br w:val="nil"/>
              <w:tr2bl w:val="nil"/>
            </w:tcBorders>
            <w:vAlign w:val="center"/>
          </w:tcPr>
          <w:p>
            <w:pPr>
              <w:autoSpaceDE w:val="0"/>
              <w:autoSpaceDN w:val="0"/>
              <w:jc w:val="center"/>
              <w:rPr>
                <w:rFonts w:hint="eastAsia"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少量</w:t>
            </w:r>
          </w:p>
        </w:tc>
        <w:tc>
          <w:tcPr>
            <w:tcW w:w="1180" w:type="dxa"/>
            <w:tcBorders>
              <w:top w:val="single" w:color="auto" w:sz="4" w:space="0"/>
              <w:bottom w:val="single" w:color="auto" w:sz="4" w:space="0"/>
              <w:tl2br w:val="nil"/>
              <w:tr2bl w:val="nil"/>
            </w:tcBorders>
            <w:vAlign w:val="center"/>
          </w:tcPr>
          <w:p>
            <w:pPr>
              <w:spacing w:line="360" w:lineRule="auto"/>
              <w:jc w:val="center"/>
              <w:rPr>
                <w:rFonts w:hint="eastAsia"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750"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645"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735"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647"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Times New Roman" w:hAnsi="Times New Roman" w:cs="Times New Roman"/>
                <w:color w:val="auto"/>
                <w:kern w:val="24"/>
                <w:sz w:val="21"/>
                <w:szCs w:val="21"/>
                <w:highlight w:val="none"/>
              </w:rPr>
              <w:t>25</w:t>
            </w:r>
          </w:p>
        </w:tc>
        <w:tc>
          <w:tcPr>
            <w:tcW w:w="705"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36"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767" w:type="dxa"/>
            <w:vMerge w:val="continue"/>
            <w:tcBorders>
              <w:right w:val="single" w:color="auto" w:sz="4" w:space="0"/>
              <w:tl2br w:val="nil"/>
              <w:tr2bl w:val="nil"/>
            </w:tcBorders>
            <w:vAlign w:val="center"/>
          </w:tcPr>
          <w:p>
            <w:pPr>
              <w:jc w:val="center"/>
              <w:rPr>
                <w:rFonts w:hint="eastAsia" w:ascii="Calibri" w:hAnsi="Calibri" w:cs="Times New Roman"/>
                <w:color w:val="auto"/>
                <w:kern w:val="24"/>
                <w:sz w:val="21"/>
                <w:szCs w:val="21"/>
                <w:highlight w:val="none"/>
                <w:lang w:eastAsia="zh-CN"/>
              </w:rPr>
            </w:pPr>
          </w:p>
        </w:tc>
        <w:tc>
          <w:tcPr>
            <w:tcW w:w="937" w:type="dxa"/>
            <w:vMerge w:val="continue"/>
            <w:tcBorders>
              <w:top w:val="single" w:color="auto" w:sz="4" w:space="0"/>
              <w:left w:val="single" w:color="auto" w:sz="4" w:space="0"/>
              <w:bottom w:val="single" w:color="auto" w:sz="4" w:space="0"/>
              <w:tl2br w:val="nil"/>
              <w:tr2bl w:val="nil"/>
            </w:tcBorders>
            <w:vAlign w:val="center"/>
          </w:tcPr>
          <w:p>
            <w:pPr>
              <w:jc w:val="center"/>
              <w:rPr>
                <w:rFonts w:hint="eastAsia" w:ascii="Calibri" w:hAnsi="Calibri" w:cs="Times New Roman"/>
                <w:color w:val="auto"/>
                <w:kern w:val="24"/>
                <w:sz w:val="21"/>
                <w:szCs w:val="21"/>
                <w:highlight w:val="none"/>
                <w:lang w:eastAsia="zh-CN"/>
              </w:rPr>
            </w:pPr>
          </w:p>
        </w:tc>
        <w:tc>
          <w:tcPr>
            <w:tcW w:w="1373" w:type="dxa"/>
            <w:tcBorders>
              <w:bottom w:val="single" w:color="auto" w:sz="4" w:space="0"/>
              <w:tl2br w:val="nil"/>
              <w:tr2bl w:val="nil"/>
            </w:tcBorders>
            <w:vAlign w:val="center"/>
          </w:tcPr>
          <w:p>
            <w:pPr>
              <w:jc w:val="center"/>
              <w:rPr>
                <w:rFonts w:hint="eastAsia" w:ascii="Calibri" w:hAnsi="Calibri" w:cs="Times New Roman"/>
                <w:color w:val="auto"/>
                <w:kern w:val="24"/>
                <w:sz w:val="21"/>
                <w:szCs w:val="21"/>
                <w:highlight w:val="none"/>
                <w:lang w:val="en-US" w:eastAsia="zh-CN"/>
              </w:rPr>
            </w:pPr>
            <w:r>
              <w:rPr>
                <w:rFonts w:hint="eastAsia" w:ascii="Calibri" w:hAnsi="Calibri" w:cs="Times New Roman"/>
                <w:color w:val="auto"/>
                <w:kern w:val="24"/>
                <w:sz w:val="21"/>
                <w:szCs w:val="21"/>
                <w:highlight w:val="none"/>
                <w:lang w:val="en-US" w:eastAsia="zh-CN"/>
              </w:rPr>
              <w:t>/</w:t>
            </w:r>
          </w:p>
        </w:tc>
        <w:tc>
          <w:tcPr>
            <w:tcW w:w="1335" w:type="dxa"/>
            <w:tcBorders>
              <w:bottom w:val="single" w:color="auto" w:sz="4" w:space="0"/>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eastAsia" w:cs="Times New Roman"/>
                <w:color w:val="auto"/>
                <w:sz w:val="21"/>
                <w:szCs w:val="21"/>
                <w:highlight w:val="none"/>
                <w:lang w:eastAsia="zh-CN"/>
              </w:rPr>
            </w:pPr>
            <w:r>
              <w:rPr>
                <w:rFonts w:hint="default" w:ascii="Times New Roman" w:hAnsi="Times New Roman" w:cs="Times New Roman"/>
                <w:color w:val="auto"/>
                <w:sz w:val="21"/>
                <w:szCs w:val="21"/>
                <w:highlight w:val="none"/>
                <w:u w:val="none"/>
                <w:lang w:val="en-US" w:eastAsia="zh-CN"/>
              </w:rPr>
              <w:t>丙烯腈</w:t>
            </w:r>
          </w:p>
        </w:tc>
        <w:tc>
          <w:tcPr>
            <w:tcW w:w="1815"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2765" w:type="dxa"/>
            <w:gridSpan w:val="3"/>
            <w:tcBorders>
              <w:top w:val="single" w:color="auto" w:sz="4" w:space="0"/>
              <w:bottom w:val="single" w:color="auto" w:sz="4" w:space="0"/>
              <w:tl2br w:val="nil"/>
              <w:tr2bl w:val="nil"/>
            </w:tcBorders>
            <w:vAlign w:val="center"/>
          </w:tcPr>
          <w:p>
            <w:pPr>
              <w:autoSpaceDE w:val="0"/>
              <w:autoSpaceDN w:val="0"/>
              <w:jc w:val="center"/>
              <w:rPr>
                <w:rFonts w:hint="eastAsia"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少量</w:t>
            </w:r>
          </w:p>
        </w:tc>
        <w:tc>
          <w:tcPr>
            <w:tcW w:w="1180" w:type="dxa"/>
            <w:tcBorders>
              <w:top w:val="single" w:color="auto" w:sz="4" w:space="0"/>
              <w:bottom w:val="single" w:color="auto" w:sz="4" w:space="0"/>
              <w:tl2br w:val="nil"/>
              <w:tr2bl w:val="nil"/>
            </w:tcBorders>
            <w:vAlign w:val="center"/>
          </w:tcPr>
          <w:p>
            <w:pPr>
              <w:spacing w:line="360" w:lineRule="auto"/>
              <w:jc w:val="center"/>
              <w:rPr>
                <w:rFonts w:hint="eastAsia"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750"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645"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735"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647"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Times New Roman" w:hAnsi="Times New Roman" w:cs="Times New Roman"/>
                <w:color w:val="auto"/>
                <w:kern w:val="24"/>
                <w:sz w:val="21"/>
                <w:szCs w:val="21"/>
                <w:highlight w:val="none"/>
              </w:rPr>
              <w:t>25</w:t>
            </w:r>
          </w:p>
        </w:tc>
        <w:tc>
          <w:tcPr>
            <w:tcW w:w="705"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36"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767" w:type="dxa"/>
            <w:vMerge w:val="continue"/>
            <w:tcBorders>
              <w:right w:val="single" w:color="auto" w:sz="4" w:space="0"/>
              <w:tl2br w:val="nil"/>
              <w:tr2bl w:val="nil"/>
            </w:tcBorders>
            <w:vAlign w:val="center"/>
          </w:tcPr>
          <w:p>
            <w:pPr>
              <w:jc w:val="center"/>
              <w:rPr>
                <w:rFonts w:hint="eastAsia" w:ascii="Calibri" w:hAnsi="Calibri" w:cs="Times New Roman"/>
                <w:color w:val="auto"/>
                <w:kern w:val="24"/>
                <w:sz w:val="21"/>
                <w:szCs w:val="21"/>
                <w:highlight w:val="none"/>
                <w:lang w:eastAsia="zh-CN"/>
              </w:rPr>
            </w:pPr>
          </w:p>
        </w:tc>
        <w:tc>
          <w:tcPr>
            <w:tcW w:w="937" w:type="dxa"/>
            <w:vMerge w:val="continue"/>
            <w:tcBorders>
              <w:top w:val="single" w:color="auto" w:sz="4" w:space="0"/>
              <w:left w:val="single" w:color="auto" w:sz="4" w:space="0"/>
              <w:bottom w:val="single" w:color="auto" w:sz="4" w:space="0"/>
              <w:tl2br w:val="nil"/>
              <w:tr2bl w:val="nil"/>
            </w:tcBorders>
            <w:vAlign w:val="center"/>
          </w:tcPr>
          <w:p>
            <w:pPr>
              <w:jc w:val="center"/>
              <w:rPr>
                <w:rFonts w:hint="eastAsia" w:ascii="Calibri" w:hAnsi="Calibri" w:cs="Times New Roman"/>
                <w:color w:val="auto"/>
                <w:kern w:val="24"/>
                <w:sz w:val="21"/>
                <w:szCs w:val="21"/>
                <w:highlight w:val="none"/>
                <w:lang w:eastAsia="zh-CN"/>
              </w:rPr>
            </w:pPr>
          </w:p>
        </w:tc>
        <w:tc>
          <w:tcPr>
            <w:tcW w:w="1373" w:type="dxa"/>
            <w:tcBorders>
              <w:bottom w:val="single" w:color="auto" w:sz="4" w:space="0"/>
              <w:tl2br w:val="nil"/>
              <w:tr2bl w:val="nil"/>
            </w:tcBorders>
            <w:vAlign w:val="center"/>
          </w:tcPr>
          <w:p>
            <w:pPr>
              <w:jc w:val="center"/>
              <w:rPr>
                <w:rFonts w:hint="eastAsia" w:ascii="Calibri" w:hAnsi="Calibri" w:cs="Times New Roman"/>
                <w:color w:val="auto"/>
                <w:kern w:val="24"/>
                <w:sz w:val="21"/>
                <w:szCs w:val="21"/>
                <w:highlight w:val="none"/>
                <w:lang w:val="en-US" w:eastAsia="zh-CN"/>
              </w:rPr>
            </w:pPr>
            <w:r>
              <w:rPr>
                <w:rFonts w:hint="eastAsia" w:ascii="Calibri" w:hAnsi="Calibri" w:cs="Times New Roman"/>
                <w:color w:val="auto"/>
                <w:kern w:val="24"/>
                <w:sz w:val="21"/>
                <w:szCs w:val="21"/>
                <w:highlight w:val="none"/>
                <w:lang w:val="en-US" w:eastAsia="zh-CN"/>
              </w:rPr>
              <w:t>/</w:t>
            </w:r>
          </w:p>
        </w:tc>
        <w:tc>
          <w:tcPr>
            <w:tcW w:w="1335" w:type="dxa"/>
            <w:tcBorders>
              <w:bottom w:val="single" w:color="auto" w:sz="4" w:space="0"/>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eastAsia" w:cs="Times New Roman"/>
                <w:color w:val="auto"/>
                <w:sz w:val="21"/>
                <w:szCs w:val="21"/>
                <w:highlight w:val="none"/>
                <w:lang w:eastAsia="zh-CN"/>
              </w:rPr>
            </w:pPr>
            <w:r>
              <w:rPr>
                <w:rFonts w:hint="default" w:ascii="Times New Roman" w:hAnsi="Times New Roman" w:cs="Times New Roman"/>
                <w:color w:val="auto"/>
                <w:sz w:val="21"/>
                <w:szCs w:val="21"/>
                <w:highlight w:val="none"/>
                <w:u w:val="none"/>
                <w:lang w:val="en-US" w:eastAsia="zh-CN"/>
              </w:rPr>
              <w:t>1,3-丁二烯</w:t>
            </w:r>
          </w:p>
        </w:tc>
        <w:tc>
          <w:tcPr>
            <w:tcW w:w="1815"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2765" w:type="dxa"/>
            <w:gridSpan w:val="3"/>
            <w:tcBorders>
              <w:top w:val="single" w:color="auto" w:sz="4" w:space="0"/>
              <w:bottom w:val="single" w:color="auto" w:sz="4" w:space="0"/>
              <w:tl2br w:val="nil"/>
              <w:tr2bl w:val="nil"/>
            </w:tcBorders>
            <w:vAlign w:val="center"/>
          </w:tcPr>
          <w:p>
            <w:pPr>
              <w:autoSpaceDE w:val="0"/>
              <w:autoSpaceDN w:val="0"/>
              <w:jc w:val="center"/>
              <w:rPr>
                <w:rFonts w:hint="eastAsia"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少量</w:t>
            </w:r>
          </w:p>
        </w:tc>
        <w:tc>
          <w:tcPr>
            <w:tcW w:w="1180" w:type="dxa"/>
            <w:tcBorders>
              <w:top w:val="single" w:color="auto" w:sz="4" w:space="0"/>
              <w:bottom w:val="single" w:color="auto" w:sz="4" w:space="0"/>
              <w:tl2br w:val="nil"/>
              <w:tr2bl w:val="nil"/>
            </w:tcBorders>
            <w:vAlign w:val="center"/>
          </w:tcPr>
          <w:p>
            <w:pPr>
              <w:spacing w:line="360" w:lineRule="auto"/>
              <w:jc w:val="center"/>
              <w:rPr>
                <w:rFonts w:hint="eastAsia"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750"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645"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735"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647"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Times New Roman" w:hAnsi="Times New Roman" w:cs="Times New Roman"/>
                <w:color w:val="auto"/>
                <w:kern w:val="24"/>
                <w:sz w:val="21"/>
                <w:szCs w:val="21"/>
                <w:highlight w:val="none"/>
              </w:rPr>
              <w:t>25</w:t>
            </w:r>
          </w:p>
        </w:tc>
        <w:tc>
          <w:tcPr>
            <w:tcW w:w="705"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36"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767" w:type="dxa"/>
            <w:vMerge w:val="continue"/>
            <w:tcBorders>
              <w:right w:val="single" w:color="auto" w:sz="4" w:space="0"/>
              <w:tl2br w:val="nil"/>
              <w:tr2bl w:val="nil"/>
            </w:tcBorders>
            <w:vAlign w:val="center"/>
          </w:tcPr>
          <w:p>
            <w:pPr>
              <w:jc w:val="center"/>
              <w:rPr>
                <w:rFonts w:hint="eastAsia" w:ascii="Calibri" w:hAnsi="Calibri" w:cs="Times New Roman"/>
                <w:color w:val="auto"/>
                <w:kern w:val="24"/>
                <w:sz w:val="21"/>
                <w:szCs w:val="21"/>
                <w:highlight w:val="none"/>
                <w:lang w:eastAsia="zh-CN"/>
              </w:rPr>
            </w:pPr>
          </w:p>
        </w:tc>
        <w:tc>
          <w:tcPr>
            <w:tcW w:w="937" w:type="dxa"/>
            <w:vMerge w:val="continue"/>
            <w:tcBorders>
              <w:top w:val="single" w:color="auto" w:sz="4" w:space="0"/>
              <w:left w:val="single" w:color="auto" w:sz="4" w:space="0"/>
              <w:bottom w:val="single" w:color="auto" w:sz="4" w:space="0"/>
              <w:tl2br w:val="nil"/>
              <w:tr2bl w:val="nil"/>
            </w:tcBorders>
            <w:vAlign w:val="center"/>
          </w:tcPr>
          <w:p>
            <w:pPr>
              <w:jc w:val="center"/>
              <w:rPr>
                <w:rFonts w:hint="eastAsia" w:ascii="Calibri" w:hAnsi="Calibri" w:cs="Times New Roman"/>
                <w:color w:val="auto"/>
                <w:kern w:val="24"/>
                <w:sz w:val="21"/>
                <w:szCs w:val="21"/>
                <w:highlight w:val="none"/>
                <w:lang w:eastAsia="zh-CN"/>
              </w:rPr>
            </w:pPr>
          </w:p>
        </w:tc>
        <w:tc>
          <w:tcPr>
            <w:tcW w:w="1373" w:type="dxa"/>
            <w:tcBorders>
              <w:bottom w:val="single" w:color="auto" w:sz="4" w:space="0"/>
              <w:tl2br w:val="nil"/>
              <w:tr2bl w:val="nil"/>
            </w:tcBorders>
            <w:vAlign w:val="center"/>
          </w:tcPr>
          <w:p>
            <w:pPr>
              <w:jc w:val="center"/>
              <w:rPr>
                <w:rFonts w:hint="eastAsia" w:ascii="Calibri" w:hAnsi="Calibri" w:cs="Times New Roman"/>
                <w:color w:val="auto"/>
                <w:kern w:val="24"/>
                <w:sz w:val="21"/>
                <w:szCs w:val="21"/>
                <w:highlight w:val="none"/>
                <w:lang w:val="en-US" w:eastAsia="zh-CN"/>
              </w:rPr>
            </w:pPr>
            <w:r>
              <w:rPr>
                <w:rFonts w:hint="eastAsia" w:ascii="Calibri" w:hAnsi="Calibri" w:cs="Times New Roman"/>
                <w:color w:val="auto"/>
                <w:kern w:val="24"/>
                <w:sz w:val="21"/>
                <w:szCs w:val="21"/>
                <w:highlight w:val="none"/>
                <w:lang w:val="en-US" w:eastAsia="zh-CN"/>
              </w:rPr>
              <w:t>/</w:t>
            </w:r>
          </w:p>
        </w:tc>
        <w:tc>
          <w:tcPr>
            <w:tcW w:w="1335" w:type="dxa"/>
            <w:tcBorders>
              <w:bottom w:val="single" w:color="auto" w:sz="4" w:space="0"/>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eastAsia" w:cs="Times New Roman"/>
                <w:color w:val="auto"/>
                <w:sz w:val="21"/>
                <w:szCs w:val="21"/>
                <w:highlight w:val="none"/>
                <w:lang w:eastAsia="zh-CN"/>
              </w:rPr>
            </w:pPr>
            <w:r>
              <w:rPr>
                <w:rFonts w:hint="default" w:ascii="Times New Roman" w:hAnsi="Times New Roman" w:cs="Times New Roman"/>
                <w:color w:val="auto"/>
                <w:sz w:val="21"/>
                <w:szCs w:val="21"/>
                <w:highlight w:val="none"/>
                <w:u w:val="none"/>
                <w:lang w:val="en-US" w:eastAsia="zh-CN"/>
              </w:rPr>
              <w:t>甲苯</w:t>
            </w:r>
          </w:p>
        </w:tc>
        <w:tc>
          <w:tcPr>
            <w:tcW w:w="1815"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2765" w:type="dxa"/>
            <w:gridSpan w:val="3"/>
            <w:tcBorders>
              <w:top w:val="single" w:color="auto" w:sz="4" w:space="0"/>
              <w:bottom w:val="single" w:color="auto" w:sz="4" w:space="0"/>
              <w:tl2br w:val="nil"/>
              <w:tr2bl w:val="nil"/>
            </w:tcBorders>
            <w:vAlign w:val="center"/>
          </w:tcPr>
          <w:p>
            <w:pPr>
              <w:autoSpaceDE w:val="0"/>
              <w:autoSpaceDN w:val="0"/>
              <w:jc w:val="center"/>
              <w:rPr>
                <w:rFonts w:hint="eastAsia"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少量</w:t>
            </w:r>
          </w:p>
        </w:tc>
        <w:tc>
          <w:tcPr>
            <w:tcW w:w="1180" w:type="dxa"/>
            <w:tcBorders>
              <w:top w:val="single" w:color="auto" w:sz="4" w:space="0"/>
              <w:bottom w:val="single" w:color="auto" w:sz="4" w:space="0"/>
              <w:tl2br w:val="nil"/>
              <w:tr2bl w:val="nil"/>
            </w:tcBorders>
            <w:vAlign w:val="center"/>
          </w:tcPr>
          <w:p>
            <w:pPr>
              <w:pStyle w:val="47"/>
              <w:spacing w:line="360" w:lineRule="auto"/>
              <w:jc w:val="center"/>
              <w:rPr>
                <w:rFonts w:hint="default" w:ascii="Times New Roman" w:hAnsi="Times New Roman" w:cs="Times New Roman"/>
                <w:color w:val="auto"/>
                <w:kern w:val="24"/>
                <w:sz w:val="21"/>
                <w:szCs w:val="21"/>
                <w:highlight w:val="none"/>
                <w:lang w:val="en-US"/>
              </w:rPr>
            </w:pPr>
            <w:r>
              <w:rPr>
                <w:rFonts w:hint="eastAsia" w:ascii="Times New Roman" w:cs="Times New Roman"/>
                <w:color w:val="auto"/>
                <w:sz w:val="21"/>
                <w:szCs w:val="21"/>
                <w:highlight w:val="none"/>
                <w:lang w:val="en-US" w:eastAsia="zh-CN"/>
              </w:rPr>
              <w:t>0.8</w:t>
            </w:r>
          </w:p>
        </w:tc>
        <w:tc>
          <w:tcPr>
            <w:tcW w:w="750"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645"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735"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647"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Times New Roman" w:hAnsi="Times New Roman" w:cs="Times New Roman"/>
                <w:color w:val="auto"/>
                <w:kern w:val="24"/>
                <w:sz w:val="21"/>
                <w:szCs w:val="21"/>
                <w:highlight w:val="none"/>
              </w:rPr>
              <w:t>25</w:t>
            </w:r>
          </w:p>
        </w:tc>
        <w:tc>
          <w:tcPr>
            <w:tcW w:w="705"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36"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767" w:type="dxa"/>
            <w:vMerge w:val="continue"/>
            <w:tcBorders>
              <w:bottom w:val="single" w:color="auto" w:sz="4" w:space="0"/>
              <w:right w:val="single" w:color="auto" w:sz="4" w:space="0"/>
              <w:tl2br w:val="nil"/>
              <w:tr2bl w:val="nil"/>
            </w:tcBorders>
            <w:vAlign w:val="center"/>
          </w:tcPr>
          <w:p>
            <w:pPr>
              <w:jc w:val="center"/>
              <w:rPr>
                <w:rFonts w:hint="eastAsia" w:ascii="Calibri" w:hAnsi="Calibri" w:cs="Times New Roman"/>
                <w:color w:val="auto"/>
                <w:kern w:val="24"/>
                <w:sz w:val="21"/>
                <w:szCs w:val="21"/>
                <w:highlight w:val="none"/>
                <w:lang w:eastAsia="zh-CN"/>
              </w:rPr>
            </w:pPr>
          </w:p>
        </w:tc>
        <w:tc>
          <w:tcPr>
            <w:tcW w:w="937" w:type="dxa"/>
            <w:vMerge w:val="continue"/>
            <w:tcBorders>
              <w:top w:val="single" w:color="auto" w:sz="4" w:space="0"/>
              <w:left w:val="single" w:color="auto" w:sz="4" w:space="0"/>
              <w:bottom w:val="single" w:color="auto" w:sz="4" w:space="0"/>
              <w:tl2br w:val="nil"/>
              <w:tr2bl w:val="nil"/>
            </w:tcBorders>
            <w:vAlign w:val="center"/>
          </w:tcPr>
          <w:p>
            <w:pPr>
              <w:jc w:val="center"/>
              <w:rPr>
                <w:rFonts w:hint="eastAsia" w:ascii="Calibri" w:hAnsi="Calibri" w:cs="Times New Roman"/>
                <w:color w:val="auto"/>
                <w:kern w:val="24"/>
                <w:sz w:val="21"/>
                <w:szCs w:val="21"/>
                <w:highlight w:val="none"/>
                <w:lang w:eastAsia="zh-CN"/>
              </w:rPr>
            </w:pPr>
          </w:p>
        </w:tc>
        <w:tc>
          <w:tcPr>
            <w:tcW w:w="1373" w:type="dxa"/>
            <w:tcBorders>
              <w:bottom w:val="single" w:color="auto" w:sz="4" w:space="0"/>
              <w:tl2br w:val="nil"/>
              <w:tr2bl w:val="nil"/>
            </w:tcBorders>
            <w:vAlign w:val="center"/>
          </w:tcPr>
          <w:p>
            <w:pPr>
              <w:jc w:val="center"/>
              <w:rPr>
                <w:rFonts w:hint="eastAsia" w:ascii="Calibri" w:hAnsi="Calibri" w:cs="Times New Roman"/>
                <w:color w:val="auto"/>
                <w:kern w:val="24"/>
                <w:sz w:val="21"/>
                <w:szCs w:val="21"/>
                <w:highlight w:val="none"/>
                <w:lang w:val="en-US" w:eastAsia="zh-CN"/>
              </w:rPr>
            </w:pPr>
            <w:r>
              <w:rPr>
                <w:rFonts w:hint="eastAsia" w:ascii="Calibri" w:hAnsi="Calibri" w:cs="Times New Roman"/>
                <w:color w:val="auto"/>
                <w:kern w:val="24"/>
                <w:sz w:val="21"/>
                <w:szCs w:val="21"/>
                <w:highlight w:val="none"/>
                <w:lang w:val="en-US" w:eastAsia="zh-CN"/>
              </w:rPr>
              <w:t>/</w:t>
            </w:r>
          </w:p>
        </w:tc>
        <w:tc>
          <w:tcPr>
            <w:tcW w:w="1335" w:type="dxa"/>
            <w:tcBorders>
              <w:bottom w:val="single" w:color="auto" w:sz="4" w:space="0"/>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40" w:lineRule="auto"/>
              <w:ind w:left="0" w:leftChars="0" w:right="0" w:rightChars="0"/>
              <w:jc w:val="center"/>
              <w:outlineLvl w:val="9"/>
              <w:rPr>
                <w:rFonts w:hint="eastAsia" w:cs="Times New Roman"/>
                <w:color w:val="auto"/>
                <w:sz w:val="21"/>
                <w:szCs w:val="21"/>
                <w:highlight w:val="none"/>
                <w:lang w:eastAsia="zh-CN"/>
              </w:rPr>
            </w:pPr>
            <w:r>
              <w:rPr>
                <w:rFonts w:hint="default" w:ascii="Times New Roman" w:hAnsi="Times New Roman" w:cs="Times New Roman"/>
                <w:color w:val="auto"/>
                <w:sz w:val="21"/>
                <w:szCs w:val="21"/>
                <w:highlight w:val="none"/>
                <w:u w:val="none"/>
                <w:lang w:val="en-US" w:eastAsia="zh-CN"/>
              </w:rPr>
              <w:t>乙苯</w:t>
            </w:r>
          </w:p>
        </w:tc>
        <w:tc>
          <w:tcPr>
            <w:tcW w:w="1815" w:type="dxa"/>
            <w:vMerge w:val="continue"/>
            <w:tcBorders>
              <w:bottom w:val="single" w:color="auto" w:sz="4" w:space="0"/>
              <w:tl2br w:val="nil"/>
              <w:tr2bl w:val="nil"/>
            </w:tcBorders>
            <w:vAlign w:val="center"/>
          </w:tcPr>
          <w:p>
            <w:pPr>
              <w:jc w:val="center"/>
              <w:rPr>
                <w:rFonts w:ascii="Calibri" w:hAnsi="Calibri" w:cs="Times New Roman"/>
                <w:color w:val="auto"/>
                <w:kern w:val="24"/>
                <w:sz w:val="21"/>
                <w:szCs w:val="21"/>
                <w:highlight w:val="none"/>
              </w:rPr>
            </w:pPr>
          </w:p>
        </w:tc>
        <w:tc>
          <w:tcPr>
            <w:tcW w:w="2765" w:type="dxa"/>
            <w:gridSpan w:val="3"/>
            <w:tcBorders>
              <w:top w:val="single" w:color="auto" w:sz="4" w:space="0"/>
              <w:bottom w:val="single" w:color="auto" w:sz="4" w:space="0"/>
              <w:tl2br w:val="nil"/>
              <w:tr2bl w:val="nil"/>
            </w:tcBorders>
            <w:vAlign w:val="center"/>
          </w:tcPr>
          <w:p>
            <w:pPr>
              <w:autoSpaceDE w:val="0"/>
              <w:autoSpaceDN w:val="0"/>
              <w:jc w:val="center"/>
              <w:rPr>
                <w:rFonts w:hint="eastAsia"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少量</w:t>
            </w:r>
          </w:p>
        </w:tc>
        <w:tc>
          <w:tcPr>
            <w:tcW w:w="1180" w:type="dxa"/>
            <w:tcBorders>
              <w:top w:val="single" w:color="auto" w:sz="4" w:space="0"/>
              <w:bottom w:val="single" w:color="auto" w:sz="4" w:space="0"/>
              <w:tl2br w:val="nil"/>
              <w:tr2bl w:val="nil"/>
            </w:tcBorders>
            <w:vAlign w:val="center"/>
          </w:tcPr>
          <w:p>
            <w:pPr>
              <w:pStyle w:val="47"/>
              <w:spacing w:line="360" w:lineRule="auto"/>
              <w:jc w:val="center"/>
              <w:rPr>
                <w:rFonts w:hint="eastAsia"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750"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645"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735" w:type="dxa"/>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647"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Times New Roman" w:hAnsi="Times New Roman" w:cs="Times New Roman"/>
                <w:color w:val="auto"/>
                <w:kern w:val="24"/>
                <w:sz w:val="21"/>
                <w:szCs w:val="21"/>
                <w:highlight w:val="none"/>
              </w:rPr>
              <w:t>25</w:t>
            </w:r>
          </w:p>
        </w:tc>
        <w:tc>
          <w:tcPr>
            <w:tcW w:w="705" w:type="dxa"/>
            <w:tcBorders>
              <w:top w:val="single" w:color="auto" w:sz="4" w:space="0"/>
              <w:bottom w:val="single" w:color="auto" w:sz="4" w:space="0"/>
              <w:tl2br w:val="nil"/>
              <w:tr2bl w:val="nil"/>
            </w:tcBorders>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36"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1704" w:type="dxa"/>
            <w:gridSpan w:val="2"/>
            <w:tcBorders>
              <w:top w:val="single" w:color="auto" w:sz="4" w:space="0"/>
              <w:bottom w:val="single" w:color="auto" w:sz="4" w:space="0"/>
              <w:tl2br w:val="nil"/>
              <w:tr2bl w:val="nil"/>
            </w:tcBorders>
            <w:vAlign w:val="center"/>
          </w:tcPr>
          <w:p>
            <w:pPr>
              <w:jc w:val="center"/>
              <w:rPr>
                <w:rFonts w:hint="eastAsia" w:ascii="Calibri" w:hAnsi="Calibri" w:eastAsia="宋体" w:cs="Times New Roman"/>
                <w:color w:val="auto"/>
                <w:kern w:val="24"/>
                <w:sz w:val="21"/>
                <w:szCs w:val="21"/>
                <w:highlight w:val="none"/>
                <w:lang w:eastAsia="zh-CN"/>
              </w:rPr>
            </w:pPr>
            <w:r>
              <w:rPr>
                <w:rFonts w:hint="eastAsia" w:ascii="Calibri" w:hAnsi="Calibri" w:cs="Times New Roman"/>
                <w:color w:val="auto"/>
                <w:kern w:val="24"/>
                <w:sz w:val="21"/>
                <w:szCs w:val="21"/>
                <w:highlight w:val="none"/>
              </w:rPr>
              <w:t>破碎工序</w:t>
            </w:r>
          </w:p>
        </w:tc>
        <w:tc>
          <w:tcPr>
            <w:tcW w:w="1373" w:type="dxa"/>
            <w:tcBorders>
              <w:top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1335" w:type="dxa"/>
            <w:tcBorders>
              <w:top w:val="single" w:color="auto" w:sz="4" w:space="0"/>
              <w:tl2br w:val="nil"/>
              <w:tr2bl w:val="nil"/>
            </w:tcBorders>
            <w:vAlign w:val="center"/>
          </w:tcPr>
          <w:p>
            <w:pPr>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颗粒物</w:t>
            </w:r>
          </w:p>
        </w:tc>
        <w:tc>
          <w:tcPr>
            <w:tcW w:w="1815" w:type="dxa"/>
            <w:tcBorders>
              <w:top w:val="single" w:color="auto" w:sz="4" w:space="0"/>
              <w:tl2br w:val="nil"/>
              <w:tr2bl w:val="nil"/>
            </w:tcBorders>
            <w:vAlign w:val="center"/>
          </w:tcPr>
          <w:p>
            <w:pPr>
              <w:jc w:val="center"/>
              <w:rPr>
                <w:rFonts w:hint="eastAsia" w:ascii="Calibri" w:hAnsi="Calibri" w:cs="Times New Roman"/>
                <w:color w:val="auto"/>
                <w:sz w:val="21"/>
                <w:szCs w:val="21"/>
                <w:highlight w:val="none"/>
              </w:rPr>
            </w:pPr>
            <w:r>
              <w:rPr>
                <w:rFonts w:hint="eastAsia" w:ascii="Calibri" w:hAnsi="Calibri" w:cs="Times New Roman"/>
                <w:color w:val="auto"/>
                <w:sz w:val="21"/>
                <w:szCs w:val="21"/>
                <w:highlight w:val="none"/>
              </w:rPr>
              <w:t>加强车间机械通风措施</w:t>
            </w:r>
          </w:p>
        </w:tc>
        <w:tc>
          <w:tcPr>
            <w:tcW w:w="1125" w:type="dxa"/>
            <w:tcBorders>
              <w:top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846" w:type="dxa"/>
            <w:tcBorders>
              <w:top w:val="single" w:color="auto" w:sz="4" w:space="0"/>
              <w:tl2br w:val="nil"/>
              <w:tr2bl w:val="nil"/>
            </w:tcBorders>
            <w:vAlign w:val="center"/>
          </w:tcPr>
          <w:p>
            <w:pPr>
              <w:autoSpaceDE w:val="0"/>
              <w:autoSpaceDN w:val="0"/>
              <w:jc w:val="center"/>
              <w:rPr>
                <w:rFonts w:hint="default" w:ascii="Times New Roman" w:hAnsi="Times New Roman" w:eastAsia="宋体"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0.005</w:t>
            </w:r>
          </w:p>
        </w:tc>
        <w:tc>
          <w:tcPr>
            <w:tcW w:w="794" w:type="dxa"/>
            <w:tcBorders>
              <w:top w:val="single" w:color="auto" w:sz="4" w:space="0"/>
              <w:tl2br w:val="nil"/>
              <w:tr2bl w:val="nil"/>
            </w:tcBorders>
            <w:vAlign w:val="center"/>
          </w:tcPr>
          <w:p>
            <w:pPr>
              <w:autoSpaceDE w:val="0"/>
              <w:autoSpaceDN w:val="0"/>
              <w:jc w:val="center"/>
              <w:rPr>
                <w:rFonts w:hint="default" w:ascii="Times New Roman" w:hAnsi="Times New Roman" w:eastAsia="宋体" w:cs="Times New Roman"/>
                <w:color w:val="auto"/>
                <w:kern w:val="24"/>
                <w:sz w:val="21"/>
                <w:szCs w:val="21"/>
                <w:highlight w:val="none"/>
                <w:lang w:val="en-US" w:eastAsia="zh-CN"/>
              </w:rPr>
            </w:pPr>
            <w:r>
              <w:rPr>
                <w:rFonts w:hint="eastAsia" w:ascii="Times New Roman" w:hAnsi="Times New Roman" w:cs="Times New Roman"/>
                <w:color w:val="auto"/>
                <w:kern w:val="24"/>
                <w:sz w:val="21"/>
                <w:szCs w:val="21"/>
                <w:highlight w:val="none"/>
                <w:lang w:val="en-US" w:eastAsia="zh-CN"/>
              </w:rPr>
              <w:t>0.002</w:t>
            </w:r>
          </w:p>
        </w:tc>
        <w:tc>
          <w:tcPr>
            <w:tcW w:w="1180" w:type="dxa"/>
            <w:tcBorders>
              <w:top w:val="single" w:color="auto" w:sz="4" w:space="0"/>
              <w:tl2br w:val="nil"/>
              <w:tr2bl w:val="nil"/>
            </w:tcBorders>
            <w:vAlign w:val="center"/>
          </w:tcPr>
          <w:p>
            <w:pPr>
              <w:jc w:val="center"/>
              <w:rPr>
                <w:rFonts w:hint="eastAsia" w:ascii="Times New Roman" w:hAnsi="Times New Roman" w:cs="Times New Roman"/>
                <w:color w:val="auto"/>
                <w:kern w:val="24"/>
                <w:sz w:val="21"/>
                <w:szCs w:val="21"/>
                <w:highlight w:val="none"/>
              </w:rPr>
            </w:pPr>
            <w:r>
              <w:rPr>
                <w:rFonts w:hint="eastAsia" w:ascii="Times New Roman" w:hAnsi="Times New Roman" w:cs="Times New Roman"/>
                <w:color w:val="auto"/>
                <w:kern w:val="24"/>
                <w:sz w:val="21"/>
                <w:szCs w:val="21"/>
                <w:highlight w:val="none"/>
              </w:rPr>
              <w:t>1.0</w:t>
            </w:r>
          </w:p>
        </w:tc>
        <w:tc>
          <w:tcPr>
            <w:tcW w:w="750" w:type="dxa"/>
            <w:tcBorders>
              <w:top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645" w:type="dxa"/>
            <w:tcBorders>
              <w:top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735" w:type="dxa"/>
            <w:tcBorders>
              <w:top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647" w:type="dxa"/>
            <w:tcBorders>
              <w:top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Times New Roman" w:hAnsi="Times New Roman" w:cs="Times New Roman"/>
                <w:color w:val="auto"/>
                <w:kern w:val="24"/>
                <w:sz w:val="21"/>
                <w:szCs w:val="21"/>
                <w:highlight w:val="none"/>
              </w:rPr>
              <w:t>25</w:t>
            </w:r>
          </w:p>
        </w:tc>
        <w:tc>
          <w:tcPr>
            <w:tcW w:w="705" w:type="dxa"/>
            <w:tcBorders>
              <w:top w:val="single" w:color="auto" w:sz="4" w:space="0"/>
              <w:tl2br w:val="nil"/>
              <w:tr2bl w:val="nil"/>
            </w:tcBorders>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1" w:hRule="atLeast"/>
          <w:jc w:val="center"/>
        </w:trPr>
        <w:tc>
          <w:tcPr>
            <w:tcW w:w="536" w:type="dxa"/>
            <w:vMerge w:val="restart"/>
            <w:tcBorders>
              <w:top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废水</w:t>
            </w:r>
          </w:p>
        </w:tc>
        <w:tc>
          <w:tcPr>
            <w:tcW w:w="1704" w:type="dxa"/>
            <w:gridSpan w:val="2"/>
            <w:vMerge w:val="restart"/>
            <w:tcBorders>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Times New Roman" w:hAnsi="Times New Roman" w:cs="Times New Roman"/>
                <w:color w:val="auto"/>
                <w:kern w:val="24"/>
                <w:sz w:val="21"/>
                <w:szCs w:val="21"/>
                <w:highlight w:val="none"/>
              </w:rPr>
              <w:t>生活污水</w:t>
            </w:r>
          </w:p>
        </w:tc>
        <w:tc>
          <w:tcPr>
            <w:tcW w:w="1373" w:type="dxa"/>
            <w:vMerge w:val="restart"/>
            <w:tcBorders>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hint="eastAsia" w:cs="Times New Roman"/>
                <w:color w:val="auto"/>
                <w:kern w:val="0"/>
                <w:sz w:val="21"/>
                <w:szCs w:val="21"/>
                <w:highlight w:val="none"/>
                <w:lang w:val="en-US" w:eastAsia="zh-CN"/>
              </w:rPr>
              <w:t>108</w:t>
            </w:r>
            <w:r>
              <w:rPr>
                <w:rFonts w:ascii="Times New Roman" w:hAnsi="Times New Roman" w:cs="Times New Roman"/>
                <w:color w:val="auto"/>
                <w:kern w:val="0"/>
                <w:sz w:val="21"/>
                <w:szCs w:val="21"/>
                <w:highlight w:val="none"/>
              </w:rPr>
              <w:t>m</w:t>
            </w:r>
            <w:r>
              <w:rPr>
                <w:rFonts w:ascii="Times New Roman" w:hAnsi="Times New Roman" w:cs="Times New Roman"/>
                <w:color w:val="auto"/>
                <w:kern w:val="0"/>
                <w:sz w:val="21"/>
                <w:szCs w:val="21"/>
                <w:highlight w:val="none"/>
                <w:vertAlign w:val="superscript"/>
              </w:rPr>
              <w:t>3</w:t>
            </w:r>
            <w:r>
              <w:rPr>
                <w:rFonts w:ascii="Times New Roman" w:hAnsi="Times New Roman" w:cs="Times New Roman"/>
                <w:color w:val="auto"/>
                <w:kern w:val="0"/>
                <w:sz w:val="21"/>
                <w:szCs w:val="21"/>
                <w:highlight w:val="none"/>
              </w:rPr>
              <w:t>/a</w:t>
            </w:r>
          </w:p>
        </w:tc>
        <w:tc>
          <w:tcPr>
            <w:tcW w:w="1335" w:type="dxa"/>
            <w:tcBorders>
              <w:bottom w:val="single" w:color="auto" w:sz="4" w:space="0"/>
              <w:tl2br w:val="nil"/>
              <w:tr2bl w:val="nil"/>
            </w:tcBorders>
            <w:vAlign w:val="center"/>
          </w:tcPr>
          <w:p>
            <w:pPr>
              <w:widowControl/>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COD</w:t>
            </w:r>
            <w:r>
              <w:rPr>
                <w:rFonts w:ascii="Times New Roman" w:hAnsi="Times New Roman" w:cs="Times New Roman"/>
                <w:color w:val="auto"/>
                <w:sz w:val="21"/>
                <w:szCs w:val="21"/>
                <w:highlight w:val="none"/>
                <w:vertAlign w:val="subscript"/>
              </w:rPr>
              <w:t>Cr</w:t>
            </w:r>
          </w:p>
        </w:tc>
        <w:tc>
          <w:tcPr>
            <w:tcW w:w="1815" w:type="dxa"/>
            <w:vMerge w:val="restart"/>
            <w:tcBorders>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hint="eastAsia" w:ascii="Times New Roman" w:hAnsi="Times New Roman" w:cs="Times New Roman"/>
                <w:color w:val="auto"/>
                <w:kern w:val="24"/>
                <w:sz w:val="21"/>
                <w:szCs w:val="21"/>
                <w:highlight w:val="none"/>
              </w:rPr>
              <w:t>经三级化粪池处理后排放到市政污水管网，引至开平市水口污水处理厂处理</w:t>
            </w:r>
          </w:p>
        </w:tc>
        <w:tc>
          <w:tcPr>
            <w:tcW w:w="1125" w:type="dxa"/>
            <w:tcBorders>
              <w:bottom w:val="single" w:color="auto" w:sz="4" w:space="0"/>
              <w:tl2br w:val="nil"/>
              <w:tr2bl w:val="nil"/>
            </w:tcBorders>
            <w:vAlign w:val="center"/>
          </w:tcPr>
          <w:p>
            <w:pPr>
              <w:autoSpaceDE w:val="0"/>
              <w:autoSpaceDN w:val="0"/>
              <w:jc w:val="center"/>
              <w:rPr>
                <w:rFonts w:hint="default" w:ascii="Times New Roman" w:hAnsi="Times New Roman" w:eastAsia="宋体" w:cs="Times New Roman"/>
                <w:color w:val="auto"/>
                <w:kern w:val="24"/>
                <w:sz w:val="21"/>
                <w:szCs w:val="21"/>
                <w:highlight w:val="none"/>
                <w:lang w:val="en-US" w:eastAsia="zh-CN"/>
              </w:rPr>
            </w:pPr>
            <w:r>
              <w:rPr>
                <w:rFonts w:hint="eastAsia" w:ascii="Times New Roman" w:hAnsi="Times New Roman" w:cs="Times New Roman"/>
                <w:color w:val="auto"/>
                <w:kern w:val="24"/>
                <w:sz w:val="21"/>
                <w:szCs w:val="21"/>
                <w:highlight w:val="none"/>
                <w:lang w:val="en-US" w:eastAsia="zh-CN"/>
              </w:rPr>
              <w:t>200</w:t>
            </w:r>
          </w:p>
        </w:tc>
        <w:tc>
          <w:tcPr>
            <w:tcW w:w="846" w:type="dxa"/>
            <w:tcBorders>
              <w:bottom w:val="single" w:color="auto" w:sz="4" w:space="0"/>
              <w:tl2br w:val="nil"/>
              <w:tr2bl w:val="nil"/>
            </w:tcBorders>
            <w:vAlign w:val="center"/>
          </w:tcPr>
          <w:p>
            <w:pPr>
              <w:widowControl/>
              <w:jc w:val="center"/>
              <w:textAlignment w:val="center"/>
              <w:rPr>
                <w:rFonts w:ascii="Times New Roman" w:hAnsi="Times New Roman" w:cs="Times New Roman"/>
                <w:color w:val="auto"/>
                <w:sz w:val="21"/>
                <w:szCs w:val="21"/>
                <w:highlight w:val="none"/>
              </w:rPr>
            </w:pPr>
            <w:r>
              <w:rPr>
                <w:color w:val="auto"/>
                <w:kern w:val="0"/>
                <w:szCs w:val="21"/>
                <w:highlight w:val="none"/>
                <w:lang w:bidi="ar"/>
              </w:rPr>
              <w:t xml:space="preserve">0.022 </w:t>
            </w:r>
          </w:p>
        </w:tc>
        <w:tc>
          <w:tcPr>
            <w:tcW w:w="794" w:type="dxa"/>
            <w:tcBorders>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1180" w:type="dxa"/>
            <w:tcBorders>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hint="eastAsia" w:ascii="Times New Roman" w:hAnsi="Times New Roman" w:cs="Times New Roman"/>
                <w:color w:val="auto"/>
                <w:sz w:val="21"/>
                <w:szCs w:val="21"/>
                <w:highlight w:val="none"/>
              </w:rPr>
              <w:t>500</w:t>
            </w:r>
          </w:p>
        </w:tc>
        <w:tc>
          <w:tcPr>
            <w:tcW w:w="750" w:type="dxa"/>
            <w:tcBorders>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645" w:type="dxa"/>
            <w:tcBorders>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735" w:type="dxa"/>
            <w:tcBorders>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647" w:type="dxa"/>
            <w:tcBorders>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705" w:type="dxa"/>
            <w:vMerge w:val="restart"/>
            <w:tcBorders>
              <w:bottom w:val="single" w:color="auto" w:sz="4" w:space="0"/>
              <w:tl2br w:val="nil"/>
              <w:tr2bl w:val="nil"/>
            </w:tcBorders>
            <w:vAlign w:val="center"/>
          </w:tcPr>
          <w:p>
            <w:pPr>
              <w:jc w:val="center"/>
              <w:rPr>
                <w:rFonts w:ascii="Times New Roman" w:hAnsi="Times New Roman" w:cs="Times New Roman"/>
                <w:color w:val="auto"/>
                <w:kern w:val="24"/>
                <w:sz w:val="21"/>
                <w:szCs w:val="21"/>
                <w:highlight w:val="none"/>
              </w:rPr>
            </w:pPr>
            <w:r>
              <w:rPr>
                <w:rFonts w:ascii="Times New Roman" w:hAnsi="Times New Roman" w:cs="Times New Roman"/>
                <w:color w:val="auto"/>
                <w:kern w:val="24"/>
                <w:sz w:val="21"/>
                <w:szCs w:val="21"/>
                <w:highlight w:val="none"/>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11" w:hRule="atLeast"/>
          <w:jc w:val="center"/>
        </w:trPr>
        <w:tc>
          <w:tcPr>
            <w:tcW w:w="536"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1704" w:type="dxa"/>
            <w:gridSpan w:val="2"/>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1373"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1335" w:type="dxa"/>
            <w:tcBorders>
              <w:tl2br w:val="nil"/>
              <w:tr2bl w:val="nil"/>
            </w:tcBorders>
            <w:vAlign w:val="center"/>
          </w:tcPr>
          <w:p>
            <w:pPr>
              <w:widowControl/>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BOD</w:t>
            </w:r>
            <w:r>
              <w:rPr>
                <w:rFonts w:ascii="Times New Roman" w:hAnsi="Times New Roman" w:cs="Times New Roman"/>
                <w:color w:val="auto"/>
                <w:sz w:val="21"/>
                <w:szCs w:val="21"/>
                <w:highlight w:val="none"/>
                <w:vertAlign w:val="subscript"/>
              </w:rPr>
              <w:t>5</w:t>
            </w:r>
          </w:p>
        </w:tc>
        <w:tc>
          <w:tcPr>
            <w:tcW w:w="1815" w:type="dxa"/>
            <w:vMerge w:val="continue"/>
            <w:tcBorders>
              <w:tl2br w:val="nil"/>
              <w:tr2bl w:val="nil"/>
            </w:tcBorders>
            <w:vAlign w:val="center"/>
          </w:tcPr>
          <w:p>
            <w:pPr>
              <w:jc w:val="center"/>
              <w:rPr>
                <w:rFonts w:ascii="Times New Roman" w:hAnsi="Times New Roman" w:cs="Times New Roman"/>
                <w:color w:val="auto"/>
                <w:kern w:val="24"/>
                <w:sz w:val="21"/>
                <w:szCs w:val="21"/>
                <w:highlight w:val="none"/>
              </w:rPr>
            </w:pPr>
          </w:p>
        </w:tc>
        <w:tc>
          <w:tcPr>
            <w:tcW w:w="1125" w:type="dxa"/>
            <w:tcBorders>
              <w:tl2br w:val="nil"/>
              <w:tr2bl w:val="nil"/>
            </w:tcBorders>
            <w:vAlign w:val="center"/>
          </w:tcPr>
          <w:p>
            <w:pPr>
              <w:autoSpaceDE w:val="0"/>
              <w:autoSpaceDN w:val="0"/>
              <w:jc w:val="center"/>
              <w:rPr>
                <w:rFonts w:hint="default" w:ascii="Times New Roman" w:hAnsi="Times New Roman" w:eastAsia="宋体" w:cs="Times New Roman"/>
                <w:color w:val="auto"/>
                <w:kern w:val="24"/>
                <w:sz w:val="21"/>
                <w:szCs w:val="21"/>
                <w:highlight w:val="none"/>
                <w:lang w:val="en-US" w:eastAsia="zh-CN"/>
              </w:rPr>
            </w:pPr>
            <w:r>
              <w:rPr>
                <w:rFonts w:hint="eastAsia" w:ascii="Times New Roman" w:hAnsi="Times New Roman" w:cs="Times New Roman"/>
                <w:color w:val="auto"/>
                <w:kern w:val="24"/>
                <w:sz w:val="21"/>
                <w:szCs w:val="21"/>
                <w:highlight w:val="none"/>
                <w:lang w:val="en-US" w:eastAsia="zh-CN"/>
              </w:rPr>
              <w:t>120</w:t>
            </w:r>
          </w:p>
        </w:tc>
        <w:tc>
          <w:tcPr>
            <w:tcW w:w="846" w:type="dxa"/>
            <w:tcBorders>
              <w:tl2br w:val="nil"/>
              <w:tr2bl w:val="nil"/>
            </w:tcBorders>
            <w:vAlign w:val="center"/>
          </w:tcPr>
          <w:p>
            <w:pPr>
              <w:widowControl/>
              <w:jc w:val="center"/>
              <w:textAlignment w:val="center"/>
              <w:rPr>
                <w:rFonts w:ascii="Times New Roman" w:hAnsi="Times New Roman" w:cs="Times New Roman"/>
                <w:color w:val="auto"/>
                <w:sz w:val="21"/>
                <w:szCs w:val="21"/>
                <w:highlight w:val="none"/>
              </w:rPr>
            </w:pPr>
            <w:r>
              <w:rPr>
                <w:color w:val="auto"/>
                <w:kern w:val="0"/>
                <w:szCs w:val="21"/>
                <w:highlight w:val="none"/>
                <w:lang w:bidi="ar"/>
              </w:rPr>
              <w:t xml:space="preserve">0.013 </w:t>
            </w:r>
          </w:p>
        </w:tc>
        <w:tc>
          <w:tcPr>
            <w:tcW w:w="794"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1180"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hint="eastAsia" w:ascii="Times New Roman" w:hAnsi="Times New Roman" w:cs="Times New Roman"/>
                <w:color w:val="auto"/>
                <w:sz w:val="21"/>
                <w:szCs w:val="21"/>
                <w:highlight w:val="none"/>
              </w:rPr>
              <w:t>300</w:t>
            </w:r>
          </w:p>
        </w:tc>
        <w:tc>
          <w:tcPr>
            <w:tcW w:w="750"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645"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735"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647"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705"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536"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1704" w:type="dxa"/>
            <w:gridSpan w:val="2"/>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1373"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1335" w:type="dxa"/>
            <w:tcBorders>
              <w:tl2br w:val="nil"/>
              <w:tr2bl w:val="nil"/>
            </w:tcBorders>
            <w:vAlign w:val="center"/>
          </w:tcPr>
          <w:p>
            <w:pPr>
              <w:widowControl/>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SS</w:t>
            </w:r>
          </w:p>
        </w:tc>
        <w:tc>
          <w:tcPr>
            <w:tcW w:w="1815" w:type="dxa"/>
            <w:vMerge w:val="continue"/>
            <w:tcBorders>
              <w:tl2br w:val="nil"/>
              <w:tr2bl w:val="nil"/>
            </w:tcBorders>
            <w:vAlign w:val="center"/>
          </w:tcPr>
          <w:p>
            <w:pPr>
              <w:jc w:val="center"/>
              <w:rPr>
                <w:rFonts w:ascii="Times New Roman" w:hAnsi="Times New Roman" w:cs="Times New Roman"/>
                <w:color w:val="auto"/>
                <w:kern w:val="24"/>
                <w:sz w:val="21"/>
                <w:szCs w:val="21"/>
                <w:highlight w:val="none"/>
              </w:rPr>
            </w:pPr>
          </w:p>
        </w:tc>
        <w:tc>
          <w:tcPr>
            <w:tcW w:w="1125" w:type="dxa"/>
            <w:tcBorders>
              <w:tl2br w:val="nil"/>
              <w:tr2bl w:val="nil"/>
            </w:tcBorders>
            <w:vAlign w:val="center"/>
          </w:tcPr>
          <w:p>
            <w:pPr>
              <w:autoSpaceDE w:val="0"/>
              <w:autoSpaceDN w:val="0"/>
              <w:jc w:val="center"/>
              <w:rPr>
                <w:rFonts w:hint="default" w:ascii="Times New Roman" w:hAnsi="Times New Roman" w:eastAsia="宋体" w:cs="Times New Roman"/>
                <w:color w:val="auto"/>
                <w:kern w:val="24"/>
                <w:sz w:val="21"/>
                <w:szCs w:val="21"/>
                <w:highlight w:val="none"/>
                <w:lang w:val="en-US" w:eastAsia="zh-CN"/>
              </w:rPr>
            </w:pPr>
            <w:r>
              <w:rPr>
                <w:rFonts w:hint="eastAsia" w:ascii="Times New Roman" w:hAnsi="Times New Roman" w:cs="Times New Roman"/>
                <w:color w:val="auto"/>
                <w:kern w:val="24"/>
                <w:sz w:val="21"/>
                <w:szCs w:val="21"/>
                <w:highlight w:val="none"/>
                <w:lang w:val="en-US" w:eastAsia="zh-CN"/>
              </w:rPr>
              <w:t>120</w:t>
            </w:r>
          </w:p>
        </w:tc>
        <w:tc>
          <w:tcPr>
            <w:tcW w:w="846" w:type="dxa"/>
            <w:tcBorders>
              <w:tl2br w:val="nil"/>
              <w:tr2bl w:val="nil"/>
            </w:tcBorders>
            <w:vAlign w:val="center"/>
          </w:tcPr>
          <w:p>
            <w:pPr>
              <w:widowControl/>
              <w:jc w:val="center"/>
              <w:textAlignment w:val="center"/>
              <w:rPr>
                <w:rFonts w:ascii="Times New Roman" w:hAnsi="Times New Roman" w:cs="Times New Roman"/>
                <w:color w:val="auto"/>
                <w:sz w:val="21"/>
                <w:szCs w:val="21"/>
                <w:highlight w:val="none"/>
              </w:rPr>
            </w:pPr>
            <w:r>
              <w:rPr>
                <w:color w:val="auto"/>
                <w:kern w:val="0"/>
                <w:szCs w:val="21"/>
                <w:highlight w:val="none"/>
                <w:lang w:bidi="ar"/>
              </w:rPr>
              <w:t xml:space="preserve">0.013 </w:t>
            </w:r>
          </w:p>
        </w:tc>
        <w:tc>
          <w:tcPr>
            <w:tcW w:w="794"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1180" w:type="dxa"/>
            <w:tcBorders>
              <w:tl2br w:val="nil"/>
              <w:tr2bl w:val="nil"/>
            </w:tcBorders>
            <w:vAlign w:val="center"/>
          </w:tcPr>
          <w:p>
            <w:pPr>
              <w:snapToGrid w:val="0"/>
              <w:jc w:val="center"/>
              <w:rPr>
                <w:rFonts w:ascii="Times New Roman" w:hAnsi="Times New Roman" w:cs="Times New Roman"/>
                <w:color w:val="auto"/>
                <w:kern w:val="24"/>
                <w:sz w:val="21"/>
                <w:szCs w:val="21"/>
                <w:highlight w:val="none"/>
              </w:rPr>
            </w:pPr>
            <w:r>
              <w:rPr>
                <w:rFonts w:hint="eastAsia" w:ascii="Times New Roman" w:hAnsi="Times New Roman" w:cs="Times New Roman"/>
                <w:color w:val="auto"/>
                <w:kern w:val="24"/>
                <w:sz w:val="21"/>
                <w:szCs w:val="21"/>
                <w:highlight w:val="none"/>
              </w:rPr>
              <w:t>400</w:t>
            </w:r>
          </w:p>
        </w:tc>
        <w:tc>
          <w:tcPr>
            <w:tcW w:w="750"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645"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735"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647"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705"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11" w:hRule="atLeast"/>
          <w:jc w:val="center"/>
        </w:trPr>
        <w:tc>
          <w:tcPr>
            <w:tcW w:w="536"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1704" w:type="dxa"/>
            <w:gridSpan w:val="2"/>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1373"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c>
          <w:tcPr>
            <w:tcW w:w="1335" w:type="dxa"/>
            <w:tcBorders>
              <w:tl2br w:val="nil"/>
              <w:tr2bl w:val="nil"/>
            </w:tcBorders>
            <w:vAlign w:val="center"/>
          </w:tcPr>
          <w:p>
            <w:pPr>
              <w:widowControl/>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NH</w:t>
            </w:r>
            <w:r>
              <w:rPr>
                <w:rFonts w:ascii="Times New Roman" w:hAnsi="Times New Roman" w:cs="Times New Roman"/>
                <w:color w:val="auto"/>
                <w:sz w:val="21"/>
                <w:szCs w:val="21"/>
                <w:highlight w:val="none"/>
                <w:vertAlign w:val="subscript"/>
              </w:rPr>
              <w:t>3</w:t>
            </w:r>
            <w:r>
              <w:rPr>
                <w:rFonts w:ascii="Times New Roman" w:hAnsi="Times New Roman" w:cs="Times New Roman"/>
                <w:color w:val="auto"/>
                <w:sz w:val="21"/>
                <w:szCs w:val="21"/>
                <w:highlight w:val="none"/>
              </w:rPr>
              <w:t>-N</w:t>
            </w:r>
          </w:p>
        </w:tc>
        <w:tc>
          <w:tcPr>
            <w:tcW w:w="1815" w:type="dxa"/>
            <w:vMerge w:val="continue"/>
            <w:tcBorders>
              <w:tl2br w:val="nil"/>
              <w:tr2bl w:val="nil"/>
            </w:tcBorders>
            <w:vAlign w:val="center"/>
          </w:tcPr>
          <w:p>
            <w:pPr>
              <w:jc w:val="center"/>
              <w:rPr>
                <w:rFonts w:ascii="Times New Roman" w:hAnsi="Times New Roman" w:cs="Times New Roman"/>
                <w:color w:val="auto"/>
                <w:kern w:val="24"/>
                <w:sz w:val="21"/>
                <w:szCs w:val="21"/>
                <w:highlight w:val="none"/>
              </w:rPr>
            </w:pPr>
          </w:p>
        </w:tc>
        <w:tc>
          <w:tcPr>
            <w:tcW w:w="1125" w:type="dxa"/>
            <w:tcBorders>
              <w:tl2br w:val="nil"/>
              <w:tr2bl w:val="nil"/>
            </w:tcBorders>
            <w:vAlign w:val="center"/>
          </w:tcPr>
          <w:p>
            <w:pPr>
              <w:autoSpaceDE w:val="0"/>
              <w:autoSpaceDN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w:t>
            </w:r>
          </w:p>
        </w:tc>
        <w:tc>
          <w:tcPr>
            <w:tcW w:w="846" w:type="dxa"/>
            <w:tcBorders>
              <w:tl2br w:val="nil"/>
              <w:tr2bl w:val="nil"/>
            </w:tcBorders>
            <w:vAlign w:val="center"/>
          </w:tcPr>
          <w:p>
            <w:pPr>
              <w:widowControl/>
              <w:jc w:val="center"/>
              <w:textAlignment w:val="center"/>
              <w:rPr>
                <w:rFonts w:ascii="Times New Roman" w:hAnsi="Times New Roman" w:cs="Times New Roman"/>
                <w:color w:val="auto"/>
                <w:sz w:val="21"/>
                <w:szCs w:val="21"/>
                <w:highlight w:val="none"/>
              </w:rPr>
            </w:pPr>
            <w:r>
              <w:rPr>
                <w:color w:val="auto"/>
                <w:kern w:val="0"/>
                <w:szCs w:val="21"/>
                <w:highlight w:val="none"/>
                <w:lang w:bidi="ar"/>
              </w:rPr>
              <w:t xml:space="preserve">0.002 </w:t>
            </w:r>
          </w:p>
        </w:tc>
        <w:tc>
          <w:tcPr>
            <w:tcW w:w="794"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1180"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hint="eastAsia" w:ascii="Times New Roman" w:hAnsi="Times New Roman" w:cs="Times New Roman"/>
                <w:color w:val="auto"/>
                <w:kern w:val="24"/>
                <w:sz w:val="21"/>
                <w:szCs w:val="21"/>
                <w:highlight w:val="none"/>
              </w:rPr>
              <w:t>45</w:t>
            </w:r>
          </w:p>
        </w:tc>
        <w:tc>
          <w:tcPr>
            <w:tcW w:w="750"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645"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735"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647"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ascii="Calibri" w:hAnsi="Calibri" w:cs="Times New Roman"/>
                <w:color w:val="auto"/>
                <w:kern w:val="24"/>
                <w:sz w:val="21"/>
                <w:szCs w:val="21"/>
                <w:highlight w:val="none"/>
              </w:rPr>
              <w:t>/</w:t>
            </w:r>
          </w:p>
        </w:tc>
        <w:tc>
          <w:tcPr>
            <w:tcW w:w="705" w:type="dxa"/>
            <w:vMerge w:val="continue"/>
            <w:tcBorders>
              <w:tl2br w:val="nil"/>
              <w:tr2bl w:val="nil"/>
            </w:tcBorders>
            <w:vAlign w:val="center"/>
          </w:tcPr>
          <w:p>
            <w:pPr>
              <w:jc w:val="center"/>
              <w:rPr>
                <w:rFonts w:ascii="Calibri" w:hAnsi="Calibri" w:cs="Times New Roman"/>
                <w:color w:val="auto"/>
                <w:kern w:val="2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11" w:hRule="atLeast"/>
          <w:jc w:val="center"/>
        </w:trPr>
        <w:tc>
          <w:tcPr>
            <w:tcW w:w="536" w:type="dxa"/>
            <w:vMerge w:val="continue"/>
            <w:tcBorders>
              <w:bottom w:val="single" w:color="auto" w:sz="4" w:space="0"/>
              <w:tl2br w:val="nil"/>
              <w:tr2bl w:val="nil"/>
            </w:tcBorders>
            <w:vAlign w:val="center"/>
          </w:tcPr>
          <w:p>
            <w:pPr>
              <w:jc w:val="center"/>
              <w:rPr>
                <w:rFonts w:ascii="Calibri" w:hAnsi="Calibri" w:cs="Times New Roman"/>
                <w:color w:val="auto"/>
                <w:kern w:val="24"/>
                <w:sz w:val="21"/>
                <w:szCs w:val="21"/>
                <w:highlight w:val="none"/>
              </w:rPr>
            </w:pPr>
          </w:p>
        </w:tc>
        <w:tc>
          <w:tcPr>
            <w:tcW w:w="1704" w:type="dxa"/>
            <w:gridSpan w:val="2"/>
            <w:tcBorders>
              <w:tl2br w:val="nil"/>
              <w:tr2bl w:val="nil"/>
            </w:tcBorders>
            <w:vAlign w:val="center"/>
          </w:tcPr>
          <w:p>
            <w:pPr>
              <w:jc w:val="center"/>
              <w:rPr>
                <w:rFonts w:ascii="Calibri" w:hAnsi="Calibri" w:cs="Times New Roman"/>
                <w:color w:val="auto"/>
                <w:kern w:val="24"/>
                <w:sz w:val="21"/>
                <w:szCs w:val="21"/>
                <w:highlight w:val="none"/>
              </w:rPr>
            </w:pPr>
            <w:r>
              <w:rPr>
                <w:rFonts w:hint="eastAsia" w:ascii="Calibri" w:hAnsi="Calibri" w:cs="Times New Roman"/>
                <w:color w:val="auto"/>
                <w:kern w:val="24"/>
                <w:sz w:val="21"/>
                <w:szCs w:val="21"/>
                <w:highlight w:val="none"/>
              </w:rPr>
              <w:t>注塑冷却用水</w:t>
            </w:r>
          </w:p>
        </w:tc>
        <w:tc>
          <w:tcPr>
            <w:tcW w:w="1373" w:type="dxa"/>
            <w:tcBorders>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c>
          <w:tcPr>
            <w:tcW w:w="1335" w:type="dxa"/>
            <w:tcBorders>
              <w:tl2br w:val="nil"/>
              <w:tr2bl w:val="nil"/>
            </w:tcBorders>
            <w:vAlign w:val="center"/>
          </w:tcPr>
          <w:p>
            <w:pPr>
              <w:widowControl/>
              <w:jc w:val="center"/>
              <w:rPr>
                <w:rFonts w:hint="eastAsia" w:ascii="Times New Roman" w:hAnsi="Times New Roman" w:eastAsia="宋体" w:cs="Times New Roman"/>
                <w:color w:val="auto"/>
                <w:sz w:val="21"/>
                <w:szCs w:val="21"/>
                <w:highlight w:val="none"/>
                <w:lang w:eastAsia="zh-CN"/>
              </w:rPr>
            </w:pPr>
            <w:r>
              <w:rPr>
                <w:rFonts w:ascii="Calibri" w:hAnsi="Calibri" w:cs="Times New Roman"/>
                <w:color w:val="auto"/>
                <w:kern w:val="24"/>
                <w:sz w:val="21"/>
                <w:szCs w:val="21"/>
                <w:highlight w:val="none"/>
              </w:rPr>
              <w:t>/</w:t>
            </w:r>
          </w:p>
        </w:tc>
        <w:tc>
          <w:tcPr>
            <w:tcW w:w="1815" w:type="dxa"/>
            <w:tcBorders>
              <w:tl2br w:val="nil"/>
              <w:tr2bl w:val="nil"/>
            </w:tcBorders>
            <w:vAlign w:val="center"/>
          </w:tcPr>
          <w:p>
            <w:pPr>
              <w:jc w:val="center"/>
              <w:rPr>
                <w:rFonts w:ascii="Times New Roman" w:hAnsi="Times New Roman" w:cs="Times New Roman"/>
                <w:color w:val="auto"/>
                <w:kern w:val="24"/>
                <w:sz w:val="21"/>
                <w:szCs w:val="21"/>
                <w:highlight w:val="none"/>
              </w:rPr>
            </w:pPr>
            <w:r>
              <w:rPr>
                <w:rFonts w:hint="eastAsia" w:ascii="Times New Roman" w:hAnsi="Times New Roman" w:cs="Times New Roman"/>
                <w:color w:val="auto"/>
                <w:kern w:val="24"/>
                <w:sz w:val="21"/>
                <w:szCs w:val="21"/>
                <w:highlight w:val="none"/>
              </w:rPr>
              <w:t>循环使用，不外排</w:t>
            </w:r>
          </w:p>
        </w:tc>
        <w:tc>
          <w:tcPr>
            <w:tcW w:w="1125" w:type="dxa"/>
            <w:tcBorders>
              <w:tl2br w:val="nil"/>
              <w:tr2bl w:val="nil"/>
            </w:tcBorders>
            <w:vAlign w:val="center"/>
          </w:tcPr>
          <w:p>
            <w:pPr>
              <w:autoSpaceDE w:val="0"/>
              <w:autoSpaceDN w:val="0"/>
              <w:jc w:val="center"/>
              <w:rPr>
                <w:rFonts w:hint="eastAsia" w:ascii="Times New Roman" w:hAnsi="Times New Roman" w:cs="Times New Roman"/>
                <w:color w:val="auto"/>
                <w:sz w:val="21"/>
                <w:szCs w:val="21"/>
                <w:highlight w:val="none"/>
                <w:lang w:val="en-US" w:eastAsia="zh-CN"/>
              </w:rPr>
            </w:pPr>
            <w:r>
              <w:rPr>
                <w:rFonts w:ascii="Calibri" w:hAnsi="Calibri" w:cs="Times New Roman"/>
                <w:color w:val="auto"/>
                <w:kern w:val="24"/>
                <w:sz w:val="21"/>
                <w:szCs w:val="21"/>
                <w:highlight w:val="none"/>
              </w:rPr>
              <w:t>0</w:t>
            </w:r>
          </w:p>
        </w:tc>
        <w:tc>
          <w:tcPr>
            <w:tcW w:w="3570" w:type="dxa"/>
            <w:gridSpan w:val="4"/>
            <w:tcBorders>
              <w:tl2br w:val="nil"/>
              <w:tr2bl w:val="nil"/>
            </w:tcBorders>
            <w:vAlign w:val="center"/>
          </w:tcPr>
          <w:p>
            <w:pPr>
              <w:jc w:val="center"/>
              <w:rPr>
                <w:rFonts w:ascii="Calibri" w:hAnsi="Calibri" w:cs="Times New Roman"/>
                <w:color w:val="auto"/>
                <w:kern w:val="24"/>
                <w:sz w:val="21"/>
                <w:szCs w:val="21"/>
                <w:highlight w:val="none"/>
              </w:rPr>
            </w:pPr>
            <w:r>
              <w:rPr>
                <w:rFonts w:hint="eastAsia" w:ascii="Times New Roman" w:hAnsi="Times New Roman" w:cs="Times New Roman"/>
                <w:color w:val="auto"/>
                <w:kern w:val="24"/>
                <w:sz w:val="21"/>
                <w:szCs w:val="21"/>
                <w:highlight w:val="none"/>
              </w:rPr>
              <w:t>循环使用，不外排</w:t>
            </w:r>
          </w:p>
        </w:tc>
        <w:tc>
          <w:tcPr>
            <w:tcW w:w="2732" w:type="dxa"/>
            <w:gridSpan w:val="4"/>
            <w:tcBorders>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11" w:hRule="atLeast"/>
          <w:jc w:val="center"/>
        </w:trPr>
        <w:tc>
          <w:tcPr>
            <w:tcW w:w="536" w:type="dxa"/>
            <w:vMerge w:val="restart"/>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固废</w:t>
            </w:r>
          </w:p>
        </w:tc>
        <w:tc>
          <w:tcPr>
            <w:tcW w:w="1704" w:type="dxa"/>
            <w:gridSpan w:val="2"/>
            <w:tcBorders>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一般工业固废</w:t>
            </w:r>
          </w:p>
        </w:tc>
        <w:tc>
          <w:tcPr>
            <w:tcW w:w="4523" w:type="dxa"/>
            <w:gridSpan w:val="3"/>
            <w:tcBorders>
              <w:tl2br w:val="nil"/>
              <w:tr2bl w:val="nil"/>
            </w:tcBorders>
            <w:vAlign w:val="center"/>
          </w:tcPr>
          <w:p>
            <w:pPr>
              <w:widowControl w:val="0"/>
              <w:jc w:val="center"/>
              <w:outlineLvl w:val="7"/>
              <w:rPr>
                <w:rFonts w:ascii="Calibri" w:hAnsi="Calibri" w:eastAsia="宋体" w:cs="Times New Roman"/>
                <w:color w:val="auto"/>
                <w:kern w:val="24"/>
                <w:sz w:val="21"/>
                <w:szCs w:val="21"/>
                <w:highlight w:val="none"/>
                <w:lang w:val="en-US" w:eastAsia="zh-CN" w:bidi="ar-SA"/>
              </w:rPr>
            </w:pPr>
            <w:r>
              <w:rPr>
                <w:rFonts w:hint="eastAsia" w:ascii="Calibri" w:hAnsi="Calibri" w:eastAsia="宋体" w:cs="Times New Roman"/>
                <w:color w:val="auto"/>
                <w:kern w:val="24"/>
                <w:sz w:val="21"/>
                <w:szCs w:val="21"/>
                <w:highlight w:val="none"/>
                <w:lang w:val="en-US" w:eastAsia="zh-CN" w:bidi="ar-SA"/>
              </w:rPr>
              <w:t>金属碎屑、金属边角料、不合格品、废包装材料</w:t>
            </w:r>
          </w:p>
        </w:tc>
        <w:tc>
          <w:tcPr>
            <w:tcW w:w="1125" w:type="dxa"/>
            <w:tcBorders>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0</w:t>
            </w:r>
          </w:p>
        </w:tc>
        <w:tc>
          <w:tcPr>
            <w:tcW w:w="3570" w:type="dxa"/>
            <w:gridSpan w:val="4"/>
            <w:tcBorders>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专业公司</w:t>
            </w:r>
            <w:r>
              <w:rPr>
                <w:rFonts w:hint="eastAsia" w:ascii="Calibri" w:hAnsi="Calibri" w:cs="Times New Roman"/>
                <w:color w:val="auto"/>
                <w:kern w:val="24"/>
                <w:sz w:val="21"/>
                <w:szCs w:val="21"/>
                <w:highlight w:val="none"/>
              </w:rPr>
              <w:t>处理</w:t>
            </w:r>
          </w:p>
        </w:tc>
        <w:tc>
          <w:tcPr>
            <w:tcW w:w="2732" w:type="dxa"/>
            <w:gridSpan w:val="4"/>
            <w:tcBorders>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7" w:hRule="atLeast"/>
          <w:jc w:val="center"/>
        </w:trPr>
        <w:tc>
          <w:tcPr>
            <w:tcW w:w="536" w:type="dxa"/>
            <w:vMerge w:val="continue"/>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p>
        </w:tc>
        <w:tc>
          <w:tcPr>
            <w:tcW w:w="1704" w:type="dxa"/>
            <w:gridSpan w:val="2"/>
            <w:tcBorders>
              <w:tl2br w:val="nil"/>
              <w:tr2bl w:val="nil"/>
            </w:tcBorders>
            <w:vAlign w:val="center"/>
          </w:tcPr>
          <w:p>
            <w:pPr>
              <w:jc w:val="center"/>
              <w:rPr>
                <w:rFonts w:hint="default" w:ascii="Times New Roman" w:hAnsi="Times New Roman" w:eastAsia="宋体" w:cs="Times New Roman"/>
                <w:color w:val="auto"/>
                <w:kern w:val="24"/>
                <w:sz w:val="21"/>
                <w:szCs w:val="21"/>
                <w:highlight w:val="none"/>
                <w:lang w:eastAsia="zh-CN"/>
              </w:rPr>
            </w:pPr>
            <w:r>
              <w:rPr>
                <w:rFonts w:hint="default" w:ascii="Times New Roman" w:hAnsi="Times New Roman" w:cs="Times New Roman"/>
                <w:color w:val="auto"/>
                <w:kern w:val="24"/>
                <w:sz w:val="21"/>
                <w:szCs w:val="21"/>
                <w:highlight w:val="none"/>
                <w:lang w:eastAsia="zh-CN"/>
              </w:rPr>
              <w:t>危险废物</w:t>
            </w:r>
          </w:p>
        </w:tc>
        <w:tc>
          <w:tcPr>
            <w:tcW w:w="4523" w:type="dxa"/>
            <w:gridSpan w:val="3"/>
            <w:tcBorders>
              <w:tl2br w:val="nil"/>
              <w:tr2bl w:val="nil"/>
            </w:tcBorders>
            <w:vAlign w:val="center"/>
          </w:tcPr>
          <w:p>
            <w:pPr>
              <w:widowControl w:val="0"/>
              <w:jc w:val="center"/>
              <w:outlineLvl w:val="7"/>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废液压油、废润滑油</w:t>
            </w:r>
            <w:r>
              <w:rPr>
                <w:rFonts w:hint="eastAsia" w:cs="Times New Roman"/>
                <w:color w:val="auto"/>
                <w:kern w:val="24"/>
                <w:sz w:val="21"/>
                <w:szCs w:val="21"/>
                <w:highlight w:val="none"/>
                <w:lang w:val="en-US" w:eastAsia="zh-CN" w:bidi="ar-SA"/>
              </w:rPr>
              <w:t>、废UV灯管、废活性炭</w:t>
            </w:r>
          </w:p>
        </w:tc>
        <w:tc>
          <w:tcPr>
            <w:tcW w:w="1125" w:type="dxa"/>
            <w:tcBorders>
              <w:tl2br w:val="nil"/>
              <w:tr2bl w:val="nil"/>
            </w:tcBorders>
            <w:vAlign w:val="center"/>
          </w:tcPr>
          <w:p>
            <w:pPr>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0</w:t>
            </w:r>
          </w:p>
        </w:tc>
        <w:tc>
          <w:tcPr>
            <w:tcW w:w="3570" w:type="dxa"/>
            <w:gridSpan w:val="4"/>
            <w:tcBorders>
              <w:tl2br w:val="nil"/>
              <w:tr2bl w:val="nil"/>
            </w:tcBorders>
            <w:vAlign w:val="center"/>
          </w:tcPr>
          <w:p>
            <w:pPr>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eastAsia="宋体" w:cs="Times New Roman"/>
                <w:color w:val="auto"/>
                <w:kern w:val="24"/>
                <w:sz w:val="21"/>
                <w:szCs w:val="21"/>
                <w:highlight w:val="none"/>
                <w:lang w:val="en-US" w:eastAsia="zh-CN"/>
              </w:rPr>
              <w:t>交给有危险废物处置资质单位处置</w:t>
            </w:r>
          </w:p>
        </w:tc>
        <w:tc>
          <w:tcPr>
            <w:tcW w:w="2732" w:type="dxa"/>
            <w:gridSpan w:val="4"/>
            <w:tcBorders>
              <w:tl2br w:val="nil"/>
              <w:tr2bl w:val="nil"/>
            </w:tcBorders>
            <w:vAlign w:val="center"/>
          </w:tcPr>
          <w:p>
            <w:pPr>
              <w:jc w:val="center"/>
              <w:rPr>
                <w:rFonts w:hint="default" w:ascii="Times New Roman" w:hAnsi="Times New Roman" w:eastAsia="宋体" w:cs="Times New Roman"/>
                <w:color w:val="auto"/>
                <w:kern w:val="24"/>
                <w:sz w:val="21"/>
                <w:szCs w:val="21"/>
                <w:highlight w:val="none"/>
                <w:lang w:val="en-US" w:eastAsia="zh-CN"/>
              </w:rPr>
            </w:pPr>
            <w:r>
              <w:rPr>
                <w:rFonts w:ascii="Calibri" w:hAnsi="Calibri" w:cs="Times New Roman"/>
                <w:color w:val="auto"/>
                <w:kern w:val="24"/>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2" w:hRule="atLeast"/>
          <w:jc w:val="center"/>
        </w:trPr>
        <w:tc>
          <w:tcPr>
            <w:tcW w:w="536" w:type="dxa"/>
            <w:vMerge w:val="continue"/>
            <w:tcBorders>
              <w:top w:val="single" w:color="auto" w:sz="4" w:space="0"/>
              <w:bottom w:val="single" w:color="auto" w:sz="4" w:space="0"/>
              <w:tl2br w:val="nil"/>
              <w:tr2bl w:val="nil"/>
            </w:tcBorders>
            <w:vAlign w:val="center"/>
          </w:tcPr>
          <w:p>
            <w:pPr>
              <w:jc w:val="center"/>
              <w:rPr>
                <w:rFonts w:ascii="Calibri" w:hAnsi="Calibri" w:cs="Times New Roman"/>
                <w:color w:val="auto"/>
                <w:kern w:val="24"/>
                <w:sz w:val="21"/>
                <w:szCs w:val="21"/>
                <w:highlight w:val="none"/>
              </w:rPr>
            </w:pPr>
          </w:p>
        </w:tc>
        <w:tc>
          <w:tcPr>
            <w:tcW w:w="1704" w:type="dxa"/>
            <w:gridSpan w:val="2"/>
            <w:tcBorders>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生活垃圾</w:t>
            </w:r>
          </w:p>
        </w:tc>
        <w:tc>
          <w:tcPr>
            <w:tcW w:w="4523" w:type="dxa"/>
            <w:gridSpan w:val="3"/>
            <w:tcBorders>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生活垃圾</w:t>
            </w:r>
          </w:p>
        </w:tc>
        <w:tc>
          <w:tcPr>
            <w:tcW w:w="1125" w:type="dxa"/>
            <w:tcBorders>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0</w:t>
            </w:r>
          </w:p>
        </w:tc>
        <w:tc>
          <w:tcPr>
            <w:tcW w:w="3570" w:type="dxa"/>
            <w:gridSpan w:val="4"/>
            <w:tcBorders>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环卫部门清运</w:t>
            </w:r>
          </w:p>
        </w:tc>
        <w:tc>
          <w:tcPr>
            <w:tcW w:w="2732" w:type="dxa"/>
            <w:gridSpan w:val="4"/>
            <w:tcBorders>
              <w:tl2br w:val="nil"/>
              <w:tr2bl w:val="nil"/>
            </w:tcBorders>
            <w:vAlign w:val="center"/>
          </w:tcPr>
          <w:p>
            <w:pPr>
              <w:jc w:val="center"/>
              <w:rPr>
                <w:rFonts w:ascii="Calibri" w:hAnsi="Calibri" w:cs="Times New Roman"/>
                <w:color w:val="auto"/>
                <w:kern w:val="24"/>
                <w:sz w:val="21"/>
                <w:szCs w:val="21"/>
                <w:highlight w:val="none"/>
              </w:rPr>
            </w:pPr>
            <w:r>
              <w:rPr>
                <w:rFonts w:ascii="Calibri" w:hAnsi="Calibri" w:cs="Times New Roman"/>
                <w:color w:val="auto"/>
                <w:kern w:val="24"/>
                <w:sz w:val="21"/>
                <w:szCs w:val="21"/>
                <w:highlight w:val="none"/>
              </w:rPr>
              <w:t>/</w:t>
            </w:r>
          </w:p>
        </w:tc>
      </w:tr>
    </w:tbl>
    <w:p>
      <w:pPr>
        <w:pStyle w:val="38"/>
        <w:jc w:val="left"/>
        <w:rPr>
          <w:rFonts w:ascii="Times New Roman" w:hAnsi="Times New Roman"/>
          <w:color w:val="auto"/>
          <w:highlight w:val="none"/>
        </w:rPr>
        <w:sectPr>
          <w:pgSz w:w="16840" w:h="11907" w:orient="landscape"/>
          <w:pgMar w:top="1418" w:right="1440" w:bottom="1134" w:left="1134" w:header="0" w:footer="898" w:gutter="0"/>
          <w:cols w:space="720" w:num="1"/>
          <w:docGrid w:linePitch="326" w:charSpace="-4916"/>
        </w:sectPr>
      </w:pPr>
    </w:p>
    <w:p>
      <w:pPr>
        <w:pStyle w:val="38"/>
        <w:jc w:val="left"/>
        <w:rPr>
          <w:rFonts w:ascii="Times New Roman" w:hAnsi="Times New Roman"/>
          <w:color w:val="auto"/>
          <w:highlight w:val="none"/>
        </w:rPr>
      </w:pPr>
      <w:r>
        <w:rPr>
          <w:rFonts w:ascii="Times New Roman" w:hAnsi="Times New Roman"/>
          <w:color w:val="auto"/>
          <w:highlight w:val="none"/>
        </w:rPr>
        <w:t>建设项目拟采取的防治措施及预期治理效果</w:t>
      </w:r>
    </w:p>
    <w:tbl>
      <w:tblPr>
        <w:tblStyle w:val="40"/>
        <w:tblW w:w="98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586"/>
        <w:gridCol w:w="1894"/>
        <w:gridCol w:w="2618"/>
        <w:gridCol w:w="30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33" w:hRule="atLeast"/>
          <w:jc w:val="center"/>
        </w:trPr>
        <w:tc>
          <w:tcPr>
            <w:tcW w:w="675" w:type="dxa"/>
            <w:tcBorders>
              <w:tl2br w:val="single" w:color="auto" w:sz="4" w:space="0"/>
            </w:tcBorders>
            <w:textDirection w:val="tbRlV"/>
            <w:vAlign w:val="center"/>
          </w:tcPr>
          <w:p>
            <w:pPr>
              <w:ind w:left="113" w:right="113"/>
              <w:rPr>
                <w:color w:val="auto"/>
                <w:sz w:val="24"/>
                <w:highlight w:val="none"/>
              </w:rPr>
            </w:pPr>
            <w:r>
              <w:rPr>
                <w:rFonts w:hAnsi="宋体"/>
                <w:color w:val="auto"/>
                <w:sz w:val="24"/>
                <w:highlight w:val="none"/>
              </w:rPr>
              <w:t>内容</w:t>
            </w:r>
          </w:p>
          <w:p>
            <w:pPr>
              <w:ind w:left="113" w:right="113"/>
              <w:jc w:val="center"/>
              <w:rPr>
                <w:color w:val="auto"/>
                <w:sz w:val="24"/>
                <w:highlight w:val="none"/>
              </w:rPr>
            </w:pPr>
            <w:r>
              <w:rPr>
                <w:color w:val="auto"/>
                <w:sz w:val="24"/>
                <w:highlight w:val="none"/>
              </w:rPr>
              <w:t xml:space="preserve"> </w:t>
            </w:r>
            <w:r>
              <w:rPr>
                <w:rFonts w:hAnsi="宋体"/>
                <w:color w:val="auto"/>
                <w:sz w:val="24"/>
                <w:highlight w:val="none"/>
              </w:rPr>
              <w:t>类型</w:t>
            </w:r>
          </w:p>
        </w:tc>
        <w:tc>
          <w:tcPr>
            <w:tcW w:w="1586" w:type="dxa"/>
            <w:vAlign w:val="center"/>
          </w:tcPr>
          <w:p>
            <w:pPr>
              <w:jc w:val="center"/>
              <w:rPr>
                <w:color w:val="auto"/>
                <w:sz w:val="24"/>
                <w:highlight w:val="none"/>
              </w:rPr>
            </w:pPr>
            <w:r>
              <w:rPr>
                <w:rFonts w:hAnsi="宋体"/>
                <w:color w:val="auto"/>
                <w:sz w:val="24"/>
                <w:highlight w:val="none"/>
              </w:rPr>
              <w:t>排放源</w:t>
            </w:r>
          </w:p>
          <w:p>
            <w:pPr>
              <w:jc w:val="center"/>
              <w:rPr>
                <w:color w:val="auto"/>
                <w:sz w:val="24"/>
                <w:highlight w:val="none"/>
              </w:rPr>
            </w:pPr>
            <w:r>
              <w:rPr>
                <w:rFonts w:hAnsi="宋体"/>
                <w:color w:val="auto"/>
                <w:sz w:val="24"/>
                <w:highlight w:val="none"/>
              </w:rPr>
              <w:t>（编号）</w:t>
            </w:r>
          </w:p>
        </w:tc>
        <w:tc>
          <w:tcPr>
            <w:tcW w:w="1894" w:type="dxa"/>
            <w:vAlign w:val="center"/>
          </w:tcPr>
          <w:p>
            <w:pPr>
              <w:jc w:val="center"/>
              <w:rPr>
                <w:color w:val="auto"/>
                <w:sz w:val="24"/>
                <w:highlight w:val="none"/>
              </w:rPr>
            </w:pPr>
            <w:r>
              <w:rPr>
                <w:rFonts w:hAnsi="宋体"/>
                <w:color w:val="auto"/>
                <w:sz w:val="24"/>
                <w:highlight w:val="none"/>
              </w:rPr>
              <w:t>污染物</w:t>
            </w:r>
          </w:p>
          <w:p>
            <w:pPr>
              <w:jc w:val="center"/>
              <w:rPr>
                <w:color w:val="auto"/>
                <w:sz w:val="24"/>
                <w:highlight w:val="none"/>
              </w:rPr>
            </w:pPr>
            <w:r>
              <w:rPr>
                <w:rFonts w:hAnsi="宋体"/>
                <w:color w:val="auto"/>
                <w:sz w:val="24"/>
                <w:highlight w:val="none"/>
              </w:rPr>
              <w:t>名称</w:t>
            </w:r>
          </w:p>
        </w:tc>
        <w:tc>
          <w:tcPr>
            <w:tcW w:w="2618" w:type="dxa"/>
            <w:vAlign w:val="center"/>
          </w:tcPr>
          <w:p>
            <w:pPr>
              <w:jc w:val="center"/>
              <w:rPr>
                <w:color w:val="auto"/>
                <w:sz w:val="24"/>
                <w:highlight w:val="none"/>
              </w:rPr>
            </w:pPr>
            <w:r>
              <w:rPr>
                <w:rFonts w:hAnsi="宋体"/>
                <w:color w:val="auto"/>
                <w:sz w:val="24"/>
                <w:highlight w:val="none"/>
              </w:rPr>
              <w:t>防治措施</w:t>
            </w:r>
          </w:p>
        </w:tc>
        <w:tc>
          <w:tcPr>
            <w:tcW w:w="3042" w:type="dxa"/>
            <w:vAlign w:val="center"/>
          </w:tcPr>
          <w:p>
            <w:pPr>
              <w:jc w:val="center"/>
              <w:rPr>
                <w:color w:val="auto"/>
                <w:sz w:val="24"/>
                <w:highlight w:val="none"/>
              </w:rPr>
            </w:pPr>
            <w:r>
              <w:rPr>
                <w:rFonts w:hAnsi="宋体"/>
                <w:color w:val="auto"/>
                <w:sz w:val="24"/>
                <w:highlight w:val="none"/>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55" w:hRule="atLeast"/>
          <w:jc w:val="center"/>
        </w:trPr>
        <w:tc>
          <w:tcPr>
            <w:tcW w:w="675" w:type="dxa"/>
            <w:vMerge w:val="restart"/>
            <w:vAlign w:val="center"/>
          </w:tcPr>
          <w:p>
            <w:pPr>
              <w:ind w:firstLine="120" w:firstLineChars="50"/>
              <w:rPr>
                <w:color w:val="auto"/>
                <w:sz w:val="24"/>
                <w:highlight w:val="none"/>
              </w:rPr>
            </w:pPr>
            <w:r>
              <w:rPr>
                <w:rFonts w:hAnsi="宋体"/>
                <w:color w:val="auto"/>
                <w:sz w:val="24"/>
                <w:highlight w:val="none"/>
              </w:rPr>
              <w:t>大</w:t>
            </w:r>
          </w:p>
          <w:p>
            <w:pPr>
              <w:jc w:val="center"/>
              <w:rPr>
                <w:color w:val="auto"/>
                <w:sz w:val="24"/>
                <w:highlight w:val="none"/>
              </w:rPr>
            </w:pPr>
            <w:r>
              <w:rPr>
                <w:rFonts w:hAnsi="宋体"/>
                <w:color w:val="auto"/>
                <w:sz w:val="24"/>
                <w:highlight w:val="none"/>
              </w:rPr>
              <w:t>气</w:t>
            </w:r>
          </w:p>
          <w:p>
            <w:pPr>
              <w:jc w:val="center"/>
              <w:rPr>
                <w:color w:val="auto"/>
                <w:sz w:val="24"/>
                <w:highlight w:val="none"/>
              </w:rPr>
            </w:pPr>
            <w:r>
              <w:rPr>
                <w:rFonts w:hAnsi="宋体"/>
                <w:color w:val="auto"/>
                <w:sz w:val="24"/>
                <w:highlight w:val="none"/>
              </w:rPr>
              <w:t>污</w:t>
            </w:r>
          </w:p>
          <w:p>
            <w:pPr>
              <w:jc w:val="center"/>
              <w:rPr>
                <w:color w:val="auto"/>
                <w:sz w:val="24"/>
                <w:highlight w:val="none"/>
              </w:rPr>
            </w:pPr>
            <w:r>
              <w:rPr>
                <w:rFonts w:hAnsi="宋体"/>
                <w:color w:val="auto"/>
                <w:sz w:val="24"/>
                <w:highlight w:val="none"/>
              </w:rPr>
              <w:t>染</w:t>
            </w:r>
          </w:p>
          <w:p>
            <w:pPr>
              <w:jc w:val="center"/>
              <w:rPr>
                <w:color w:val="auto"/>
                <w:sz w:val="24"/>
                <w:highlight w:val="none"/>
              </w:rPr>
            </w:pPr>
            <w:r>
              <w:rPr>
                <w:rFonts w:hAnsi="宋体"/>
                <w:color w:val="auto"/>
                <w:sz w:val="24"/>
                <w:highlight w:val="none"/>
              </w:rPr>
              <w:t>物</w:t>
            </w:r>
          </w:p>
        </w:tc>
        <w:tc>
          <w:tcPr>
            <w:tcW w:w="1586" w:type="dxa"/>
            <w:vMerge w:val="restart"/>
            <w:vAlign w:val="center"/>
          </w:tcPr>
          <w:p>
            <w:pPr>
              <w:pStyle w:val="56"/>
              <w:rPr>
                <w:color w:val="auto"/>
                <w:kern w:val="2"/>
                <w:szCs w:val="24"/>
                <w:highlight w:val="none"/>
              </w:rPr>
            </w:pPr>
            <w:r>
              <w:rPr>
                <w:rFonts w:hint="eastAsia" w:ascii="Times New Roman" w:hAnsi="Times New Roman"/>
                <w:color w:val="auto"/>
                <w:kern w:val="2"/>
                <w:szCs w:val="24"/>
                <w:highlight w:val="none"/>
              </w:rPr>
              <w:t>注塑</w:t>
            </w:r>
            <w:r>
              <w:rPr>
                <w:rFonts w:ascii="Times New Roman" w:hAnsi="Times New Roman"/>
                <w:color w:val="auto"/>
                <w:kern w:val="2"/>
                <w:szCs w:val="24"/>
                <w:highlight w:val="none"/>
              </w:rPr>
              <w:t>工序</w:t>
            </w:r>
          </w:p>
        </w:tc>
        <w:tc>
          <w:tcPr>
            <w:tcW w:w="1894" w:type="dxa"/>
            <w:vAlign w:val="center"/>
          </w:tcPr>
          <w:p>
            <w:pPr>
              <w:adjustRightInd w:val="0"/>
              <w:snapToGrid w:val="0"/>
              <w:jc w:val="center"/>
              <w:rPr>
                <w:rFonts w:hint="eastAsia" w:eastAsia="宋体"/>
                <w:color w:val="auto"/>
                <w:sz w:val="24"/>
                <w:highlight w:val="none"/>
                <w:lang w:eastAsia="zh-CN"/>
              </w:rPr>
            </w:pPr>
            <w:r>
              <w:rPr>
                <w:rFonts w:hint="eastAsia"/>
                <w:color w:val="auto"/>
                <w:sz w:val="24"/>
                <w:highlight w:val="none"/>
              </w:rPr>
              <w:t>非甲烷总烃</w:t>
            </w:r>
            <w:r>
              <w:rPr>
                <w:rFonts w:hint="eastAsia"/>
                <w:color w:val="auto"/>
                <w:sz w:val="24"/>
                <w:highlight w:val="none"/>
                <w:lang w:eastAsia="zh-CN"/>
              </w:rPr>
              <w:t>、苯乙烯、丙烯腈、1,3-丁二烯、甲苯、乙苯</w:t>
            </w:r>
          </w:p>
        </w:tc>
        <w:tc>
          <w:tcPr>
            <w:tcW w:w="2618" w:type="dxa"/>
            <w:vMerge w:val="restart"/>
            <w:vAlign w:val="center"/>
          </w:tcPr>
          <w:p>
            <w:pPr>
              <w:jc w:val="center"/>
              <w:rPr>
                <w:rFonts w:hint="eastAsia" w:eastAsia="宋体"/>
                <w:color w:val="auto"/>
                <w:sz w:val="24"/>
                <w:highlight w:val="none"/>
                <w:lang w:eastAsia="zh-CN"/>
              </w:rPr>
            </w:pPr>
            <w:r>
              <w:rPr>
                <w:rFonts w:hint="eastAsia"/>
                <w:color w:val="auto"/>
                <w:sz w:val="24"/>
                <w:highlight w:val="none"/>
              </w:rPr>
              <w:t>设置集气装置将废气进行收集后采用UV光解+活性炭吸附装置进行</w:t>
            </w:r>
            <w:r>
              <w:rPr>
                <w:rFonts w:hint="eastAsia"/>
                <w:color w:val="auto"/>
                <w:sz w:val="24"/>
                <w:highlight w:val="none"/>
                <w:lang w:eastAsia="zh-CN"/>
              </w:rPr>
              <w:t>处理后经15m排气筒高空排放</w:t>
            </w:r>
          </w:p>
        </w:tc>
        <w:tc>
          <w:tcPr>
            <w:tcW w:w="3042" w:type="dxa"/>
            <w:vAlign w:val="center"/>
          </w:tcPr>
          <w:p>
            <w:pPr>
              <w:spacing w:line="216" w:lineRule="auto"/>
              <w:jc w:val="center"/>
              <w:rPr>
                <w:color w:val="auto"/>
                <w:sz w:val="24"/>
                <w:highlight w:val="none"/>
              </w:rPr>
            </w:pPr>
            <w:r>
              <w:rPr>
                <w:rFonts w:hint="eastAsia"/>
                <w:color w:val="auto"/>
                <w:sz w:val="24"/>
                <w:highlight w:val="none"/>
              </w:rPr>
              <w:t>达到《合成树脂工业污染物排放标准》(GB 31572-2015)表5规定的大气污染物特别排放标准限值和表9企业边界大气污染物浓度限值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5" w:hRule="atLeast"/>
          <w:jc w:val="center"/>
        </w:trPr>
        <w:tc>
          <w:tcPr>
            <w:tcW w:w="675" w:type="dxa"/>
            <w:vMerge w:val="continue"/>
            <w:vAlign w:val="center"/>
          </w:tcPr>
          <w:p>
            <w:pPr>
              <w:jc w:val="center"/>
              <w:rPr>
                <w:rFonts w:hAnsi="宋体"/>
                <w:color w:val="auto"/>
                <w:sz w:val="24"/>
                <w:highlight w:val="none"/>
              </w:rPr>
            </w:pPr>
          </w:p>
        </w:tc>
        <w:tc>
          <w:tcPr>
            <w:tcW w:w="1586" w:type="dxa"/>
            <w:vMerge w:val="continue"/>
            <w:vAlign w:val="center"/>
          </w:tcPr>
          <w:p>
            <w:pPr>
              <w:pStyle w:val="56"/>
              <w:rPr>
                <w:rFonts w:hint="eastAsia" w:ascii="Times New Roman" w:hAnsi="Times New Roman"/>
                <w:color w:val="auto"/>
                <w:kern w:val="2"/>
                <w:szCs w:val="24"/>
                <w:highlight w:val="none"/>
              </w:rPr>
            </w:pPr>
          </w:p>
        </w:tc>
        <w:tc>
          <w:tcPr>
            <w:tcW w:w="1894" w:type="dxa"/>
            <w:vAlign w:val="center"/>
          </w:tcPr>
          <w:p>
            <w:pPr>
              <w:adjustRightInd w:val="0"/>
              <w:snapToGrid w:val="0"/>
              <w:jc w:val="center"/>
              <w:rPr>
                <w:rFonts w:hint="eastAsia"/>
                <w:color w:val="auto"/>
                <w:sz w:val="24"/>
                <w:highlight w:val="none"/>
              </w:rPr>
            </w:pPr>
            <w:r>
              <w:rPr>
                <w:rFonts w:hint="eastAsia"/>
                <w:color w:val="auto"/>
                <w:sz w:val="24"/>
                <w:highlight w:val="none"/>
              </w:rPr>
              <w:t>臭气浓度</w:t>
            </w:r>
          </w:p>
        </w:tc>
        <w:tc>
          <w:tcPr>
            <w:tcW w:w="2618" w:type="dxa"/>
            <w:vMerge w:val="continue"/>
            <w:vAlign w:val="center"/>
          </w:tcPr>
          <w:p>
            <w:pPr>
              <w:jc w:val="center"/>
              <w:rPr>
                <w:rFonts w:hint="eastAsia"/>
                <w:color w:val="auto"/>
                <w:sz w:val="24"/>
                <w:highlight w:val="none"/>
              </w:rPr>
            </w:pPr>
          </w:p>
        </w:tc>
        <w:tc>
          <w:tcPr>
            <w:tcW w:w="3042" w:type="dxa"/>
            <w:vAlign w:val="center"/>
          </w:tcPr>
          <w:p>
            <w:pPr>
              <w:spacing w:line="216" w:lineRule="auto"/>
              <w:jc w:val="center"/>
              <w:rPr>
                <w:rFonts w:hint="eastAsia"/>
                <w:color w:val="auto"/>
                <w:sz w:val="24"/>
                <w:highlight w:val="none"/>
              </w:rPr>
            </w:pPr>
            <w:r>
              <w:rPr>
                <w:rFonts w:hint="eastAsia"/>
                <w:color w:val="auto"/>
                <w:sz w:val="24"/>
                <w:highlight w:val="none"/>
              </w:rPr>
              <w:t>达到《恶臭污染物排放标准》（GB 14554—93）表1恶臭污染物厂界标准值二级新扩改建臭气浓度要求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9" w:hRule="atLeast"/>
          <w:jc w:val="center"/>
        </w:trPr>
        <w:tc>
          <w:tcPr>
            <w:tcW w:w="675" w:type="dxa"/>
            <w:vMerge w:val="continue"/>
            <w:vAlign w:val="center"/>
          </w:tcPr>
          <w:p>
            <w:pPr>
              <w:jc w:val="center"/>
              <w:rPr>
                <w:rFonts w:hAnsi="宋体"/>
                <w:color w:val="auto"/>
                <w:sz w:val="24"/>
                <w:highlight w:val="none"/>
              </w:rPr>
            </w:pPr>
          </w:p>
        </w:tc>
        <w:tc>
          <w:tcPr>
            <w:tcW w:w="1586" w:type="dxa"/>
            <w:vAlign w:val="center"/>
          </w:tcPr>
          <w:p>
            <w:pPr>
              <w:pStyle w:val="56"/>
              <w:rPr>
                <w:rFonts w:ascii="Times New Roman" w:hAnsi="Times New Roman"/>
                <w:color w:val="auto"/>
                <w:kern w:val="2"/>
                <w:szCs w:val="24"/>
                <w:highlight w:val="none"/>
              </w:rPr>
            </w:pPr>
            <w:r>
              <w:rPr>
                <w:rFonts w:hint="eastAsia" w:ascii="Times New Roman" w:hAnsi="Times New Roman"/>
                <w:color w:val="auto"/>
                <w:kern w:val="2"/>
                <w:szCs w:val="24"/>
                <w:highlight w:val="none"/>
              </w:rPr>
              <w:t>破碎工序</w:t>
            </w:r>
          </w:p>
        </w:tc>
        <w:tc>
          <w:tcPr>
            <w:tcW w:w="1894" w:type="dxa"/>
            <w:vAlign w:val="center"/>
          </w:tcPr>
          <w:p>
            <w:pPr>
              <w:pStyle w:val="47"/>
              <w:tabs>
                <w:tab w:val="left" w:pos="607"/>
              </w:tabs>
              <w:snapToGrid w:val="0"/>
              <w:jc w:val="center"/>
              <w:rPr>
                <w:rFonts w:ascii="Times New Roman"/>
                <w:color w:val="auto"/>
                <w:highlight w:val="none"/>
              </w:rPr>
            </w:pPr>
            <w:r>
              <w:rPr>
                <w:rFonts w:hint="eastAsia"/>
                <w:color w:val="auto"/>
                <w:highlight w:val="none"/>
              </w:rPr>
              <w:t>粉尘</w:t>
            </w:r>
          </w:p>
        </w:tc>
        <w:tc>
          <w:tcPr>
            <w:tcW w:w="2618" w:type="dxa"/>
            <w:vAlign w:val="center"/>
          </w:tcPr>
          <w:p>
            <w:pPr>
              <w:jc w:val="center"/>
              <w:rPr>
                <w:color w:val="auto"/>
                <w:sz w:val="24"/>
                <w:highlight w:val="none"/>
              </w:rPr>
            </w:pPr>
            <w:r>
              <w:rPr>
                <w:rFonts w:hint="eastAsia"/>
                <w:color w:val="auto"/>
                <w:sz w:val="24"/>
                <w:highlight w:val="none"/>
              </w:rPr>
              <w:t>加强车间机械通风措施</w:t>
            </w:r>
          </w:p>
        </w:tc>
        <w:tc>
          <w:tcPr>
            <w:tcW w:w="3042" w:type="dxa"/>
            <w:vAlign w:val="center"/>
          </w:tcPr>
          <w:p>
            <w:pPr>
              <w:jc w:val="center"/>
              <w:rPr>
                <w:color w:val="auto"/>
                <w:sz w:val="24"/>
                <w:highlight w:val="none"/>
              </w:rPr>
            </w:pPr>
            <w:r>
              <w:rPr>
                <w:rFonts w:hint="eastAsia" w:hAnsi="宋体"/>
                <w:color w:val="auto"/>
                <w:sz w:val="24"/>
                <w:highlight w:val="none"/>
              </w:rPr>
              <w:t>达到广东省地方标准《大气污染物排放限值》（DB44/ 77-2001）第二时段无组织排放监控浓度限值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7" w:hRule="atLeast"/>
          <w:jc w:val="center"/>
        </w:trPr>
        <w:tc>
          <w:tcPr>
            <w:tcW w:w="675" w:type="dxa"/>
            <w:vMerge w:val="restart"/>
            <w:vAlign w:val="center"/>
          </w:tcPr>
          <w:p>
            <w:pPr>
              <w:jc w:val="center"/>
              <w:rPr>
                <w:color w:val="auto"/>
                <w:sz w:val="24"/>
                <w:highlight w:val="none"/>
              </w:rPr>
            </w:pPr>
            <w:r>
              <w:rPr>
                <w:rFonts w:hAnsi="宋体"/>
                <w:color w:val="auto"/>
                <w:sz w:val="24"/>
                <w:highlight w:val="none"/>
              </w:rPr>
              <w:t>水</w:t>
            </w:r>
          </w:p>
          <w:p>
            <w:pPr>
              <w:jc w:val="center"/>
              <w:rPr>
                <w:color w:val="auto"/>
                <w:sz w:val="24"/>
                <w:highlight w:val="none"/>
              </w:rPr>
            </w:pPr>
            <w:r>
              <w:rPr>
                <w:rFonts w:hAnsi="宋体"/>
                <w:color w:val="auto"/>
                <w:sz w:val="24"/>
                <w:highlight w:val="none"/>
              </w:rPr>
              <w:t>污</w:t>
            </w:r>
          </w:p>
          <w:p>
            <w:pPr>
              <w:jc w:val="center"/>
              <w:rPr>
                <w:color w:val="auto"/>
                <w:sz w:val="24"/>
                <w:highlight w:val="none"/>
              </w:rPr>
            </w:pPr>
            <w:r>
              <w:rPr>
                <w:rFonts w:hAnsi="宋体"/>
                <w:color w:val="auto"/>
                <w:sz w:val="24"/>
                <w:highlight w:val="none"/>
              </w:rPr>
              <w:t>染</w:t>
            </w:r>
          </w:p>
          <w:p>
            <w:pPr>
              <w:jc w:val="center"/>
              <w:rPr>
                <w:rFonts w:hAnsi="宋体"/>
                <w:color w:val="auto"/>
                <w:sz w:val="24"/>
                <w:highlight w:val="none"/>
              </w:rPr>
            </w:pPr>
            <w:r>
              <w:rPr>
                <w:rFonts w:hAnsi="宋体"/>
                <w:color w:val="auto"/>
                <w:sz w:val="24"/>
                <w:highlight w:val="none"/>
              </w:rPr>
              <w:t>物</w:t>
            </w:r>
          </w:p>
        </w:tc>
        <w:tc>
          <w:tcPr>
            <w:tcW w:w="1586" w:type="dxa"/>
            <w:vAlign w:val="center"/>
          </w:tcPr>
          <w:p>
            <w:pPr>
              <w:jc w:val="center"/>
              <w:rPr>
                <w:rFonts w:hAnsi="宋体"/>
                <w:color w:val="auto"/>
                <w:sz w:val="24"/>
                <w:highlight w:val="none"/>
              </w:rPr>
            </w:pPr>
            <w:r>
              <w:rPr>
                <w:rFonts w:hint="eastAsia" w:hAnsi="宋体"/>
                <w:color w:val="auto"/>
                <w:sz w:val="24"/>
                <w:highlight w:val="none"/>
              </w:rPr>
              <w:t>注塑冷却用水</w:t>
            </w:r>
          </w:p>
        </w:tc>
        <w:tc>
          <w:tcPr>
            <w:tcW w:w="7554" w:type="dxa"/>
            <w:gridSpan w:val="3"/>
            <w:vAlign w:val="center"/>
          </w:tcPr>
          <w:p>
            <w:pPr>
              <w:adjustRightInd w:val="0"/>
              <w:spacing w:line="240" w:lineRule="auto"/>
              <w:rPr>
                <w:color w:val="auto"/>
                <w:sz w:val="24"/>
                <w:highlight w:val="none"/>
              </w:rPr>
            </w:pPr>
            <w:r>
              <w:rPr>
                <w:rFonts w:hAnsi="宋体"/>
                <w:color w:val="auto"/>
                <w:sz w:val="24"/>
                <w:highlight w:val="none"/>
              </w:rPr>
              <w:t>冷却水循环使用，不外排，</w:t>
            </w:r>
            <w:r>
              <w:rPr>
                <w:rFonts w:hint="eastAsia" w:hAnsi="宋体"/>
                <w:color w:val="auto"/>
                <w:sz w:val="24"/>
                <w:highlight w:val="none"/>
              </w:rPr>
              <w:t>循环水量为</w:t>
            </w:r>
            <w:r>
              <w:rPr>
                <w:rFonts w:hint="eastAsia" w:hAnsi="宋体"/>
                <w:color w:val="auto"/>
                <w:sz w:val="24"/>
                <w:highlight w:val="none"/>
                <w:lang w:val="en-US" w:eastAsia="zh-CN"/>
              </w:rPr>
              <w:t>2</w:t>
            </w:r>
            <w:r>
              <w:rPr>
                <w:rFonts w:hint="eastAsia" w:hAnsi="宋体"/>
                <w:color w:val="auto"/>
                <w:sz w:val="24"/>
                <w:highlight w:val="none"/>
              </w:rPr>
              <w:t>t</w:t>
            </w:r>
            <w:r>
              <w:rPr>
                <w:rFonts w:hint="eastAsia" w:hAnsi="宋体"/>
                <w:color w:val="auto"/>
                <w:sz w:val="24"/>
                <w:highlight w:val="none"/>
                <w:lang w:val="en-US" w:eastAsia="zh-CN"/>
              </w:rPr>
              <w:t>/h</w:t>
            </w:r>
            <w:r>
              <w:rPr>
                <w:rFonts w:hint="eastAsia" w:hAnsi="宋体"/>
                <w:color w:val="auto"/>
                <w:sz w:val="24"/>
                <w:highlight w:val="none"/>
              </w:rPr>
              <w:t>，</w:t>
            </w:r>
            <w:r>
              <w:rPr>
                <w:rFonts w:hAnsi="宋体"/>
                <w:color w:val="auto"/>
                <w:sz w:val="24"/>
                <w:highlight w:val="none"/>
              </w:rPr>
              <w:t>因受热等因素损失，</w:t>
            </w:r>
            <w:r>
              <w:rPr>
                <w:rFonts w:hint="eastAsia" w:hAnsi="宋体"/>
                <w:color w:val="auto"/>
                <w:sz w:val="24"/>
                <w:highlight w:val="none"/>
              </w:rPr>
              <w:t>需定期补充新鲜水，损耗补充用水约占循环水量的2%，即补充用水量为</w:t>
            </w:r>
            <w:r>
              <w:rPr>
                <w:rFonts w:hint="eastAsia"/>
                <w:color w:val="auto"/>
                <w:sz w:val="24"/>
                <w:highlight w:val="none"/>
                <w:lang w:val="en-US" w:eastAsia="zh-CN"/>
              </w:rPr>
              <w:t>0.04t</w:t>
            </w:r>
            <w:r>
              <w:rPr>
                <w:rFonts w:hint="eastAsia"/>
                <w:color w:val="auto"/>
                <w:sz w:val="24"/>
                <w:highlight w:val="none"/>
              </w:rPr>
              <w:t>/</w:t>
            </w:r>
            <w:r>
              <w:rPr>
                <w:rFonts w:hint="eastAsia"/>
                <w:color w:val="auto"/>
                <w:sz w:val="24"/>
                <w:highlight w:val="none"/>
                <w:lang w:val="en-US" w:eastAsia="zh-CN"/>
              </w:rPr>
              <w:t>h</w:t>
            </w:r>
            <w:r>
              <w:rPr>
                <w:rFonts w:hint="eastAsia"/>
                <w:color w:val="auto"/>
                <w:sz w:val="24"/>
                <w:highlight w:val="none"/>
              </w:rPr>
              <w:t>（</w:t>
            </w:r>
            <w:r>
              <w:rPr>
                <w:rFonts w:hint="eastAsia"/>
                <w:color w:val="auto"/>
                <w:sz w:val="24"/>
                <w:highlight w:val="none"/>
                <w:lang w:val="en-US" w:eastAsia="zh-CN"/>
              </w:rPr>
              <w:t>96t</w:t>
            </w:r>
            <w:r>
              <w:rPr>
                <w:rFonts w:hint="eastAsia"/>
                <w:color w:val="auto"/>
                <w:sz w:val="24"/>
                <w:highlight w:val="non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40" w:hRule="atLeast"/>
          <w:jc w:val="center"/>
        </w:trPr>
        <w:tc>
          <w:tcPr>
            <w:tcW w:w="675" w:type="dxa"/>
            <w:vMerge w:val="continue"/>
            <w:vAlign w:val="center"/>
          </w:tcPr>
          <w:p>
            <w:pPr>
              <w:jc w:val="center"/>
              <w:rPr>
                <w:color w:val="auto"/>
                <w:sz w:val="24"/>
                <w:highlight w:val="none"/>
              </w:rPr>
            </w:pPr>
          </w:p>
        </w:tc>
        <w:tc>
          <w:tcPr>
            <w:tcW w:w="1586" w:type="dxa"/>
            <w:vAlign w:val="center"/>
          </w:tcPr>
          <w:p>
            <w:pPr>
              <w:jc w:val="center"/>
              <w:rPr>
                <w:color w:val="auto"/>
                <w:sz w:val="24"/>
                <w:highlight w:val="none"/>
              </w:rPr>
            </w:pPr>
            <w:r>
              <w:rPr>
                <w:rFonts w:hAnsi="宋体"/>
                <w:color w:val="auto"/>
                <w:sz w:val="24"/>
                <w:highlight w:val="none"/>
              </w:rPr>
              <w:t>生活污水</w:t>
            </w:r>
          </w:p>
        </w:tc>
        <w:tc>
          <w:tcPr>
            <w:tcW w:w="1894" w:type="dxa"/>
            <w:vAlign w:val="center"/>
          </w:tcPr>
          <w:p>
            <w:pPr>
              <w:pStyle w:val="55"/>
              <w:rPr>
                <w:rFonts w:ascii="Times New Roman" w:hAnsi="Times New Roman"/>
                <w:color w:val="auto"/>
                <w:position w:val="0"/>
                <w:sz w:val="24"/>
                <w:szCs w:val="24"/>
                <w:highlight w:val="none"/>
              </w:rPr>
            </w:pPr>
            <w:r>
              <w:rPr>
                <w:rFonts w:ascii="Times New Roman" w:hAnsi="Times New Roman"/>
                <w:color w:val="auto"/>
                <w:position w:val="0"/>
                <w:sz w:val="24"/>
                <w:szCs w:val="24"/>
                <w:highlight w:val="none"/>
              </w:rPr>
              <w:t>COD</w:t>
            </w:r>
            <w:r>
              <w:rPr>
                <w:rFonts w:ascii="Times New Roman" w:hAnsi="Times New Roman"/>
                <w:color w:val="auto"/>
                <w:position w:val="0"/>
                <w:sz w:val="24"/>
                <w:szCs w:val="24"/>
                <w:highlight w:val="none"/>
                <w:vertAlign w:val="subscript"/>
              </w:rPr>
              <w:t>cr</w:t>
            </w:r>
          </w:p>
          <w:p>
            <w:pPr>
              <w:pStyle w:val="55"/>
              <w:rPr>
                <w:rFonts w:ascii="Times New Roman" w:hAnsi="Times New Roman"/>
                <w:color w:val="auto"/>
                <w:position w:val="0"/>
                <w:sz w:val="24"/>
                <w:szCs w:val="24"/>
                <w:highlight w:val="none"/>
              </w:rPr>
            </w:pPr>
            <w:r>
              <w:rPr>
                <w:rFonts w:ascii="Times New Roman" w:hAnsi="Times New Roman"/>
                <w:color w:val="auto"/>
                <w:position w:val="0"/>
                <w:sz w:val="24"/>
                <w:szCs w:val="24"/>
                <w:highlight w:val="none"/>
              </w:rPr>
              <w:t>BOD</w:t>
            </w:r>
            <w:r>
              <w:rPr>
                <w:rFonts w:ascii="Times New Roman" w:hAnsi="Times New Roman"/>
                <w:color w:val="auto"/>
                <w:position w:val="0"/>
                <w:sz w:val="24"/>
                <w:szCs w:val="24"/>
                <w:highlight w:val="none"/>
                <w:vertAlign w:val="subscript"/>
              </w:rPr>
              <w:t>5</w:t>
            </w:r>
          </w:p>
          <w:p>
            <w:pPr>
              <w:jc w:val="center"/>
              <w:rPr>
                <w:color w:val="auto"/>
                <w:sz w:val="24"/>
                <w:highlight w:val="none"/>
              </w:rPr>
            </w:pPr>
            <w:r>
              <w:rPr>
                <w:color w:val="auto"/>
                <w:sz w:val="24"/>
                <w:highlight w:val="none"/>
              </w:rPr>
              <w:t>SS</w:t>
            </w:r>
          </w:p>
          <w:p>
            <w:pPr>
              <w:jc w:val="center"/>
              <w:rPr>
                <w:color w:val="auto"/>
                <w:sz w:val="24"/>
                <w:highlight w:val="none"/>
              </w:rPr>
            </w:pPr>
            <w:r>
              <w:rPr>
                <w:color w:val="auto"/>
                <w:sz w:val="24"/>
                <w:highlight w:val="none"/>
              </w:rPr>
              <w:t>NH</w:t>
            </w:r>
            <w:r>
              <w:rPr>
                <w:color w:val="auto"/>
                <w:sz w:val="24"/>
                <w:highlight w:val="none"/>
                <w:vertAlign w:val="subscript"/>
              </w:rPr>
              <w:t>3</w:t>
            </w:r>
            <w:r>
              <w:rPr>
                <w:color w:val="auto"/>
                <w:sz w:val="24"/>
                <w:highlight w:val="none"/>
              </w:rPr>
              <w:t xml:space="preserve">-N </w:t>
            </w:r>
          </w:p>
          <w:p>
            <w:pPr>
              <w:jc w:val="center"/>
              <w:rPr>
                <w:color w:val="auto"/>
                <w:sz w:val="24"/>
                <w:highlight w:val="none"/>
              </w:rPr>
            </w:pPr>
          </w:p>
        </w:tc>
        <w:tc>
          <w:tcPr>
            <w:tcW w:w="2618" w:type="dxa"/>
            <w:vAlign w:val="center"/>
          </w:tcPr>
          <w:p>
            <w:pPr>
              <w:jc w:val="center"/>
              <w:rPr>
                <w:color w:val="auto"/>
                <w:sz w:val="24"/>
                <w:highlight w:val="none"/>
              </w:rPr>
            </w:pPr>
            <w:r>
              <w:rPr>
                <w:rFonts w:hAnsi="宋体"/>
                <w:color w:val="auto"/>
                <w:sz w:val="24"/>
                <w:highlight w:val="none"/>
              </w:rPr>
              <w:t>经</w:t>
            </w:r>
            <w:r>
              <w:rPr>
                <w:rFonts w:hint="eastAsia" w:hAnsi="宋体"/>
                <w:color w:val="auto"/>
                <w:sz w:val="24"/>
                <w:highlight w:val="none"/>
              </w:rPr>
              <w:t>三级化粪池</w:t>
            </w:r>
            <w:r>
              <w:rPr>
                <w:rFonts w:hAnsi="宋体"/>
                <w:color w:val="auto"/>
                <w:sz w:val="24"/>
                <w:highlight w:val="none"/>
              </w:rPr>
              <w:t>处理后排放到市政</w:t>
            </w:r>
            <w:r>
              <w:rPr>
                <w:rFonts w:hint="eastAsia" w:hAnsi="宋体"/>
                <w:color w:val="auto"/>
                <w:sz w:val="24"/>
                <w:highlight w:val="none"/>
              </w:rPr>
              <w:t>污水</w:t>
            </w:r>
            <w:r>
              <w:rPr>
                <w:rFonts w:hAnsi="宋体"/>
                <w:color w:val="auto"/>
                <w:spacing w:val="15"/>
                <w:sz w:val="24"/>
                <w:highlight w:val="none"/>
              </w:rPr>
              <w:t>管网</w:t>
            </w:r>
            <w:r>
              <w:rPr>
                <w:rFonts w:hAnsi="宋体"/>
                <w:color w:val="auto"/>
                <w:sz w:val="24"/>
                <w:highlight w:val="none"/>
              </w:rPr>
              <w:t>，引至污</w:t>
            </w:r>
            <w:r>
              <w:rPr>
                <w:rFonts w:hint="eastAsia" w:hAnsi="宋体"/>
                <w:color w:val="auto"/>
                <w:sz w:val="24"/>
                <w:highlight w:val="none"/>
              </w:rPr>
              <w:t>开平市水口污水处理厂</w:t>
            </w:r>
            <w:r>
              <w:rPr>
                <w:rFonts w:hAnsi="宋体"/>
                <w:color w:val="auto"/>
                <w:sz w:val="24"/>
                <w:highlight w:val="none"/>
              </w:rPr>
              <w:t>处理</w:t>
            </w:r>
          </w:p>
        </w:tc>
        <w:tc>
          <w:tcPr>
            <w:tcW w:w="3042" w:type="dxa"/>
            <w:vAlign w:val="center"/>
          </w:tcPr>
          <w:p>
            <w:pPr>
              <w:jc w:val="center"/>
              <w:rPr>
                <w:color w:val="auto"/>
                <w:sz w:val="24"/>
                <w:highlight w:val="none"/>
              </w:rPr>
            </w:pPr>
            <w:r>
              <w:rPr>
                <w:rFonts w:hAnsi="宋体"/>
                <w:color w:val="auto"/>
                <w:sz w:val="24"/>
                <w:highlight w:val="none"/>
              </w:rPr>
              <w:t>达到</w:t>
            </w:r>
            <w:r>
              <w:rPr>
                <w:rFonts w:hint="eastAsia"/>
                <w:color w:val="auto"/>
                <w:sz w:val="24"/>
                <w:highlight w:val="none"/>
              </w:rPr>
              <w:t>广东省地方标准《水污染物排放限值》</w:t>
            </w:r>
            <w:r>
              <w:rPr>
                <w:color w:val="auto"/>
                <w:sz w:val="24"/>
                <w:highlight w:val="none"/>
              </w:rPr>
              <w:t>（DB44/26-2001）第二时段三级标准</w:t>
            </w:r>
            <w:r>
              <w:rPr>
                <w:rFonts w:hint="eastAsia"/>
                <w:color w:val="auto"/>
                <w:sz w:val="24"/>
                <w:highlight w:val="none"/>
              </w:rPr>
              <w:t>和</w:t>
            </w:r>
            <w:r>
              <w:rPr>
                <w:rFonts w:hint="eastAsia"/>
                <w:color w:val="auto"/>
                <w:sz w:val="24"/>
                <w:highlight w:val="none"/>
                <w:lang w:eastAsia="zh-CN"/>
              </w:rPr>
              <w:t>《污水排入城镇下水道水质标准》(GB/T31962-2015 )B级标准</w:t>
            </w:r>
            <w:r>
              <w:rPr>
                <w:rFonts w:hint="eastAsia"/>
                <w:color w:val="auto"/>
                <w:sz w:val="24"/>
                <w:highlight w:val="none"/>
              </w:rPr>
              <w:t>较严者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1" w:hRule="atLeast"/>
          <w:jc w:val="center"/>
        </w:trPr>
        <w:tc>
          <w:tcPr>
            <w:tcW w:w="675" w:type="dxa"/>
            <w:vMerge w:val="restart"/>
            <w:vAlign w:val="center"/>
          </w:tcPr>
          <w:p>
            <w:pPr>
              <w:jc w:val="center"/>
              <w:rPr>
                <w:color w:val="auto"/>
                <w:sz w:val="24"/>
                <w:highlight w:val="none"/>
              </w:rPr>
            </w:pPr>
            <w:r>
              <w:rPr>
                <w:rFonts w:hAnsi="宋体"/>
                <w:color w:val="auto"/>
                <w:sz w:val="24"/>
                <w:highlight w:val="none"/>
              </w:rPr>
              <w:t>固</w:t>
            </w:r>
          </w:p>
          <w:p>
            <w:pPr>
              <w:jc w:val="center"/>
              <w:rPr>
                <w:color w:val="auto"/>
                <w:sz w:val="24"/>
                <w:highlight w:val="none"/>
              </w:rPr>
            </w:pPr>
            <w:r>
              <w:rPr>
                <w:rFonts w:hAnsi="宋体"/>
                <w:color w:val="auto"/>
                <w:sz w:val="24"/>
                <w:highlight w:val="none"/>
              </w:rPr>
              <w:t>体</w:t>
            </w:r>
          </w:p>
          <w:p>
            <w:pPr>
              <w:jc w:val="center"/>
              <w:rPr>
                <w:color w:val="auto"/>
                <w:sz w:val="24"/>
                <w:highlight w:val="none"/>
              </w:rPr>
            </w:pPr>
            <w:r>
              <w:rPr>
                <w:rFonts w:hAnsi="宋体"/>
                <w:color w:val="auto"/>
                <w:sz w:val="24"/>
                <w:highlight w:val="none"/>
              </w:rPr>
              <w:t>废</w:t>
            </w:r>
          </w:p>
          <w:p>
            <w:pPr>
              <w:jc w:val="center"/>
              <w:rPr>
                <w:color w:val="auto"/>
                <w:sz w:val="24"/>
                <w:highlight w:val="none"/>
              </w:rPr>
            </w:pPr>
            <w:r>
              <w:rPr>
                <w:rFonts w:hAnsi="宋体"/>
                <w:color w:val="auto"/>
                <w:sz w:val="24"/>
                <w:highlight w:val="none"/>
              </w:rPr>
              <w:t>物</w:t>
            </w:r>
          </w:p>
        </w:tc>
        <w:tc>
          <w:tcPr>
            <w:tcW w:w="1586" w:type="dxa"/>
            <w:vAlign w:val="center"/>
          </w:tcPr>
          <w:p>
            <w:pPr>
              <w:pStyle w:val="55"/>
              <w:rPr>
                <w:rFonts w:ascii="Times New Roman" w:hAnsi="Times New Roman"/>
                <w:color w:val="auto"/>
                <w:position w:val="0"/>
                <w:sz w:val="24"/>
                <w:szCs w:val="24"/>
                <w:highlight w:val="none"/>
              </w:rPr>
            </w:pPr>
            <w:r>
              <w:rPr>
                <w:rFonts w:ascii="Times New Roman" w:hAnsi="宋体"/>
                <w:color w:val="auto"/>
                <w:position w:val="0"/>
                <w:sz w:val="24"/>
                <w:szCs w:val="24"/>
                <w:highlight w:val="none"/>
              </w:rPr>
              <w:t>生活垃圾</w:t>
            </w:r>
          </w:p>
        </w:tc>
        <w:tc>
          <w:tcPr>
            <w:tcW w:w="1894" w:type="dxa"/>
            <w:vAlign w:val="center"/>
          </w:tcPr>
          <w:p>
            <w:pPr>
              <w:pStyle w:val="55"/>
              <w:rPr>
                <w:rFonts w:ascii="Times New Roman" w:hAnsi="Times New Roman"/>
                <w:color w:val="auto"/>
                <w:position w:val="0"/>
                <w:sz w:val="24"/>
                <w:szCs w:val="24"/>
                <w:highlight w:val="none"/>
              </w:rPr>
            </w:pPr>
            <w:r>
              <w:rPr>
                <w:rFonts w:ascii="Times New Roman" w:hAnsi="宋体"/>
                <w:color w:val="auto"/>
                <w:position w:val="0"/>
                <w:sz w:val="24"/>
                <w:szCs w:val="24"/>
                <w:highlight w:val="none"/>
              </w:rPr>
              <w:t>生活垃圾</w:t>
            </w:r>
          </w:p>
        </w:tc>
        <w:tc>
          <w:tcPr>
            <w:tcW w:w="2618" w:type="dxa"/>
            <w:vAlign w:val="center"/>
          </w:tcPr>
          <w:p>
            <w:pPr>
              <w:jc w:val="center"/>
              <w:rPr>
                <w:color w:val="auto"/>
                <w:sz w:val="24"/>
                <w:highlight w:val="none"/>
              </w:rPr>
            </w:pPr>
            <w:r>
              <w:rPr>
                <w:rFonts w:hAnsi="宋体"/>
                <w:color w:val="auto"/>
                <w:sz w:val="24"/>
                <w:highlight w:val="none"/>
              </w:rPr>
              <w:t>交环卫部门处理</w:t>
            </w:r>
          </w:p>
        </w:tc>
        <w:tc>
          <w:tcPr>
            <w:tcW w:w="3042" w:type="dxa"/>
            <w:vMerge w:val="restart"/>
            <w:vAlign w:val="center"/>
          </w:tcPr>
          <w:p>
            <w:pPr>
              <w:spacing w:line="216" w:lineRule="auto"/>
              <w:jc w:val="center"/>
              <w:rPr>
                <w:color w:val="auto"/>
                <w:sz w:val="24"/>
                <w:highlight w:val="none"/>
              </w:rPr>
            </w:pPr>
            <w:r>
              <w:rPr>
                <w:rFonts w:hAnsi="宋体"/>
                <w:color w:val="auto"/>
                <w:sz w:val="24"/>
                <w:highlight w:val="none"/>
              </w:rPr>
              <w:t>符合环保有关要求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6" w:hRule="atLeast"/>
          <w:jc w:val="center"/>
        </w:trPr>
        <w:tc>
          <w:tcPr>
            <w:tcW w:w="675" w:type="dxa"/>
            <w:vMerge w:val="continue"/>
            <w:vAlign w:val="center"/>
          </w:tcPr>
          <w:p>
            <w:pPr>
              <w:jc w:val="center"/>
              <w:rPr>
                <w:color w:val="auto"/>
                <w:sz w:val="24"/>
                <w:highlight w:val="none"/>
              </w:rPr>
            </w:pPr>
          </w:p>
        </w:tc>
        <w:tc>
          <w:tcPr>
            <w:tcW w:w="1586" w:type="dxa"/>
            <w:vAlign w:val="center"/>
          </w:tcPr>
          <w:p>
            <w:pPr>
              <w:pStyle w:val="55"/>
              <w:rPr>
                <w:rFonts w:ascii="Times New Roman" w:hAnsi="Times New Roman"/>
                <w:color w:val="auto"/>
                <w:position w:val="0"/>
                <w:sz w:val="24"/>
                <w:szCs w:val="24"/>
                <w:highlight w:val="none"/>
              </w:rPr>
            </w:pPr>
            <w:r>
              <w:rPr>
                <w:rFonts w:ascii="Times New Roman" w:hAnsi="宋体"/>
                <w:color w:val="auto"/>
                <w:position w:val="0"/>
                <w:sz w:val="24"/>
                <w:szCs w:val="24"/>
                <w:highlight w:val="none"/>
              </w:rPr>
              <w:t>一般固体废物</w:t>
            </w:r>
          </w:p>
        </w:tc>
        <w:tc>
          <w:tcPr>
            <w:tcW w:w="1894" w:type="dxa"/>
            <w:vAlign w:val="center"/>
          </w:tcPr>
          <w:p>
            <w:pPr>
              <w:pStyle w:val="132"/>
              <w:rPr>
                <w:color w:val="auto"/>
                <w:sz w:val="24"/>
                <w:highlight w:val="none"/>
              </w:rPr>
            </w:pPr>
            <w:r>
              <w:rPr>
                <w:rFonts w:hint="eastAsia"/>
                <w:color w:val="auto"/>
                <w:spacing w:val="-2"/>
                <w:sz w:val="24"/>
                <w:highlight w:val="none"/>
              </w:rPr>
              <w:t>金属碎屑、金属边角料、不合格品、废包装材料</w:t>
            </w:r>
          </w:p>
        </w:tc>
        <w:tc>
          <w:tcPr>
            <w:tcW w:w="2618" w:type="dxa"/>
            <w:vAlign w:val="center"/>
          </w:tcPr>
          <w:p>
            <w:pPr>
              <w:jc w:val="center"/>
              <w:rPr>
                <w:color w:val="auto"/>
                <w:sz w:val="24"/>
                <w:highlight w:val="none"/>
              </w:rPr>
            </w:pPr>
            <w:r>
              <w:rPr>
                <w:rFonts w:hAnsi="宋体"/>
                <w:color w:val="auto"/>
                <w:sz w:val="24"/>
                <w:highlight w:val="none"/>
              </w:rPr>
              <w:t>交专业公司回收处理</w:t>
            </w:r>
          </w:p>
        </w:tc>
        <w:tc>
          <w:tcPr>
            <w:tcW w:w="3042" w:type="dxa"/>
            <w:vMerge w:val="continue"/>
            <w:vAlign w:val="center"/>
          </w:tcPr>
          <w:p>
            <w:pPr>
              <w:spacing w:line="216" w:lineRule="auto"/>
              <w:jc w:val="center"/>
              <w:rPr>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1" w:hRule="atLeast"/>
          <w:jc w:val="center"/>
        </w:trPr>
        <w:tc>
          <w:tcPr>
            <w:tcW w:w="675" w:type="dxa"/>
            <w:vMerge w:val="continue"/>
            <w:vAlign w:val="center"/>
          </w:tcPr>
          <w:p>
            <w:pPr>
              <w:jc w:val="center"/>
              <w:rPr>
                <w:color w:val="auto"/>
                <w:sz w:val="24"/>
                <w:highlight w:val="none"/>
              </w:rPr>
            </w:pPr>
          </w:p>
        </w:tc>
        <w:tc>
          <w:tcPr>
            <w:tcW w:w="1586" w:type="dxa"/>
            <w:vAlign w:val="center"/>
          </w:tcPr>
          <w:p>
            <w:pPr>
              <w:pStyle w:val="55"/>
              <w:rPr>
                <w:rFonts w:ascii="Times New Roman" w:hAnsi="宋体"/>
                <w:color w:val="auto"/>
                <w:position w:val="0"/>
                <w:sz w:val="24"/>
                <w:szCs w:val="24"/>
                <w:highlight w:val="none"/>
              </w:rPr>
            </w:pPr>
            <w:r>
              <w:rPr>
                <w:rFonts w:hint="eastAsia" w:ascii="Times New Roman" w:hAnsi="宋体"/>
                <w:color w:val="auto"/>
                <w:position w:val="0"/>
                <w:sz w:val="24"/>
                <w:szCs w:val="24"/>
                <w:highlight w:val="none"/>
              </w:rPr>
              <w:t>危险废物</w:t>
            </w:r>
          </w:p>
        </w:tc>
        <w:tc>
          <w:tcPr>
            <w:tcW w:w="1894" w:type="dxa"/>
            <w:vAlign w:val="center"/>
          </w:tcPr>
          <w:p>
            <w:pPr>
              <w:pStyle w:val="132"/>
              <w:rPr>
                <w:rFonts w:hAnsi="宋体"/>
                <w:color w:val="auto"/>
                <w:sz w:val="24"/>
                <w:highlight w:val="none"/>
              </w:rPr>
            </w:pPr>
            <w:r>
              <w:rPr>
                <w:rFonts w:hint="eastAsia"/>
                <w:color w:val="auto"/>
                <w:sz w:val="24"/>
                <w:highlight w:val="none"/>
              </w:rPr>
              <w:t>废液压油油桶、废润滑油油桶、废液压油、废润滑油、废UV灯管、废活性炭</w:t>
            </w:r>
          </w:p>
        </w:tc>
        <w:tc>
          <w:tcPr>
            <w:tcW w:w="2618" w:type="dxa"/>
            <w:vAlign w:val="center"/>
          </w:tcPr>
          <w:p>
            <w:pPr>
              <w:jc w:val="center"/>
              <w:rPr>
                <w:rFonts w:hAnsi="宋体"/>
                <w:color w:val="auto"/>
                <w:sz w:val="24"/>
                <w:highlight w:val="none"/>
              </w:rPr>
            </w:pPr>
            <w:r>
              <w:rPr>
                <w:rFonts w:hint="eastAsia" w:hAnsi="宋体"/>
                <w:color w:val="auto"/>
                <w:sz w:val="24"/>
                <w:highlight w:val="none"/>
              </w:rPr>
              <w:t>交给有危险废物处置资质单位处置</w:t>
            </w:r>
          </w:p>
        </w:tc>
        <w:tc>
          <w:tcPr>
            <w:tcW w:w="3042" w:type="dxa"/>
            <w:vMerge w:val="continue"/>
            <w:vAlign w:val="center"/>
          </w:tcPr>
          <w:p>
            <w:pPr>
              <w:spacing w:line="216" w:lineRule="auto"/>
              <w:jc w:val="center"/>
              <w:rPr>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8" w:hRule="atLeast"/>
          <w:jc w:val="center"/>
        </w:trPr>
        <w:tc>
          <w:tcPr>
            <w:tcW w:w="675" w:type="dxa"/>
            <w:vAlign w:val="center"/>
          </w:tcPr>
          <w:p>
            <w:pPr>
              <w:keepNext w:val="0"/>
              <w:keepLines w:val="0"/>
              <w:pageBreakBefore w:val="0"/>
              <w:widowControl w:val="0"/>
              <w:kinsoku/>
              <w:wordWrap/>
              <w:overflowPunct/>
              <w:topLinePunct w:val="0"/>
              <w:autoSpaceDE/>
              <w:autoSpaceDN/>
              <w:bidi w:val="0"/>
              <w:adjustRightInd/>
              <w:snapToGrid/>
              <w:spacing w:line="288" w:lineRule="auto"/>
              <w:jc w:val="center"/>
              <w:textAlignment w:val="auto"/>
              <w:rPr>
                <w:color w:val="auto"/>
                <w:sz w:val="24"/>
                <w:highlight w:val="none"/>
              </w:rPr>
            </w:pPr>
            <w:r>
              <w:rPr>
                <w:rFonts w:hAnsi="宋体"/>
                <w:color w:val="auto"/>
                <w:sz w:val="24"/>
                <w:highlight w:val="none"/>
              </w:rPr>
              <w:t>噪</w:t>
            </w:r>
          </w:p>
          <w:p>
            <w:pPr>
              <w:keepNext w:val="0"/>
              <w:keepLines w:val="0"/>
              <w:pageBreakBefore w:val="0"/>
              <w:widowControl w:val="0"/>
              <w:kinsoku/>
              <w:wordWrap/>
              <w:overflowPunct/>
              <w:topLinePunct w:val="0"/>
              <w:autoSpaceDE/>
              <w:autoSpaceDN/>
              <w:bidi w:val="0"/>
              <w:adjustRightInd/>
              <w:snapToGrid/>
              <w:spacing w:line="288" w:lineRule="auto"/>
              <w:jc w:val="center"/>
              <w:textAlignment w:val="auto"/>
              <w:rPr>
                <w:color w:val="auto"/>
                <w:sz w:val="24"/>
                <w:highlight w:val="none"/>
              </w:rPr>
            </w:pPr>
            <w:r>
              <w:rPr>
                <w:rFonts w:hAnsi="宋体"/>
                <w:color w:val="auto"/>
                <w:sz w:val="24"/>
                <w:highlight w:val="none"/>
              </w:rPr>
              <w:t>声</w:t>
            </w:r>
          </w:p>
        </w:tc>
        <w:tc>
          <w:tcPr>
            <w:tcW w:w="9140" w:type="dxa"/>
            <w:gridSpan w:val="4"/>
            <w:vAlign w:val="center"/>
          </w:tcPr>
          <w:p>
            <w:pPr>
              <w:pStyle w:val="131"/>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本项目的噪声主要来自生产设备运行时产生的噪声，噪声值约为70～90dB(A)</w:t>
            </w:r>
            <w:r>
              <w:rPr>
                <w:rFonts w:ascii="Times New Roman" w:hAnsi="Times New Roman" w:cs="Times New Roman"/>
                <w:color w:val="auto"/>
                <w:sz w:val="24"/>
                <w:szCs w:val="24"/>
                <w:highlight w:val="none"/>
              </w:rPr>
              <w:t xml:space="preserve">；通过适当的隔声、减震、吸声并设置单独隔声间等降噪措施，使得噪声的排放达到《工业企业厂界环境噪声排放标准》(GB12348-2008) </w:t>
            </w:r>
            <w:r>
              <w:rPr>
                <w:rFonts w:hint="eastAsia" w:ascii="Times New Roman" w:hAnsi="Times New Roman" w:cs="Times New Roman"/>
                <w:color w:val="auto"/>
                <w:sz w:val="24"/>
                <w:szCs w:val="24"/>
                <w:highlight w:val="none"/>
              </w:rPr>
              <w:t>2类</w:t>
            </w:r>
            <w:r>
              <w:rPr>
                <w:rFonts w:ascii="Times New Roman" w:hAnsi="Times New Roman" w:cs="Times New Roman"/>
                <w:color w:val="auto"/>
                <w:sz w:val="24"/>
                <w:szCs w:val="24"/>
                <w:highlight w:val="none"/>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17" w:hRule="atLeast"/>
          <w:jc w:val="center"/>
        </w:trPr>
        <w:tc>
          <w:tcPr>
            <w:tcW w:w="9815" w:type="dxa"/>
            <w:gridSpan w:val="5"/>
          </w:tcPr>
          <w:p>
            <w:pPr>
              <w:keepNext w:val="0"/>
              <w:keepLines w:val="0"/>
              <w:pageBreakBefore w:val="0"/>
              <w:widowControl w:val="0"/>
              <w:kinsoku/>
              <w:wordWrap/>
              <w:overflowPunct/>
              <w:topLinePunct w:val="0"/>
              <w:autoSpaceDE/>
              <w:autoSpaceDN/>
              <w:bidi w:val="0"/>
              <w:adjustRightInd/>
              <w:snapToGrid/>
              <w:spacing w:line="288" w:lineRule="auto"/>
              <w:textAlignment w:val="auto"/>
              <w:rPr>
                <w:b/>
                <w:bCs/>
                <w:color w:val="auto"/>
                <w:sz w:val="24"/>
                <w:highlight w:val="none"/>
              </w:rPr>
            </w:pPr>
            <w:r>
              <w:rPr>
                <w:rFonts w:hAnsi="宋体"/>
                <w:b/>
                <w:bCs/>
                <w:color w:val="auto"/>
                <w:sz w:val="24"/>
                <w:highlight w:val="none"/>
              </w:rPr>
              <w:t>生态保护措施及预期效果</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color w:val="auto"/>
                <w:sz w:val="24"/>
                <w:highlight w:val="none"/>
              </w:rPr>
            </w:pPr>
            <w:r>
              <w:rPr>
                <w:rFonts w:hAnsi="宋体"/>
                <w:color w:val="auto"/>
                <w:sz w:val="24"/>
                <w:highlight w:val="none"/>
              </w:rPr>
              <w:t>本项目无施工工程及土地开发等方面，不直接对生态环境存在不利影响。项目建设在落实上述措施对各种污染物进行有效的治理，防治厂区内环境的污染，可降低其对周围生态环境的影响，并搞好周围的绿化、美化，以减少对附近区域生态环境的影响。</w:t>
            </w:r>
          </w:p>
        </w:tc>
      </w:tr>
    </w:tbl>
    <w:p>
      <w:pPr>
        <w:pStyle w:val="38"/>
        <w:jc w:val="left"/>
        <w:rPr>
          <w:rFonts w:ascii="Times New Roman" w:hAnsi="Times New Roman"/>
          <w:color w:val="auto"/>
          <w:highlight w:val="none"/>
        </w:rPr>
      </w:pPr>
      <w:r>
        <w:rPr>
          <w:rFonts w:hint="eastAsia" w:ascii="Times New Roman" w:hAnsi="Times New Roman"/>
          <w:color w:val="auto"/>
          <w:highlight w:val="none"/>
        </w:rPr>
        <w:t>结论与建议</w:t>
      </w:r>
    </w:p>
    <w:tbl>
      <w:tblPr>
        <w:tblStyle w:val="40"/>
        <w:tblW w:w="95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46" w:hRule="atLeast"/>
        </w:trPr>
        <w:tc>
          <w:tcPr>
            <w:tcW w:w="9571" w:type="dxa"/>
          </w:tcPr>
          <w:p>
            <w:pPr>
              <w:adjustRightInd w:val="0"/>
              <w:snapToGrid w:val="0"/>
              <w:spacing w:line="360" w:lineRule="auto"/>
              <w:ind w:firstLine="431"/>
              <w:rPr>
                <w:b/>
                <w:bCs/>
                <w:color w:val="auto"/>
                <w:sz w:val="24"/>
                <w:highlight w:val="none"/>
              </w:rPr>
            </w:pPr>
            <w:r>
              <w:rPr>
                <w:rFonts w:hint="eastAsia"/>
                <w:b/>
                <w:bCs/>
                <w:color w:val="auto"/>
                <w:sz w:val="24"/>
                <w:highlight w:val="none"/>
              </w:rPr>
              <w:t>一、项目概况</w:t>
            </w:r>
          </w:p>
          <w:p>
            <w:pPr>
              <w:spacing w:line="360" w:lineRule="auto"/>
              <w:ind w:left="-44" w:leftChars="-21" w:firstLine="511" w:firstLineChars="213"/>
              <w:rPr>
                <w:color w:val="auto"/>
                <w:sz w:val="24"/>
                <w:highlight w:val="none"/>
              </w:rPr>
            </w:pPr>
            <w:r>
              <w:rPr>
                <w:rFonts w:hint="eastAsia"/>
                <w:color w:val="auto"/>
                <w:sz w:val="24"/>
                <w:highlight w:val="none"/>
                <w:lang w:eastAsia="zh-CN"/>
              </w:rPr>
              <w:t>开平市水口镇荣辉模具厂年产卫浴塑料配件100万件建设项目</w:t>
            </w:r>
            <w:r>
              <w:rPr>
                <w:color w:val="auto"/>
                <w:sz w:val="24"/>
                <w:highlight w:val="none"/>
              </w:rPr>
              <w:t>位于</w:t>
            </w:r>
            <w:r>
              <w:rPr>
                <w:rFonts w:hint="eastAsia"/>
                <w:bCs/>
                <w:color w:val="auto"/>
                <w:sz w:val="24"/>
                <w:highlight w:val="none"/>
              </w:rPr>
              <w:t>开平市水口镇第一工业园平冈路4号</w:t>
            </w:r>
            <w:r>
              <w:rPr>
                <w:bCs/>
                <w:color w:val="auto"/>
                <w:sz w:val="24"/>
                <w:highlight w:val="none"/>
              </w:rPr>
              <w:t>（项目所在地中心卫星坐标：北纬</w:t>
            </w:r>
            <w:r>
              <w:rPr>
                <w:rFonts w:hint="eastAsia"/>
                <w:bCs/>
                <w:color w:val="auto"/>
                <w:sz w:val="24"/>
                <w:highlight w:val="none"/>
              </w:rPr>
              <w:t xml:space="preserve"> 22°27'16.38"</w:t>
            </w:r>
            <w:r>
              <w:rPr>
                <w:bCs/>
                <w:color w:val="auto"/>
                <w:sz w:val="24"/>
                <w:highlight w:val="none"/>
              </w:rPr>
              <w:t>，东经</w:t>
            </w:r>
            <w:r>
              <w:rPr>
                <w:rFonts w:hint="eastAsia"/>
                <w:bCs/>
                <w:color w:val="auto"/>
                <w:sz w:val="24"/>
                <w:highlight w:val="none"/>
              </w:rPr>
              <w:t>112°46'26.85"）</w:t>
            </w:r>
            <w:r>
              <w:rPr>
                <w:rFonts w:hint="eastAsia" w:hAnsi="宋体"/>
                <w:bCs/>
                <w:color w:val="auto"/>
                <w:sz w:val="24"/>
                <w:highlight w:val="none"/>
                <w:lang w:eastAsia="zh-CN"/>
              </w:rPr>
              <w:t>，</w:t>
            </w:r>
            <w:r>
              <w:rPr>
                <w:rFonts w:hint="eastAsia" w:hAnsi="宋体"/>
                <w:bCs/>
                <w:color w:val="auto"/>
                <w:sz w:val="24"/>
                <w:highlight w:val="none"/>
              </w:rPr>
              <w:t>所在厂区东面为宜居卫浴厂，南面为工业厂房，西面为合成钢材厂，北面为佳华不锈钢管厂。</w:t>
            </w:r>
            <w:r>
              <w:rPr>
                <w:rFonts w:hint="eastAsia"/>
                <w:bCs/>
                <w:color w:val="auto"/>
                <w:sz w:val="24"/>
                <w:highlight w:val="none"/>
              </w:rPr>
              <w:t>项目总投资100万元，占地面积810.7平方米，建筑</w:t>
            </w:r>
            <w:r>
              <w:rPr>
                <w:bCs/>
                <w:color w:val="auto"/>
                <w:sz w:val="24"/>
                <w:highlight w:val="none"/>
              </w:rPr>
              <w:t>面积</w:t>
            </w:r>
            <w:r>
              <w:rPr>
                <w:rFonts w:hint="eastAsia"/>
                <w:bCs/>
                <w:color w:val="auto"/>
                <w:sz w:val="24"/>
                <w:highlight w:val="none"/>
                <w:lang w:eastAsia="zh-CN"/>
              </w:rPr>
              <w:t>810.7</w:t>
            </w:r>
            <w:r>
              <w:rPr>
                <w:rFonts w:hint="eastAsia"/>
                <w:bCs/>
                <w:color w:val="auto"/>
                <w:sz w:val="24"/>
                <w:highlight w:val="none"/>
              </w:rPr>
              <w:t>平方米，主要从事卫浴塑料配件的加工生产，年产量为</w:t>
            </w:r>
            <w:r>
              <w:rPr>
                <w:rFonts w:hint="eastAsia"/>
                <w:color w:val="auto"/>
                <w:sz w:val="24"/>
                <w:highlight w:val="none"/>
              </w:rPr>
              <w:t>100万件。</w:t>
            </w:r>
          </w:p>
          <w:p>
            <w:pPr>
              <w:adjustRightInd w:val="0"/>
              <w:snapToGrid w:val="0"/>
              <w:spacing w:line="360" w:lineRule="auto"/>
              <w:ind w:firstLine="431"/>
              <w:rPr>
                <w:b/>
                <w:bCs/>
                <w:color w:val="auto"/>
                <w:sz w:val="24"/>
                <w:highlight w:val="none"/>
              </w:rPr>
            </w:pPr>
            <w:r>
              <w:rPr>
                <w:b/>
                <w:bCs/>
                <w:color w:val="auto"/>
                <w:sz w:val="24"/>
                <w:highlight w:val="none"/>
              </w:rPr>
              <w:t>二、环境质量现状</w:t>
            </w:r>
          </w:p>
          <w:p>
            <w:pPr>
              <w:pStyle w:val="3"/>
              <w:pageBreakBefore w:val="0"/>
              <w:widowControl w:val="0"/>
              <w:kinsoku/>
              <w:wordWrap/>
              <w:overflowPunct/>
              <w:topLinePunct w:val="0"/>
              <w:bidi w:val="0"/>
              <w:spacing w:before="0" w:after="0" w:line="360" w:lineRule="auto"/>
              <w:ind w:firstLine="470" w:firstLineChars="196"/>
              <w:rPr>
                <w:rFonts w:hint="eastAsia" w:ascii="Times New Roman" w:hAnsi="Times New Roman" w:eastAsiaTheme="minorEastAsia"/>
                <w:b w:val="0"/>
                <w:bCs/>
                <w:color w:val="auto"/>
                <w:sz w:val="24"/>
                <w:szCs w:val="24"/>
                <w:highlight w:val="none"/>
              </w:rPr>
            </w:pPr>
            <w:r>
              <w:rPr>
                <w:rFonts w:hint="eastAsia" w:ascii="Times New Roman" w:hAnsi="Times New Roman" w:cs="Times New Roman" w:eastAsiaTheme="minorEastAsia"/>
                <w:b w:val="0"/>
                <w:bCs/>
                <w:color w:val="auto"/>
                <w:sz w:val="24"/>
                <w:szCs w:val="24"/>
                <w:highlight w:val="none"/>
                <w:lang w:eastAsia="zh-CN"/>
              </w:rPr>
              <w:t>（</w:t>
            </w:r>
            <w:r>
              <w:rPr>
                <w:rFonts w:hint="eastAsia" w:ascii="Times New Roman" w:hAnsi="Times New Roman" w:cs="Times New Roman" w:eastAsiaTheme="minorEastAsia"/>
                <w:b w:val="0"/>
                <w:bCs/>
                <w:color w:val="auto"/>
                <w:sz w:val="24"/>
                <w:szCs w:val="24"/>
                <w:highlight w:val="none"/>
                <w:lang w:val="en-US" w:eastAsia="zh-CN"/>
              </w:rPr>
              <w:t>1</w:t>
            </w:r>
            <w:r>
              <w:rPr>
                <w:rFonts w:hint="eastAsia" w:ascii="Times New Roman" w:hAnsi="Times New Roman" w:cs="Times New Roman" w:eastAsiaTheme="minorEastAsia"/>
                <w:b w:val="0"/>
                <w:bCs/>
                <w:color w:val="auto"/>
                <w:sz w:val="24"/>
                <w:szCs w:val="24"/>
                <w:highlight w:val="none"/>
                <w:lang w:eastAsia="zh-CN"/>
              </w:rPr>
              <w:t>）</w:t>
            </w:r>
            <w:r>
              <w:rPr>
                <w:rFonts w:ascii="Times New Roman" w:hAnsi="Times New Roman" w:eastAsiaTheme="minorEastAsia"/>
                <w:b w:val="0"/>
                <w:bCs/>
                <w:color w:val="auto"/>
                <w:sz w:val="24"/>
                <w:szCs w:val="24"/>
                <w:highlight w:val="none"/>
              </w:rPr>
              <w:t>本项目所在区域为环境空气质量不达标区域；SO</w:t>
            </w:r>
            <w:r>
              <w:rPr>
                <w:rFonts w:ascii="Times New Roman" w:hAnsi="Times New Roman" w:eastAsiaTheme="minorEastAsia"/>
                <w:b w:val="0"/>
                <w:bCs/>
                <w:color w:val="auto"/>
                <w:sz w:val="24"/>
                <w:szCs w:val="24"/>
                <w:highlight w:val="none"/>
                <w:vertAlign w:val="subscript"/>
              </w:rPr>
              <w:t>2</w:t>
            </w:r>
            <w:r>
              <w:rPr>
                <w:rFonts w:ascii="Times New Roman" w:hAnsi="Times New Roman" w:eastAsiaTheme="minorEastAsia"/>
                <w:b w:val="0"/>
                <w:bCs/>
                <w:color w:val="auto"/>
                <w:sz w:val="24"/>
                <w:szCs w:val="24"/>
                <w:highlight w:val="none"/>
              </w:rPr>
              <w:t>、NO</w:t>
            </w:r>
            <w:r>
              <w:rPr>
                <w:rFonts w:ascii="Times New Roman" w:hAnsi="Times New Roman" w:eastAsiaTheme="minorEastAsia"/>
                <w:b w:val="0"/>
                <w:bCs/>
                <w:color w:val="auto"/>
                <w:sz w:val="24"/>
                <w:szCs w:val="24"/>
                <w:highlight w:val="none"/>
                <w:vertAlign w:val="subscript"/>
              </w:rPr>
              <w:t>2</w:t>
            </w:r>
            <w:r>
              <w:rPr>
                <w:rFonts w:ascii="Times New Roman" w:hAnsi="Times New Roman" w:eastAsiaTheme="minorEastAsia"/>
                <w:b w:val="0"/>
                <w:bCs/>
                <w:color w:val="auto"/>
                <w:sz w:val="24"/>
                <w:szCs w:val="24"/>
                <w:highlight w:val="none"/>
              </w:rPr>
              <w:t>、PM</w:t>
            </w:r>
            <w:r>
              <w:rPr>
                <w:rFonts w:ascii="Times New Roman" w:hAnsi="Times New Roman" w:eastAsiaTheme="minorEastAsia"/>
                <w:b w:val="0"/>
                <w:bCs/>
                <w:color w:val="auto"/>
                <w:sz w:val="24"/>
                <w:szCs w:val="24"/>
                <w:highlight w:val="none"/>
                <w:vertAlign w:val="subscript"/>
              </w:rPr>
              <w:t>10</w:t>
            </w:r>
            <w:r>
              <w:rPr>
                <w:rFonts w:ascii="Times New Roman" w:hAnsi="Times New Roman" w:eastAsiaTheme="minorEastAsia"/>
                <w:b w:val="0"/>
                <w:bCs/>
                <w:color w:val="auto"/>
                <w:sz w:val="24"/>
                <w:szCs w:val="24"/>
                <w:highlight w:val="none"/>
              </w:rPr>
              <w:t>、PM</w:t>
            </w:r>
            <w:r>
              <w:rPr>
                <w:rFonts w:ascii="Times New Roman" w:hAnsi="Times New Roman" w:eastAsiaTheme="minorEastAsia"/>
                <w:b w:val="0"/>
                <w:bCs/>
                <w:color w:val="auto"/>
                <w:sz w:val="24"/>
                <w:szCs w:val="24"/>
                <w:highlight w:val="none"/>
                <w:vertAlign w:val="subscript"/>
              </w:rPr>
              <w:t>2.5</w:t>
            </w:r>
            <w:r>
              <w:rPr>
                <w:rFonts w:ascii="Times New Roman" w:hAnsi="Times New Roman" w:eastAsiaTheme="minorEastAsia"/>
                <w:b w:val="0"/>
                <w:bCs/>
                <w:color w:val="auto"/>
                <w:sz w:val="24"/>
                <w:szCs w:val="24"/>
                <w:highlight w:val="none"/>
              </w:rPr>
              <w:t>年平均质量浓度以及CO日均值第95百分位数浓度均满足《环境空气质量标准》（GB3095-2012）及”2018修改单”二级标准要求，O</w:t>
            </w:r>
            <w:r>
              <w:rPr>
                <w:rFonts w:ascii="Times New Roman" w:hAnsi="Times New Roman" w:eastAsiaTheme="minorEastAsia"/>
                <w:b w:val="0"/>
                <w:bCs/>
                <w:color w:val="auto"/>
                <w:sz w:val="24"/>
                <w:szCs w:val="24"/>
                <w:highlight w:val="none"/>
                <w:vertAlign w:val="subscript"/>
              </w:rPr>
              <w:t>3</w:t>
            </w:r>
            <w:r>
              <w:rPr>
                <w:rFonts w:ascii="Times New Roman" w:hAnsi="Times New Roman" w:eastAsiaTheme="minorEastAsia"/>
                <w:b w:val="0"/>
                <w:bCs/>
                <w:color w:val="auto"/>
                <w:sz w:val="24"/>
                <w:szCs w:val="24"/>
                <w:highlight w:val="none"/>
              </w:rPr>
              <w:t>日最大8小时平均第90百分位数不能满足《环境空气质量标准》（GB3095-2012）及”2018修改单”二级标准要求</w:t>
            </w:r>
            <w:r>
              <w:rPr>
                <w:rFonts w:hint="eastAsia" w:ascii="Times New Roman" w:hAnsi="Times New Roman" w:eastAsiaTheme="minorEastAsia"/>
                <w:b w:val="0"/>
                <w:bCs/>
                <w:color w:val="auto"/>
                <w:sz w:val="24"/>
                <w:szCs w:val="24"/>
                <w:highlight w:val="none"/>
              </w:rPr>
              <w:t>；非甲烷总烃满足《大气污染物综合排放标准详解》中解释标准</w:t>
            </w:r>
            <w:r>
              <w:rPr>
                <w:rFonts w:hint="eastAsia" w:ascii="Times New Roman" w:hAnsi="Times New Roman" w:eastAsiaTheme="minorEastAsia"/>
                <w:b w:val="0"/>
                <w:bCs/>
                <w:color w:val="auto"/>
                <w:sz w:val="24"/>
                <w:szCs w:val="24"/>
                <w:highlight w:val="none"/>
                <w:lang w:eastAsia="zh-CN"/>
              </w:rPr>
              <w:t>；TSP满足《环境空气质量标准》（GB3095-2012）及”2018修改单”二级标准要求</w:t>
            </w:r>
            <w:r>
              <w:rPr>
                <w:rFonts w:hint="eastAsia" w:ascii="Times New Roman" w:hAnsi="Times New Roman" w:eastAsiaTheme="minorEastAsia"/>
                <w:b w:val="0"/>
                <w:bCs/>
                <w:color w:val="auto"/>
                <w:sz w:val="24"/>
                <w:szCs w:val="24"/>
                <w:highlight w:val="none"/>
              </w:rPr>
              <w:t>。说明项目所在地环境质量现状一般。</w:t>
            </w:r>
          </w:p>
          <w:p>
            <w:pPr>
              <w:pStyle w:val="3"/>
              <w:pageBreakBefore w:val="0"/>
              <w:widowControl w:val="0"/>
              <w:kinsoku/>
              <w:wordWrap/>
              <w:overflowPunct/>
              <w:topLinePunct w:val="0"/>
              <w:bidi w:val="0"/>
              <w:spacing w:before="0" w:after="0" w:line="360" w:lineRule="auto"/>
              <w:ind w:firstLine="470" w:firstLineChars="196"/>
              <w:rPr>
                <w:rFonts w:hint="default" w:ascii="Times New Roman" w:hAnsi="Times New Roman" w:cs="Times New Roman" w:eastAsiaTheme="minorEastAsia"/>
                <w:b w:val="0"/>
                <w:bCs/>
                <w:color w:val="auto"/>
                <w:sz w:val="24"/>
                <w:highlight w:val="none"/>
              </w:rPr>
            </w:pPr>
            <w:r>
              <w:rPr>
                <w:rFonts w:hint="default" w:ascii="Times New Roman" w:hAnsi="Times New Roman" w:cs="Times New Roman" w:eastAsiaTheme="minorEastAsia"/>
                <w:b w:val="0"/>
                <w:bCs/>
                <w:color w:val="auto"/>
                <w:sz w:val="24"/>
                <w:highlight w:val="none"/>
              </w:rPr>
              <w:t>为改善环境质量，江门市已印发《江门市环境空气质量限期达标规划（2018-2020年）》，通过调整产业结构、优化工业布局；优化能源结构，提高清洁能源使用率；强化环境监管，加大工业园减排力度；调整运输结构，强化移动原污染防治；加强精细化管理，深化面源污染治理；强化能力建设，提高环境管理水平；健全法律法规体系，完善环境管理政策等大气污染防治强化措施，实行区域内2020年环境空气质量全面达标，环境空气质量指标能稳定达到《环境空气质量标准》（GB3095-2012）及”2018修改单”二级标准要求。</w:t>
            </w:r>
          </w:p>
          <w:p>
            <w:pPr>
              <w:numPr>
                <w:ilvl w:val="0"/>
                <w:numId w:val="11"/>
              </w:num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从潭江的水质监测数据及结果分析可见，潭江干流牛湾（退潮）断面地表水水质未能达到《地表水环境质量标准》（GB3838-2002）Ⅲ类标准的要求，说明水环境质量现状一般，</w:t>
            </w:r>
            <w:r>
              <w:rPr>
                <w:rFonts w:hint="eastAsia" w:ascii="宋体" w:hAnsi="宋体" w:eastAsia="宋体"/>
                <w:b w:val="0"/>
                <w:bCs/>
                <w:color w:val="auto"/>
                <w:sz w:val="24"/>
                <w:highlight w:val="none"/>
              </w:rPr>
              <w:t>故该区域为</w:t>
            </w:r>
            <w:r>
              <w:rPr>
                <w:rFonts w:hint="eastAsia" w:hAnsi="宋体" w:eastAsia="宋体"/>
                <w:b w:val="0"/>
                <w:bCs/>
                <w:color w:val="auto"/>
                <w:sz w:val="24"/>
                <w:highlight w:val="none"/>
                <w:lang w:eastAsia="zh-CN"/>
              </w:rPr>
              <w:t>地表水环境</w:t>
            </w:r>
            <w:r>
              <w:rPr>
                <w:rFonts w:hint="eastAsia" w:ascii="宋体" w:hAnsi="宋体" w:eastAsia="宋体"/>
                <w:b w:val="0"/>
                <w:bCs/>
                <w:color w:val="auto"/>
                <w:sz w:val="24"/>
                <w:highlight w:val="none"/>
              </w:rPr>
              <w:t>质量不达标区域</w:t>
            </w:r>
            <w:r>
              <w:rPr>
                <w:rFonts w:ascii="Times New Roman" w:hAnsi="Times New Roman" w:eastAsia="宋体"/>
                <w:b w:val="0"/>
                <w:bCs/>
                <w:color w:val="auto"/>
                <w:szCs w:val="24"/>
                <w:highlight w:val="none"/>
                <w:shd w:val="clear" w:color="auto" w:fill="auto"/>
              </w:rPr>
              <w:t>。</w:t>
            </w:r>
          </w:p>
          <w:p>
            <w:pPr>
              <w:pStyle w:val="3"/>
              <w:pageBreakBefore w:val="0"/>
              <w:widowControl w:val="0"/>
              <w:kinsoku/>
              <w:wordWrap/>
              <w:overflowPunct/>
              <w:topLinePunct w:val="0"/>
              <w:bidi w:val="0"/>
              <w:spacing w:before="0" w:after="0" w:line="360" w:lineRule="auto"/>
              <w:ind w:firstLine="470" w:firstLineChars="196"/>
              <w:rPr>
                <w:rFonts w:hint="eastAsia" w:ascii="Times New Roman" w:hAnsi="Times New Roman" w:eastAsia="宋体"/>
                <w:b w:val="0"/>
                <w:bCs/>
                <w:color w:val="auto"/>
                <w:szCs w:val="24"/>
                <w:highlight w:val="none"/>
                <w:shd w:val="clear" w:color="auto" w:fill="auto"/>
              </w:rPr>
            </w:pPr>
            <w:r>
              <w:rPr>
                <w:rFonts w:hint="eastAsia" w:ascii="Times New Roman" w:hAnsi="Times New Roman" w:eastAsia="宋体"/>
                <w:b w:val="0"/>
                <w:bCs/>
                <w:color w:val="auto"/>
                <w:szCs w:val="24"/>
                <w:highlight w:val="none"/>
                <w:shd w:val="clear" w:color="auto" w:fill="auto"/>
              </w:rPr>
              <w:t>鉴于项目区域水质较差，地方政府一方面应加快城镇生活污水处理厂及其管网的建设，另一方面环保部门需加强工业污染源的监管，确保水质达标：</w:t>
            </w:r>
          </w:p>
          <w:p>
            <w:pPr>
              <w:pStyle w:val="3"/>
              <w:pageBreakBefore w:val="0"/>
              <w:widowControl w:val="0"/>
              <w:numPr>
                <w:ilvl w:val="0"/>
                <w:numId w:val="0"/>
              </w:numPr>
              <w:kinsoku/>
              <w:wordWrap/>
              <w:overflowPunct/>
              <w:topLinePunct w:val="0"/>
              <w:bidi w:val="0"/>
              <w:spacing w:before="0" w:after="0" w:line="360" w:lineRule="auto"/>
              <w:ind w:firstLine="480" w:firstLineChars="200"/>
              <w:rPr>
                <w:rFonts w:hint="eastAsia" w:ascii="Times New Roman" w:hAnsi="Times New Roman" w:eastAsia="宋体"/>
                <w:b w:val="0"/>
                <w:bCs/>
                <w:color w:val="auto"/>
                <w:szCs w:val="24"/>
                <w:highlight w:val="none"/>
                <w:shd w:val="clear" w:color="auto" w:fill="auto"/>
              </w:rPr>
            </w:pPr>
            <w:r>
              <w:rPr>
                <w:rFonts w:hint="eastAsia" w:ascii="Times New Roman" w:hAnsi="Times New Roman" w:eastAsia="宋体"/>
                <w:b w:val="0"/>
                <w:bCs/>
                <w:color w:val="auto"/>
                <w:szCs w:val="24"/>
                <w:highlight w:val="none"/>
                <w:shd w:val="clear" w:color="auto" w:fill="auto"/>
                <w:lang w:eastAsia="zh-CN"/>
              </w:rPr>
              <w:t>①</w:t>
            </w:r>
            <w:r>
              <w:rPr>
                <w:rFonts w:hint="eastAsia" w:ascii="Times New Roman" w:hAnsi="Times New Roman" w:eastAsia="宋体"/>
                <w:b w:val="0"/>
                <w:bCs/>
                <w:color w:val="auto"/>
                <w:szCs w:val="24"/>
                <w:highlight w:val="none"/>
                <w:shd w:val="clear" w:color="auto" w:fill="auto"/>
              </w:rPr>
              <w:t>加快片区生活污水处理厂建设进度</w:t>
            </w:r>
            <w:r>
              <w:rPr>
                <w:rFonts w:hint="eastAsia" w:ascii="Times New Roman" w:hAnsi="Times New Roman" w:eastAsia="宋体"/>
                <w:b w:val="0"/>
                <w:bCs/>
                <w:color w:val="auto"/>
                <w:szCs w:val="24"/>
                <w:highlight w:val="none"/>
                <w:shd w:val="clear" w:color="auto" w:fill="auto"/>
                <w:lang w:eastAsia="zh-CN"/>
              </w:rPr>
              <w:t>；</w:t>
            </w:r>
            <w:r>
              <w:rPr>
                <w:rFonts w:hint="eastAsia" w:ascii="Times New Roman" w:hAnsi="Times New Roman" w:eastAsia="宋体"/>
                <w:b w:val="0"/>
                <w:bCs/>
                <w:color w:val="auto"/>
                <w:szCs w:val="24"/>
                <w:highlight w:val="none"/>
                <w:shd w:val="clear" w:color="auto" w:fill="auto"/>
                <w:lang w:val="en-US" w:eastAsia="zh-CN"/>
              </w:rPr>
              <w:t>②</w:t>
            </w:r>
            <w:r>
              <w:rPr>
                <w:rFonts w:hint="eastAsia" w:ascii="Times New Roman" w:hAnsi="Times New Roman" w:eastAsia="宋体"/>
                <w:b w:val="0"/>
                <w:bCs/>
                <w:color w:val="auto"/>
                <w:szCs w:val="24"/>
                <w:highlight w:val="none"/>
                <w:shd w:val="clear" w:color="auto" w:fill="auto"/>
              </w:rPr>
              <w:t>清理河涌淤泥，并妥善处理处置</w:t>
            </w:r>
            <w:r>
              <w:rPr>
                <w:rFonts w:hint="eastAsia" w:ascii="Times New Roman" w:hAnsi="Times New Roman" w:eastAsia="宋体"/>
                <w:b w:val="0"/>
                <w:bCs/>
                <w:color w:val="auto"/>
                <w:szCs w:val="24"/>
                <w:highlight w:val="none"/>
                <w:shd w:val="clear" w:color="auto" w:fill="auto"/>
                <w:lang w:eastAsia="zh-CN"/>
              </w:rPr>
              <w:t>；</w:t>
            </w:r>
            <w:r>
              <w:rPr>
                <w:rFonts w:hint="eastAsia" w:ascii="Times New Roman" w:hAnsi="Times New Roman" w:eastAsia="宋体"/>
                <w:b w:val="0"/>
                <w:bCs/>
                <w:color w:val="auto"/>
                <w:szCs w:val="24"/>
                <w:highlight w:val="none"/>
                <w:shd w:val="clear" w:color="auto" w:fill="auto"/>
                <w:lang w:val="en-US" w:eastAsia="zh-CN"/>
              </w:rPr>
              <w:t>③</w:t>
            </w:r>
            <w:r>
              <w:rPr>
                <w:rFonts w:hint="eastAsia" w:ascii="Times New Roman" w:hAnsi="Times New Roman" w:eastAsia="宋体"/>
                <w:b w:val="0"/>
                <w:bCs/>
                <w:color w:val="auto"/>
                <w:szCs w:val="24"/>
                <w:highlight w:val="none"/>
                <w:shd w:val="clear" w:color="auto" w:fill="auto"/>
              </w:rPr>
              <w:t>促进企业实施清洁生产，尽可能将处理后的废水回用于绿化、冲厕等方面，减少废水的产生和排放</w:t>
            </w:r>
            <w:r>
              <w:rPr>
                <w:rFonts w:hint="eastAsia" w:ascii="Times New Roman" w:hAnsi="Times New Roman" w:eastAsia="宋体"/>
                <w:b w:val="0"/>
                <w:bCs/>
                <w:color w:val="auto"/>
                <w:szCs w:val="24"/>
                <w:highlight w:val="none"/>
                <w:shd w:val="clear" w:color="auto" w:fill="auto"/>
                <w:lang w:eastAsia="zh-CN"/>
              </w:rPr>
              <w:t>；④</w:t>
            </w:r>
            <w:r>
              <w:rPr>
                <w:rFonts w:hint="eastAsia" w:ascii="Times New Roman" w:hAnsi="Times New Roman" w:eastAsia="宋体"/>
                <w:b w:val="0"/>
                <w:bCs/>
                <w:color w:val="auto"/>
                <w:szCs w:val="24"/>
                <w:highlight w:val="none"/>
                <w:shd w:val="clear" w:color="auto" w:fill="auto"/>
              </w:rPr>
              <w:t>加强</w:t>
            </w:r>
            <w:r>
              <w:rPr>
                <w:rFonts w:hint="eastAsia" w:ascii="Times New Roman" w:hAnsi="Times New Roman" w:eastAsia="宋体"/>
                <w:b w:val="0"/>
                <w:bCs/>
                <w:color w:val="auto"/>
                <w:szCs w:val="24"/>
                <w:highlight w:val="none"/>
                <w:shd w:val="clear" w:color="auto" w:fill="auto"/>
                <w:lang w:eastAsia="zh-CN"/>
              </w:rPr>
              <w:t>水口镇</w:t>
            </w:r>
            <w:r>
              <w:rPr>
                <w:rFonts w:hint="eastAsia" w:ascii="Times New Roman" w:hAnsi="Times New Roman" w:eastAsia="宋体"/>
                <w:b w:val="0"/>
                <w:bCs/>
                <w:color w:val="auto"/>
                <w:szCs w:val="24"/>
                <w:highlight w:val="none"/>
                <w:shd w:val="clear" w:color="auto" w:fill="auto"/>
              </w:rPr>
              <w:t>工业企业环境管理。</w:t>
            </w:r>
            <w:r>
              <w:rPr>
                <w:rFonts w:hint="eastAsia" w:ascii="Times New Roman" w:hAnsi="Times New Roman" w:eastAsia="宋体"/>
                <w:b w:val="0"/>
                <w:bCs/>
                <w:color w:val="auto"/>
                <w:szCs w:val="24"/>
                <w:highlight w:val="none"/>
                <w:shd w:val="clear" w:color="auto" w:fill="auto"/>
                <w:lang w:eastAsia="zh-CN"/>
              </w:rPr>
              <w:t>水口镇</w:t>
            </w:r>
            <w:r>
              <w:rPr>
                <w:rFonts w:hint="eastAsia" w:ascii="Times New Roman" w:hAnsi="Times New Roman" w:eastAsia="宋体"/>
                <w:b w:val="0"/>
                <w:bCs/>
                <w:color w:val="auto"/>
                <w:szCs w:val="24"/>
                <w:highlight w:val="none"/>
                <w:shd w:val="clear" w:color="auto" w:fill="auto"/>
              </w:rPr>
              <w:t>排污企业偷排、漏排不达标污水以及超水量排放污水也是造成镇海水污染的主要因素之一，因此，环境监察部门应严查严惩</w:t>
            </w:r>
            <w:r>
              <w:rPr>
                <w:rFonts w:hint="eastAsia" w:ascii="Times New Roman" w:hAnsi="Times New Roman" w:eastAsia="宋体"/>
                <w:b w:val="0"/>
                <w:bCs/>
                <w:color w:val="auto"/>
                <w:szCs w:val="24"/>
                <w:highlight w:val="none"/>
                <w:shd w:val="clear" w:color="auto" w:fill="auto"/>
                <w:lang w:eastAsia="zh-CN"/>
              </w:rPr>
              <w:t>水口镇</w:t>
            </w:r>
            <w:r>
              <w:rPr>
                <w:rFonts w:hint="eastAsia" w:ascii="Times New Roman" w:hAnsi="Times New Roman" w:eastAsia="宋体"/>
                <w:b w:val="0"/>
                <w:bCs/>
                <w:color w:val="auto"/>
                <w:szCs w:val="24"/>
                <w:highlight w:val="none"/>
                <w:shd w:val="clear" w:color="auto" w:fill="auto"/>
              </w:rPr>
              <w:t>偷排漏排企业，使企业做到达标且不超水量排放。</w:t>
            </w:r>
          </w:p>
          <w:p>
            <w:pPr>
              <w:numPr>
                <w:ilvl w:val="0"/>
                <w:numId w:val="11"/>
              </w:num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从监测结果可以看出，项目所在地各监测点噪声值均达到《声环境质量标准》(GB3096—2008)2类标准（即昼间≤60dB（A）、夜间≤50dB（A））。结果表明项目所在地声环境质量较好。</w:t>
            </w:r>
          </w:p>
          <w:p>
            <w:pPr>
              <w:adjustRightInd w:val="0"/>
              <w:snapToGrid w:val="0"/>
              <w:spacing w:line="360" w:lineRule="auto"/>
              <w:ind w:firstLine="354" w:firstLineChars="147"/>
              <w:rPr>
                <w:b/>
                <w:bCs/>
                <w:color w:val="auto"/>
                <w:sz w:val="24"/>
                <w:highlight w:val="none"/>
              </w:rPr>
            </w:pPr>
            <w:r>
              <w:rPr>
                <w:rFonts w:hint="eastAsia"/>
                <w:b/>
                <w:bCs/>
                <w:color w:val="auto"/>
                <w:sz w:val="24"/>
                <w:highlight w:val="none"/>
              </w:rPr>
              <w:t>三、环境影响评价结论</w:t>
            </w:r>
          </w:p>
          <w:p>
            <w:pPr>
              <w:spacing w:line="360" w:lineRule="auto"/>
              <w:ind w:firstLine="480"/>
              <w:rPr>
                <w:b/>
                <w:bCs/>
                <w:color w:val="auto"/>
                <w:sz w:val="24"/>
                <w:highlight w:val="none"/>
              </w:rPr>
            </w:pPr>
            <w:r>
              <w:rPr>
                <w:b/>
                <w:bCs/>
                <w:color w:val="auto"/>
                <w:sz w:val="24"/>
                <w:highlight w:val="none"/>
              </w:rPr>
              <w:t>1、环境空气影响评价结论</w:t>
            </w:r>
          </w:p>
          <w:p>
            <w:pPr>
              <w:spacing w:line="360" w:lineRule="auto"/>
              <w:ind w:firstLine="482" w:firstLineChars="200"/>
              <w:rPr>
                <w:rFonts w:hint="eastAsia" w:hAnsi="宋体"/>
                <w:color w:val="auto"/>
                <w:sz w:val="24"/>
                <w:highlight w:val="none"/>
                <w:lang w:eastAsia="zh-CN"/>
              </w:rPr>
            </w:pPr>
            <w:r>
              <w:rPr>
                <w:rFonts w:hint="eastAsia"/>
                <w:b/>
                <w:color w:val="auto"/>
                <w:sz w:val="24"/>
                <w:szCs w:val="23"/>
                <w:highlight w:val="none"/>
              </w:rPr>
              <w:t>注塑工序：</w:t>
            </w:r>
            <w:r>
              <w:rPr>
                <w:rFonts w:hint="eastAsia"/>
                <w:color w:val="auto"/>
                <w:sz w:val="24"/>
                <w:highlight w:val="none"/>
              </w:rPr>
              <w:t>项目注塑工序</w:t>
            </w:r>
            <w:r>
              <w:rPr>
                <w:rFonts w:hAnsi="宋体"/>
                <w:color w:val="auto"/>
                <w:sz w:val="24"/>
                <w:highlight w:val="none"/>
              </w:rPr>
              <w:t>对</w:t>
            </w:r>
            <w:r>
              <w:rPr>
                <w:rFonts w:hint="eastAsia"/>
                <w:color w:val="auto"/>
                <w:sz w:val="24"/>
                <w:highlight w:val="none"/>
              </w:rPr>
              <w:t>塑胶粒进行</w:t>
            </w:r>
            <w:r>
              <w:rPr>
                <w:rFonts w:hAnsi="宋体"/>
                <w:color w:val="auto"/>
                <w:sz w:val="24"/>
                <w:highlight w:val="none"/>
              </w:rPr>
              <w:t>加热</w:t>
            </w:r>
            <w:r>
              <w:rPr>
                <w:rFonts w:hint="eastAsia" w:hAnsi="宋体"/>
                <w:color w:val="auto"/>
                <w:sz w:val="24"/>
                <w:highlight w:val="none"/>
              </w:rPr>
              <w:t>融化过程</w:t>
            </w:r>
            <w:r>
              <w:rPr>
                <w:rFonts w:hAnsi="宋体"/>
                <w:color w:val="auto"/>
                <w:sz w:val="24"/>
                <w:highlight w:val="none"/>
              </w:rPr>
              <w:t>会产生少量</w:t>
            </w:r>
            <w:r>
              <w:rPr>
                <w:rFonts w:hint="eastAsia" w:hAnsi="宋体"/>
                <w:color w:val="auto"/>
                <w:sz w:val="24"/>
                <w:highlight w:val="none"/>
                <w:lang w:eastAsia="zh-CN"/>
              </w:rPr>
              <w:t>臭气和</w:t>
            </w:r>
            <w:r>
              <w:rPr>
                <w:rFonts w:hint="eastAsia" w:hAnsi="宋体"/>
                <w:color w:val="auto"/>
                <w:sz w:val="24"/>
                <w:highlight w:val="none"/>
              </w:rPr>
              <w:t>有机废气</w:t>
            </w:r>
            <w:r>
              <w:rPr>
                <w:rFonts w:hint="eastAsia" w:hAnsi="宋体"/>
                <w:color w:val="auto"/>
                <w:sz w:val="24"/>
                <w:highlight w:val="none"/>
                <w:lang w:eastAsia="zh-CN"/>
              </w:rPr>
              <w:t>。</w:t>
            </w:r>
          </w:p>
          <w:p>
            <w:pPr>
              <w:spacing w:line="360" w:lineRule="auto"/>
              <w:ind w:firstLine="480" w:firstLineChars="200"/>
              <w:rPr>
                <w:rFonts w:hint="eastAsia" w:hAnsi="宋体"/>
                <w:color w:val="auto"/>
                <w:sz w:val="24"/>
                <w:highlight w:val="none"/>
                <w:lang w:val="en-US" w:eastAsia="zh-CN"/>
              </w:rPr>
            </w:pPr>
            <w:r>
              <w:rPr>
                <w:rFonts w:hint="eastAsia" w:hAnsi="宋体"/>
                <w:color w:val="auto"/>
                <w:sz w:val="24"/>
                <w:highlight w:val="none"/>
                <w:lang w:eastAsia="zh-CN"/>
              </w:rPr>
              <w:t>根据工程分析，</w:t>
            </w:r>
            <w:r>
              <w:rPr>
                <w:rFonts w:hint="eastAsia" w:hAnsi="宋体"/>
                <w:color w:val="auto"/>
                <w:sz w:val="24"/>
                <w:highlight w:val="none"/>
              </w:rPr>
              <w:t>臭气浓度较低，</w:t>
            </w:r>
            <w:r>
              <w:rPr>
                <w:rFonts w:hint="eastAsia" w:hAnsi="宋体"/>
                <w:color w:val="auto"/>
                <w:sz w:val="24"/>
                <w:highlight w:val="none"/>
                <w:lang w:val="en-US" w:eastAsia="zh-CN"/>
              </w:rPr>
              <w:t>无组织排放满足《</w:t>
            </w:r>
            <w:r>
              <w:rPr>
                <w:rFonts w:hint="eastAsia" w:hAnsi="宋体"/>
                <w:color w:val="auto"/>
                <w:sz w:val="24"/>
                <w:highlight w:val="none"/>
              </w:rPr>
              <w:t>恶臭污染物排放标准</w:t>
            </w:r>
            <w:r>
              <w:rPr>
                <w:rFonts w:hint="eastAsia" w:hAnsi="宋体"/>
                <w:color w:val="auto"/>
                <w:sz w:val="24"/>
                <w:highlight w:val="none"/>
                <w:lang w:val="en-US" w:eastAsia="zh-CN"/>
              </w:rPr>
              <w:t>》（GB 14554—93）表1恶臭污染物厂界标准值二级新扩改建臭气浓度：≤20（无纲量）要求。</w:t>
            </w:r>
          </w:p>
          <w:p>
            <w:pPr>
              <w:spacing w:line="360" w:lineRule="auto"/>
              <w:ind w:firstLine="480" w:firstLineChars="200"/>
              <w:rPr>
                <w:rFonts w:hint="default" w:ascii="Times New Roman" w:hAnsi="Times New Roman" w:cs="Times New Roman"/>
                <w:color w:val="auto"/>
                <w:sz w:val="24"/>
                <w:highlight w:val="none"/>
                <w:u w:val="none"/>
                <w:lang w:val="en-US" w:eastAsia="zh-CN"/>
              </w:rPr>
            </w:pPr>
            <w:r>
              <w:rPr>
                <w:rFonts w:hint="eastAsia" w:hAnsi="宋体"/>
                <w:color w:val="auto"/>
                <w:sz w:val="24"/>
                <w:highlight w:val="none"/>
                <w:lang w:eastAsia="zh-CN"/>
              </w:rPr>
              <w:t>有机废气</w:t>
            </w:r>
            <w:r>
              <w:rPr>
                <w:rFonts w:hint="eastAsia" w:hAnsi="宋体"/>
                <w:color w:val="auto"/>
                <w:sz w:val="24"/>
                <w:highlight w:val="none"/>
              </w:rPr>
              <w:t>主要成分为</w:t>
            </w:r>
            <w:r>
              <w:rPr>
                <w:rFonts w:hint="default" w:ascii="Times New Roman" w:hAnsi="Times New Roman" w:cs="Times New Roman"/>
                <w:color w:val="auto"/>
                <w:sz w:val="24"/>
                <w:highlight w:val="none"/>
              </w:rPr>
              <w:t>非甲烷总烃</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u w:val="none"/>
                <w:lang w:val="en-US" w:eastAsia="zh-CN"/>
              </w:rPr>
              <w:t>苯乙烯、丙烯腈、1,3-丁二烯、甲苯、乙苯</w:t>
            </w:r>
            <w:r>
              <w:rPr>
                <w:rFonts w:hint="eastAsia" w:hAnsi="宋体"/>
                <w:color w:val="auto"/>
                <w:sz w:val="24"/>
                <w:highlight w:val="none"/>
              </w:rPr>
              <w:t>。</w:t>
            </w:r>
            <w:r>
              <w:rPr>
                <w:rFonts w:hint="default" w:ascii="Times New Roman" w:hAnsi="Times New Roman" w:cs="Times New Roman"/>
                <w:color w:val="auto"/>
                <w:sz w:val="24"/>
                <w:highlight w:val="none"/>
                <w:u w:val="none"/>
                <w:lang w:val="en-US" w:eastAsia="zh-CN"/>
              </w:rPr>
              <w:t>苯乙烯、丙烯腈、1,3-丁二烯、甲苯、乙苯等特征污染物整体产生量极少，</w:t>
            </w:r>
            <w:r>
              <w:rPr>
                <w:rFonts w:hint="eastAsia" w:cs="Times New Roman"/>
                <w:color w:val="auto"/>
                <w:sz w:val="24"/>
                <w:highlight w:val="none"/>
                <w:u w:val="none"/>
                <w:lang w:val="en-US" w:eastAsia="zh-CN"/>
              </w:rPr>
              <w:t>无组织排放可达到《合成树脂工业污染物排放标准》(GB 31572-2015)表9企业边界大气污染物浓度限值要求，</w:t>
            </w:r>
            <w:r>
              <w:rPr>
                <w:rFonts w:hint="default" w:ascii="Times New Roman" w:hAnsi="Times New Roman" w:cs="Times New Roman"/>
                <w:color w:val="auto"/>
                <w:sz w:val="24"/>
                <w:highlight w:val="none"/>
                <w:u w:val="none"/>
                <w:lang w:val="en-US" w:eastAsia="zh-CN"/>
              </w:rPr>
              <w:t>仅做定性分析。</w:t>
            </w:r>
          </w:p>
          <w:p>
            <w:pPr>
              <w:spacing w:line="360" w:lineRule="auto"/>
              <w:ind w:firstLine="480" w:firstLineChars="200"/>
              <w:rPr>
                <w:rFonts w:hint="eastAsia"/>
                <w:color w:val="auto"/>
                <w:sz w:val="24"/>
                <w:highlight w:val="none"/>
              </w:rPr>
            </w:pPr>
            <w:r>
              <w:rPr>
                <w:color w:val="auto"/>
                <w:sz w:val="24"/>
                <w:highlight w:val="none"/>
              </w:rPr>
              <w:t>非甲烷总烃</w:t>
            </w:r>
            <w:r>
              <w:rPr>
                <w:rFonts w:hint="eastAsia"/>
                <w:color w:val="auto"/>
                <w:sz w:val="24"/>
                <w:highlight w:val="none"/>
              </w:rPr>
              <w:t>有组织</w:t>
            </w:r>
            <w:r>
              <w:rPr>
                <w:color w:val="auto"/>
                <w:sz w:val="24"/>
                <w:highlight w:val="none"/>
              </w:rPr>
              <w:t>排放浓度</w:t>
            </w:r>
            <w:r>
              <w:rPr>
                <w:rFonts w:hint="eastAsia"/>
                <w:color w:val="auto"/>
                <w:sz w:val="24"/>
                <w:highlight w:val="none"/>
                <w:lang w:eastAsia="zh-CN"/>
              </w:rPr>
              <w:t>为</w:t>
            </w:r>
            <w:r>
              <w:rPr>
                <w:rFonts w:hint="eastAsia"/>
                <w:color w:val="auto"/>
                <w:sz w:val="24"/>
                <w:highlight w:val="none"/>
                <w:lang w:val="en-US" w:eastAsia="zh-CN"/>
              </w:rPr>
              <w:t>8.33</w:t>
            </w:r>
            <w:r>
              <w:rPr>
                <w:b w:val="0"/>
                <w:bCs/>
                <w:color w:val="auto"/>
                <w:sz w:val="24"/>
                <w:szCs w:val="24"/>
                <w:highlight w:val="none"/>
              </w:rPr>
              <w:t>mg/m³</w:t>
            </w:r>
            <w:r>
              <w:rPr>
                <w:rFonts w:hint="eastAsia"/>
                <w:color w:val="auto"/>
                <w:sz w:val="24"/>
                <w:highlight w:val="none"/>
              </w:rPr>
              <w:t>，</w:t>
            </w:r>
            <w:r>
              <w:rPr>
                <w:color w:val="auto"/>
                <w:sz w:val="24"/>
                <w:highlight w:val="none"/>
              </w:rPr>
              <w:t>排放速率</w:t>
            </w:r>
            <w:r>
              <w:rPr>
                <w:rFonts w:hint="eastAsia"/>
                <w:color w:val="auto"/>
                <w:sz w:val="24"/>
                <w:highlight w:val="none"/>
                <w:lang w:eastAsia="zh-CN"/>
              </w:rPr>
              <w:t>为</w:t>
            </w:r>
            <w:r>
              <w:rPr>
                <w:rFonts w:hint="eastAsia"/>
                <w:color w:val="auto"/>
                <w:sz w:val="24"/>
                <w:highlight w:val="none"/>
                <w:lang w:val="en-US" w:eastAsia="zh-CN"/>
              </w:rPr>
              <w:t>0.069kg/h，排放量为0.166t/a；无组织</w:t>
            </w:r>
            <w:r>
              <w:rPr>
                <w:color w:val="auto"/>
                <w:sz w:val="24"/>
                <w:highlight w:val="none"/>
              </w:rPr>
              <w:t>排放速率</w:t>
            </w:r>
            <w:r>
              <w:rPr>
                <w:rFonts w:hint="eastAsia"/>
                <w:color w:val="auto"/>
                <w:sz w:val="24"/>
                <w:highlight w:val="none"/>
                <w:lang w:eastAsia="zh-CN"/>
              </w:rPr>
              <w:t>为</w:t>
            </w:r>
            <w:r>
              <w:rPr>
                <w:rFonts w:hint="eastAsia"/>
                <w:color w:val="auto"/>
                <w:sz w:val="24"/>
                <w:highlight w:val="none"/>
                <w:lang w:val="en-US" w:eastAsia="zh-CN"/>
              </w:rPr>
              <w:t>0.045kg/h，排放量为0.108t/a，</w:t>
            </w:r>
            <w:r>
              <w:rPr>
                <w:rFonts w:hint="eastAsia" w:hAnsi="宋体"/>
                <w:color w:val="auto"/>
                <w:sz w:val="24"/>
                <w:highlight w:val="none"/>
                <w:lang w:val="en-US" w:eastAsia="zh-CN"/>
              </w:rPr>
              <w:t>边界非甲烷总烃平均浓度为1.414mg/m</w:t>
            </w:r>
            <w:r>
              <w:rPr>
                <w:rFonts w:hint="eastAsia" w:hAnsi="宋体"/>
                <w:color w:val="auto"/>
                <w:sz w:val="24"/>
                <w:highlight w:val="none"/>
                <w:vertAlign w:val="superscript"/>
                <w:lang w:val="en-US" w:eastAsia="zh-CN"/>
              </w:rPr>
              <w:t>3</w:t>
            </w:r>
            <w:r>
              <w:rPr>
                <w:rFonts w:hint="eastAsia" w:hAnsi="宋体"/>
                <w:color w:val="auto"/>
                <w:sz w:val="24"/>
                <w:highlight w:val="none"/>
                <w:lang w:val="en-US" w:eastAsia="zh-CN"/>
              </w:rPr>
              <w:t>，</w:t>
            </w:r>
            <w:r>
              <w:rPr>
                <w:rFonts w:hint="eastAsia"/>
                <w:color w:val="auto"/>
                <w:kern w:val="0"/>
                <w:sz w:val="24"/>
                <w:highlight w:val="none"/>
                <w:lang w:eastAsia="zh-CN"/>
              </w:rPr>
              <w:t>可以达到</w:t>
            </w:r>
            <w:r>
              <w:rPr>
                <w:rFonts w:hint="eastAsia" w:ascii="Times New Roman" w:hAnsi="Times New Roman" w:cs="Times New Roman"/>
                <w:color w:val="auto"/>
                <w:sz w:val="24"/>
                <w:highlight w:val="none"/>
                <w:u w:val="none"/>
                <w:lang w:val="en-US" w:eastAsia="zh-CN"/>
              </w:rPr>
              <w:t>《合成树脂工业污染物排放标准》(GB 31572-2015)表4规定的大气污染物排放标准限值和表9企业边界大气污染物浓度限值要求，</w:t>
            </w:r>
            <w:r>
              <w:rPr>
                <w:rFonts w:hint="eastAsia"/>
                <w:color w:val="auto"/>
                <w:sz w:val="24"/>
                <w:highlight w:val="none"/>
              </w:rPr>
              <w:t>对周围环境影响较小。</w:t>
            </w:r>
          </w:p>
          <w:p>
            <w:pPr>
              <w:keepLines/>
              <w:spacing w:line="346" w:lineRule="auto"/>
              <w:ind w:firstLine="482" w:firstLineChars="200"/>
              <w:rPr>
                <w:color w:val="auto"/>
                <w:spacing w:val="-2"/>
                <w:sz w:val="24"/>
                <w:highlight w:val="none"/>
              </w:rPr>
            </w:pPr>
            <w:r>
              <w:rPr>
                <w:rFonts w:hint="eastAsia" w:hAnsi="宋体"/>
                <w:b/>
                <w:color w:val="auto"/>
                <w:sz w:val="24"/>
                <w:highlight w:val="none"/>
              </w:rPr>
              <w:t>破碎工序：</w:t>
            </w:r>
            <w:r>
              <w:rPr>
                <w:rFonts w:hint="eastAsia" w:ascii="宋体" w:hAnsi="宋体"/>
                <w:color w:val="auto"/>
                <w:sz w:val="24"/>
                <w:highlight w:val="none"/>
              </w:rPr>
              <w:t>根据工程分析，</w:t>
            </w:r>
            <w:r>
              <w:rPr>
                <w:rFonts w:hint="eastAsia"/>
                <w:color w:val="auto"/>
                <w:sz w:val="24"/>
                <w:highlight w:val="none"/>
              </w:rPr>
              <w:t>项目破碎工序粉尘的产生量约为</w:t>
            </w:r>
            <w:r>
              <w:rPr>
                <w:rFonts w:hint="eastAsia"/>
                <w:color w:val="auto"/>
                <w:sz w:val="24"/>
                <w:highlight w:val="none"/>
                <w:lang w:val="en-US" w:eastAsia="zh-CN"/>
              </w:rPr>
              <w:t>0.005</w:t>
            </w:r>
            <w:r>
              <w:rPr>
                <w:rFonts w:hint="eastAsia"/>
                <w:color w:val="auto"/>
                <w:sz w:val="24"/>
                <w:highlight w:val="none"/>
              </w:rPr>
              <w:t>t/a，产生速率为0.00</w:t>
            </w:r>
            <w:r>
              <w:rPr>
                <w:rFonts w:hint="eastAsia"/>
                <w:color w:val="auto"/>
                <w:sz w:val="24"/>
                <w:highlight w:val="none"/>
                <w:lang w:val="en-US" w:eastAsia="zh-CN"/>
              </w:rPr>
              <w:t>2</w:t>
            </w:r>
            <w:r>
              <w:rPr>
                <w:rFonts w:hint="eastAsia"/>
                <w:color w:val="auto"/>
                <w:sz w:val="24"/>
                <w:highlight w:val="none"/>
              </w:rPr>
              <w:t>kg/h。</w:t>
            </w:r>
            <w:r>
              <w:rPr>
                <w:rFonts w:hint="eastAsia"/>
                <w:color w:val="auto"/>
                <w:sz w:val="24"/>
                <w:highlight w:val="none"/>
                <w:shd w:val="clear" w:color="auto" w:fill="FFFFFF"/>
              </w:rPr>
              <w:t>粉尘以无组织形式排放，</w:t>
            </w:r>
            <w:r>
              <w:rPr>
                <w:rFonts w:hint="eastAsia" w:hAnsi="宋体"/>
                <w:color w:val="auto"/>
                <w:sz w:val="24"/>
                <w:highlight w:val="none"/>
                <w:lang w:eastAsia="zh-CN"/>
              </w:rPr>
              <w:t>根据</w:t>
            </w:r>
            <w:r>
              <w:rPr>
                <w:rFonts w:hint="eastAsia" w:hAnsi="宋体"/>
                <w:color w:val="auto"/>
                <w:sz w:val="24"/>
                <w:highlight w:val="none"/>
                <w:lang w:val="en-US" w:eastAsia="zh-CN"/>
              </w:rPr>
              <w:t>检测报告《（2019）环境监测110501号》，</w:t>
            </w:r>
            <w:r>
              <w:rPr>
                <w:rFonts w:hint="eastAsia"/>
                <w:color w:val="auto"/>
                <w:sz w:val="24"/>
                <w:highlight w:val="none"/>
                <w:lang w:eastAsia="zh-CN"/>
              </w:rPr>
              <w:t>边界颗粒物平均</w:t>
            </w:r>
            <w:r>
              <w:rPr>
                <w:rFonts w:hint="eastAsia"/>
                <w:color w:val="auto"/>
                <w:kern w:val="0"/>
                <w:sz w:val="24"/>
                <w:highlight w:val="none"/>
              </w:rPr>
              <w:t>浓度为</w:t>
            </w:r>
            <w:r>
              <w:rPr>
                <w:rFonts w:hint="eastAsia"/>
                <w:color w:val="auto"/>
                <w:kern w:val="0"/>
                <w:sz w:val="24"/>
                <w:highlight w:val="none"/>
                <w:lang w:val="en-US" w:eastAsia="zh-CN"/>
              </w:rPr>
              <w:t>0.41</w:t>
            </w:r>
            <w:r>
              <w:rPr>
                <w:color w:val="auto"/>
                <w:sz w:val="24"/>
                <w:highlight w:val="none"/>
              </w:rPr>
              <w:t>mg/m</w:t>
            </w:r>
            <w:r>
              <w:rPr>
                <w:color w:val="auto"/>
                <w:sz w:val="24"/>
                <w:highlight w:val="none"/>
                <w:vertAlign w:val="superscript"/>
              </w:rPr>
              <w:t>3</w:t>
            </w:r>
            <w:r>
              <w:rPr>
                <w:rFonts w:hint="eastAsia"/>
                <w:color w:val="auto"/>
                <w:kern w:val="0"/>
                <w:sz w:val="24"/>
                <w:highlight w:val="none"/>
              </w:rPr>
              <w:t>，未超过</w:t>
            </w:r>
            <w:r>
              <w:rPr>
                <w:color w:val="auto"/>
                <w:sz w:val="24"/>
                <w:highlight w:val="none"/>
              </w:rPr>
              <w:t>广东省地方标准《大气污染物排放限值》（DB44/ 27-2001）第二时段无组织排放监控浓度限值</w:t>
            </w:r>
            <w:r>
              <w:rPr>
                <w:rFonts w:hint="eastAsia"/>
                <w:color w:val="auto"/>
                <w:sz w:val="24"/>
                <w:highlight w:val="none"/>
              </w:rPr>
              <w:t>（1</w:t>
            </w:r>
            <w:r>
              <w:rPr>
                <w:color w:val="auto"/>
                <w:sz w:val="24"/>
                <w:highlight w:val="none"/>
              </w:rPr>
              <w:t>.0mg/m</w:t>
            </w:r>
            <w:r>
              <w:rPr>
                <w:color w:val="auto"/>
                <w:sz w:val="24"/>
                <w:highlight w:val="none"/>
                <w:vertAlign w:val="superscript"/>
              </w:rPr>
              <w:t>3</w:t>
            </w:r>
            <w:r>
              <w:rPr>
                <w:rFonts w:hint="eastAsia"/>
                <w:color w:val="auto"/>
                <w:sz w:val="24"/>
                <w:highlight w:val="none"/>
              </w:rPr>
              <w:t>），对周围环境影响较小。</w:t>
            </w:r>
            <w:r>
              <w:rPr>
                <w:color w:val="auto"/>
                <w:sz w:val="24"/>
                <w:highlight w:val="none"/>
              </w:rPr>
              <w:t>同时加强车间机械通风措施，使生产车间符合《工业企业设计卫生标准》（TJ36-79）（GBZ1-2010）要求，</w:t>
            </w:r>
            <w:r>
              <w:rPr>
                <w:color w:val="auto"/>
                <w:spacing w:val="-2"/>
                <w:sz w:val="24"/>
                <w:highlight w:val="none"/>
              </w:rPr>
              <w:t>另外，建设单位必须做好员工的防护措施（如配带口罩）</w:t>
            </w:r>
            <w:r>
              <w:rPr>
                <w:color w:val="auto"/>
                <w:sz w:val="24"/>
                <w:highlight w:val="none"/>
              </w:rPr>
              <w:t>，以确保员工身体健康不受到影响，</w:t>
            </w:r>
            <w:r>
              <w:rPr>
                <w:color w:val="auto"/>
                <w:kern w:val="0"/>
                <w:sz w:val="24"/>
                <w:highlight w:val="none"/>
              </w:rPr>
              <w:t>则不会对周围空气环境造成明显影响</w:t>
            </w:r>
            <w:r>
              <w:rPr>
                <w:color w:val="auto"/>
                <w:spacing w:val="-2"/>
                <w:sz w:val="24"/>
                <w:highlight w:val="none"/>
              </w:rPr>
              <w:t>。</w:t>
            </w:r>
          </w:p>
          <w:p>
            <w:pPr>
              <w:spacing w:line="360" w:lineRule="auto"/>
              <w:ind w:firstLine="480"/>
              <w:rPr>
                <w:b/>
                <w:bCs/>
                <w:color w:val="auto"/>
                <w:sz w:val="24"/>
                <w:highlight w:val="none"/>
              </w:rPr>
            </w:pPr>
            <w:r>
              <w:rPr>
                <w:b/>
                <w:bCs/>
                <w:color w:val="auto"/>
                <w:sz w:val="24"/>
                <w:highlight w:val="none"/>
              </w:rPr>
              <w:t>2、水环境影响评价结论</w:t>
            </w:r>
          </w:p>
          <w:p>
            <w:pPr>
              <w:adjustRightInd w:val="0"/>
              <w:spacing w:line="336" w:lineRule="auto"/>
              <w:ind w:firstLine="482" w:firstLineChars="200"/>
              <w:rPr>
                <w:rFonts w:hAnsi="宋体"/>
                <w:color w:val="auto"/>
                <w:sz w:val="24"/>
                <w:highlight w:val="none"/>
              </w:rPr>
            </w:pPr>
            <w:r>
              <w:rPr>
                <w:rFonts w:hint="eastAsia" w:hAnsi="宋体"/>
                <w:b/>
                <w:color w:val="auto"/>
                <w:sz w:val="24"/>
                <w:highlight w:val="none"/>
              </w:rPr>
              <w:t>注塑</w:t>
            </w:r>
            <w:r>
              <w:rPr>
                <w:rFonts w:hAnsi="宋体"/>
                <w:b/>
                <w:color w:val="auto"/>
                <w:sz w:val="24"/>
                <w:highlight w:val="none"/>
              </w:rPr>
              <w:t>冷却用水：</w:t>
            </w:r>
            <w:r>
              <w:rPr>
                <w:rFonts w:hAnsi="宋体"/>
                <w:color w:val="auto"/>
                <w:sz w:val="24"/>
                <w:highlight w:val="none"/>
              </w:rPr>
              <w:t>项目</w:t>
            </w:r>
            <w:r>
              <w:rPr>
                <w:rFonts w:hint="eastAsia" w:hAnsi="宋体"/>
                <w:color w:val="auto"/>
                <w:sz w:val="24"/>
                <w:highlight w:val="none"/>
              </w:rPr>
              <w:t>注塑</w:t>
            </w:r>
            <w:r>
              <w:rPr>
                <w:rFonts w:hAnsi="宋体"/>
                <w:color w:val="auto"/>
                <w:sz w:val="24"/>
                <w:highlight w:val="none"/>
              </w:rPr>
              <w:t>工序中</w:t>
            </w:r>
            <w:r>
              <w:rPr>
                <w:rFonts w:hint="eastAsia" w:hAnsi="宋体"/>
                <w:color w:val="auto"/>
                <w:sz w:val="24"/>
                <w:highlight w:val="none"/>
              </w:rPr>
              <w:t>需使用冷却塔进行</w:t>
            </w:r>
            <w:r>
              <w:rPr>
                <w:rFonts w:hAnsi="宋体"/>
                <w:color w:val="auto"/>
                <w:sz w:val="24"/>
                <w:highlight w:val="none"/>
              </w:rPr>
              <w:t>冷却，冷却方式为间接冷却，冷却用水为普通的自来水，其中无需添加矿物油、乳化液等冷却剂，根据建设单位提供资料，</w:t>
            </w:r>
            <w:r>
              <w:rPr>
                <w:rFonts w:hint="eastAsia" w:hAnsi="宋体"/>
                <w:color w:val="auto"/>
                <w:sz w:val="24"/>
                <w:highlight w:val="none"/>
              </w:rPr>
              <w:t>项目冷却塔</w:t>
            </w:r>
            <w:r>
              <w:rPr>
                <w:rFonts w:hAnsi="宋体"/>
                <w:color w:val="auto"/>
                <w:sz w:val="24"/>
                <w:highlight w:val="none"/>
              </w:rPr>
              <w:t>循环水量为</w:t>
            </w:r>
            <w:r>
              <w:rPr>
                <w:rFonts w:hint="eastAsia"/>
                <w:color w:val="auto"/>
                <w:sz w:val="24"/>
                <w:highlight w:val="none"/>
                <w:lang w:val="en-US" w:eastAsia="zh-CN"/>
              </w:rPr>
              <w:t>2</w:t>
            </w:r>
            <w:r>
              <w:rPr>
                <w:rFonts w:hint="eastAsia"/>
                <w:color w:val="auto"/>
                <w:sz w:val="24"/>
                <w:highlight w:val="none"/>
              </w:rPr>
              <w:t>t</w:t>
            </w:r>
            <w:r>
              <w:rPr>
                <w:rStyle w:val="46"/>
                <w:rFonts w:hint="eastAsia"/>
                <w:color w:val="auto"/>
                <w:highlight w:val="none"/>
                <w:lang w:val="en-US" w:eastAsia="zh-CN"/>
              </w:rPr>
              <w:t>/h</w:t>
            </w:r>
            <w:r>
              <w:rPr>
                <w:rFonts w:hAnsi="宋体"/>
                <w:color w:val="auto"/>
                <w:sz w:val="24"/>
                <w:highlight w:val="none"/>
              </w:rPr>
              <w:t>，该冷却水循环使用，不外排，</w:t>
            </w:r>
            <w:r>
              <w:rPr>
                <w:rFonts w:hint="eastAsia"/>
                <w:color w:val="auto"/>
                <w:sz w:val="24"/>
                <w:highlight w:val="none"/>
              </w:rPr>
              <w:t>因受热等因素损失，需定期补充新鲜水，损耗</w:t>
            </w:r>
            <w:r>
              <w:rPr>
                <w:color w:val="auto"/>
                <w:sz w:val="24"/>
                <w:highlight w:val="none"/>
              </w:rPr>
              <w:t>补充用水约占</w:t>
            </w:r>
            <w:r>
              <w:rPr>
                <w:rFonts w:hint="eastAsia"/>
                <w:color w:val="auto"/>
                <w:sz w:val="24"/>
                <w:highlight w:val="none"/>
              </w:rPr>
              <w:t>循环水量</w:t>
            </w:r>
            <w:r>
              <w:rPr>
                <w:color w:val="auto"/>
                <w:sz w:val="24"/>
                <w:highlight w:val="none"/>
              </w:rPr>
              <w:t>的</w:t>
            </w:r>
            <w:r>
              <w:rPr>
                <w:rFonts w:hint="eastAsia"/>
                <w:color w:val="auto"/>
                <w:sz w:val="24"/>
                <w:highlight w:val="none"/>
              </w:rPr>
              <w:t>2</w:t>
            </w:r>
            <w:r>
              <w:rPr>
                <w:color w:val="auto"/>
                <w:sz w:val="24"/>
                <w:highlight w:val="none"/>
              </w:rPr>
              <w:t>%，</w:t>
            </w:r>
            <w:r>
              <w:rPr>
                <w:rFonts w:hint="eastAsia"/>
                <w:color w:val="auto"/>
                <w:sz w:val="24"/>
                <w:highlight w:val="none"/>
              </w:rPr>
              <w:t>即补充用水量为</w:t>
            </w:r>
            <w:r>
              <w:rPr>
                <w:rFonts w:hint="eastAsia"/>
                <w:color w:val="auto"/>
                <w:sz w:val="24"/>
                <w:highlight w:val="none"/>
                <w:lang w:val="en-US" w:eastAsia="zh-CN"/>
              </w:rPr>
              <w:t>0.04t</w:t>
            </w:r>
            <w:r>
              <w:rPr>
                <w:rFonts w:hint="eastAsia"/>
                <w:color w:val="auto"/>
                <w:sz w:val="24"/>
                <w:highlight w:val="none"/>
              </w:rPr>
              <w:t>/</w:t>
            </w:r>
            <w:r>
              <w:rPr>
                <w:rFonts w:hint="eastAsia"/>
                <w:color w:val="auto"/>
                <w:sz w:val="24"/>
                <w:highlight w:val="none"/>
                <w:lang w:val="en-US" w:eastAsia="zh-CN"/>
              </w:rPr>
              <w:t>h</w:t>
            </w:r>
            <w:r>
              <w:rPr>
                <w:rFonts w:hint="eastAsia"/>
                <w:color w:val="auto"/>
                <w:sz w:val="24"/>
                <w:highlight w:val="none"/>
              </w:rPr>
              <w:t>（</w:t>
            </w:r>
            <w:r>
              <w:rPr>
                <w:rFonts w:hint="eastAsia"/>
                <w:color w:val="auto"/>
                <w:sz w:val="24"/>
                <w:highlight w:val="none"/>
                <w:lang w:val="en-US" w:eastAsia="zh-CN"/>
              </w:rPr>
              <w:t>96t</w:t>
            </w:r>
            <w:r>
              <w:rPr>
                <w:rFonts w:hint="eastAsia"/>
                <w:color w:val="auto"/>
                <w:sz w:val="24"/>
                <w:highlight w:val="none"/>
              </w:rPr>
              <w:t>/a）</w:t>
            </w:r>
            <w:r>
              <w:rPr>
                <w:rFonts w:hint="eastAsia"/>
                <w:color w:val="auto"/>
                <w:sz w:val="24"/>
                <w:highlight w:val="none"/>
                <w:lang w:eastAsia="zh-CN"/>
              </w:rPr>
              <w:t>。</w:t>
            </w:r>
          </w:p>
          <w:p>
            <w:pPr>
              <w:spacing w:line="343" w:lineRule="auto"/>
              <w:ind w:firstLine="482" w:firstLineChars="200"/>
              <w:rPr>
                <w:rFonts w:hAnsi="宋体"/>
                <w:color w:val="auto"/>
                <w:sz w:val="24"/>
                <w:highlight w:val="none"/>
              </w:rPr>
            </w:pPr>
            <w:r>
              <w:rPr>
                <w:rFonts w:hint="eastAsia"/>
                <w:b/>
                <w:color w:val="auto"/>
                <w:sz w:val="24"/>
                <w:highlight w:val="none"/>
              </w:rPr>
              <w:t>生活污水：</w:t>
            </w:r>
            <w:r>
              <w:rPr>
                <w:rFonts w:hint="eastAsia"/>
                <w:color w:val="auto"/>
                <w:sz w:val="24"/>
                <w:highlight w:val="none"/>
              </w:rPr>
              <w:t>项目</w:t>
            </w:r>
            <w:r>
              <w:rPr>
                <w:color w:val="auto"/>
                <w:sz w:val="24"/>
                <w:highlight w:val="none"/>
              </w:rPr>
              <w:t>员工生活污水排放量为</w:t>
            </w:r>
            <w:r>
              <w:rPr>
                <w:rFonts w:hint="eastAsia"/>
                <w:color w:val="auto"/>
                <w:sz w:val="24"/>
                <w:highlight w:val="none"/>
              </w:rPr>
              <w:t>108</w:t>
            </w:r>
            <w:r>
              <w:rPr>
                <w:color w:val="auto"/>
                <w:sz w:val="24"/>
                <w:highlight w:val="none"/>
              </w:rPr>
              <w:t>t/a</w:t>
            </w:r>
            <w:r>
              <w:rPr>
                <w:rFonts w:hint="eastAsia"/>
                <w:color w:val="auto"/>
                <w:sz w:val="24"/>
                <w:highlight w:val="none"/>
              </w:rPr>
              <w:t>，</w:t>
            </w:r>
            <w:r>
              <w:rPr>
                <w:color w:val="auto"/>
                <w:sz w:val="24"/>
                <w:highlight w:val="none"/>
              </w:rPr>
              <w:t>主要污染物为COD</w:t>
            </w:r>
            <w:r>
              <w:rPr>
                <w:color w:val="auto"/>
                <w:sz w:val="24"/>
                <w:highlight w:val="none"/>
                <w:vertAlign w:val="subscript"/>
              </w:rPr>
              <w:t>cr</w:t>
            </w:r>
            <w:r>
              <w:rPr>
                <w:color w:val="auto"/>
                <w:sz w:val="24"/>
                <w:highlight w:val="none"/>
              </w:rPr>
              <w:t>、BOD</w:t>
            </w:r>
            <w:r>
              <w:rPr>
                <w:color w:val="auto"/>
                <w:sz w:val="24"/>
                <w:highlight w:val="none"/>
                <w:vertAlign w:val="subscript"/>
              </w:rPr>
              <w:t>5</w:t>
            </w:r>
            <w:r>
              <w:rPr>
                <w:color w:val="auto"/>
                <w:sz w:val="24"/>
                <w:highlight w:val="none"/>
              </w:rPr>
              <w:t>、SS、NH</w:t>
            </w:r>
            <w:r>
              <w:rPr>
                <w:color w:val="auto"/>
                <w:sz w:val="24"/>
                <w:highlight w:val="none"/>
                <w:vertAlign w:val="subscript"/>
              </w:rPr>
              <w:t>3</w:t>
            </w:r>
            <w:r>
              <w:rPr>
                <w:color w:val="auto"/>
                <w:sz w:val="24"/>
                <w:highlight w:val="none"/>
              </w:rPr>
              <w:t>-N等。</w:t>
            </w:r>
            <w:r>
              <w:rPr>
                <w:rFonts w:hint="eastAsia"/>
                <w:bCs/>
                <w:color w:val="auto"/>
                <w:sz w:val="24"/>
                <w:highlight w:val="none"/>
              </w:rPr>
              <w:t>项目生活污水经三级化粪池预处理后，达到广东省地方标准《水污染物排放限值》（DB44/26-2001）第二时段三级标准</w:t>
            </w:r>
            <w:r>
              <w:rPr>
                <w:rFonts w:hint="eastAsia"/>
                <w:color w:val="auto"/>
                <w:sz w:val="24"/>
                <w:highlight w:val="none"/>
              </w:rPr>
              <w:t>和</w:t>
            </w:r>
            <w:r>
              <w:rPr>
                <w:rFonts w:hint="eastAsia"/>
                <w:color w:val="auto"/>
                <w:sz w:val="24"/>
                <w:highlight w:val="none"/>
                <w:lang w:eastAsia="zh-CN"/>
              </w:rPr>
              <w:t>《污水排入城镇下水道水质标准》(GB/T31962-2015 )B级标准</w:t>
            </w:r>
            <w:r>
              <w:rPr>
                <w:rFonts w:hint="eastAsia"/>
                <w:color w:val="auto"/>
                <w:sz w:val="24"/>
                <w:highlight w:val="none"/>
              </w:rPr>
              <w:t>较严者</w:t>
            </w:r>
            <w:r>
              <w:rPr>
                <w:rFonts w:hint="eastAsia"/>
                <w:bCs/>
                <w:color w:val="auto"/>
                <w:sz w:val="24"/>
                <w:highlight w:val="none"/>
              </w:rPr>
              <w:t>排放至市政污水管网，</w:t>
            </w:r>
            <w:r>
              <w:rPr>
                <w:rFonts w:hint="eastAsia"/>
                <w:color w:val="auto"/>
                <w:sz w:val="24"/>
                <w:highlight w:val="none"/>
              </w:rPr>
              <w:t>然后</w:t>
            </w:r>
            <w:r>
              <w:rPr>
                <w:rFonts w:hint="eastAsia"/>
                <w:bCs/>
                <w:color w:val="auto"/>
                <w:sz w:val="24"/>
                <w:highlight w:val="none"/>
              </w:rPr>
              <w:t>引</w:t>
            </w:r>
            <w:r>
              <w:rPr>
                <w:rFonts w:hint="eastAsia"/>
                <w:color w:val="auto"/>
                <w:sz w:val="24"/>
                <w:highlight w:val="none"/>
              </w:rPr>
              <w:t>至开平市水口污水处理厂处</w:t>
            </w:r>
            <w:r>
              <w:rPr>
                <w:rFonts w:hint="eastAsia"/>
                <w:bCs/>
                <w:color w:val="auto"/>
                <w:sz w:val="24"/>
                <w:highlight w:val="none"/>
              </w:rPr>
              <w:t>理后达</w:t>
            </w:r>
            <w:r>
              <w:rPr>
                <w:rFonts w:hint="eastAsia"/>
                <w:color w:val="auto"/>
                <w:sz w:val="24"/>
                <w:highlight w:val="none"/>
              </w:rPr>
              <w:t>到《城镇污水处理厂污染物排放标准》（GB18918-2002）中一级A 标准及广东省地方标准《水污染物排放限值》（DB44/26-2001）第二时段一级标准的较严值。</w:t>
            </w:r>
            <w:r>
              <w:rPr>
                <w:color w:val="auto"/>
                <w:sz w:val="24"/>
                <w:highlight w:val="none"/>
              </w:rPr>
              <w:t>项目产生生活污水经处理后水污染物得到一定量削减，减轻了污水排放对纳污水体的污染负荷，有利于水环境保护</w:t>
            </w:r>
            <w:r>
              <w:rPr>
                <w:rFonts w:hint="eastAsia"/>
                <w:color w:val="auto"/>
                <w:sz w:val="24"/>
                <w:highlight w:val="none"/>
              </w:rPr>
              <w:t>，</w:t>
            </w:r>
            <w:r>
              <w:rPr>
                <w:bCs/>
                <w:color w:val="auto"/>
                <w:sz w:val="24"/>
                <w:szCs w:val="20"/>
                <w:highlight w:val="none"/>
              </w:rPr>
              <w:t>则项目生活污水对周围环境影响不大。</w:t>
            </w:r>
          </w:p>
          <w:p>
            <w:pPr>
              <w:spacing w:line="360" w:lineRule="auto"/>
              <w:ind w:firstLine="480"/>
              <w:rPr>
                <w:b/>
                <w:bCs/>
                <w:color w:val="auto"/>
                <w:sz w:val="24"/>
                <w:highlight w:val="none"/>
              </w:rPr>
            </w:pPr>
            <w:r>
              <w:rPr>
                <w:rFonts w:hint="eastAsia"/>
                <w:b/>
                <w:bCs/>
                <w:color w:val="auto"/>
                <w:sz w:val="24"/>
                <w:highlight w:val="none"/>
              </w:rPr>
              <w:t>3</w:t>
            </w:r>
            <w:r>
              <w:rPr>
                <w:b/>
                <w:bCs/>
                <w:color w:val="auto"/>
                <w:sz w:val="24"/>
                <w:highlight w:val="none"/>
              </w:rPr>
              <w:t>、声环境影响评价结论</w:t>
            </w:r>
          </w:p>
          <w:p>
            <w:pPr>
              <w:pStyle w:val="131"/>
              <w:ind w:firstLine="480"/>
              <w:rPr>
                <w:color w:val="auto"/>
                <w:sz w:val="24"/>
                <w:highlight w:val="none"/>
              </w:rPr>
            </w:pPr>
            <w:r>
              <w:rPr>
                <w:rFonts w:hint="eastAsia" w:hAnsi="宋体"/>
                <w:color w:val="auto"/>
                <w:sz w:val="24"/>
                <w:highlight w:val="none"/>
              </w:rPr>
              <w:t>项目营运期</w:t>
            </w:r>
            <w:r>
              <w:rPr>
                <w:rFonts w:hint="eastAsia"/>
                <w:color w:val="auto"/>
                <w:sz w:val="24"/>
                <w:highlight w:val="none"/>
              </w:rPr>
              <w:t>生产设备运行噪声值</w:t>
            </w:r>
            <w:r>
              <w:rPr>
                <w:rFonts w:hint="eastAsia" w:hAnsi="宋体"/>
                <w:color w:val="auto"/>
                <w:sz w:val="24"/>
                <w:highlight w:val="none"/>
              </w:rPr>
              <w:t>在</w:t>
            </w:r>
            <w:r>
              <w:rPr>
                <w:rFonts w:ascii="Times New Roman" w:hAnsi="Times New Roman" w:cs="Times New Roman"/>
                <w:color w:val="auto"/>
                <w:sz w:val="24"/>
                <w:highlight w:val="none"/>
              </w:rPr>
              <w:t>70</w:t>
            </w:r>
            <w:r>
              <w:rPr>
                <w:rFonts w:ascii="Times New Roman" w:cs="Times New Roman"/>
                <w:color w:val="auto"/>
                <w:sz w:val="24"/>
                <w:highlight w:val="none"/>
              </w:rPr>
              <w:t>～</w:t>
            </w:r>
            <w:r>
              <w:rPr>
                <w:rFonts w:hint="eastAsia" w:ascii="Times New Roman" w:hAnsi="Times New Roman" w:cs="Times New Roman"/>
                <w:color w:val="auto"/>
                <w:sz w:val="24"/>
                <w:highlight w:val="none"/>
              </w:rPr>
              <w:t>90</w:t>
            </w:r>
            <w:r>
              <w:rPr>
                <w:rFonts w:ascii="Times New Roman" w:hAnsi="Times New Roman" w:cs="Times New Roman"/>
                <w:color w:val="auto"/>
                <w:sz w:val="24"/>
                <w:highlight w:val="none"/>
              </w:rPr>
              <w:t>dB(A)</w:t>
            </w:r>
            <w:r>
              <w:rPr>
                <w:rFonts w:hint="eastAsia"/>
                <w:color w:val="auto"/>
                <w:sz w:val="24"/>
                <w:highlight w:val="none"/>
              </w:rPr>
              <w:t>之间</w:t>
            </w:r>
            <w:r>
              <w:rPr>
                <w:color w:val="auto"/>
                <w:sz w:val="24"/>
                <w:highlight w:val="none"/>
              </w:rPr>
              <w:t>。</w:t>
            </w:r>
            <w:r>
              <w:rPr>
                <w:rFonts w:hint="eastAsia" w:ascii="Times New Roman"/>
                <w:color w:val="auto"/>
                <w:sz w:val="24"/>
                <w:szCs w:val="24"/>
                <w:highlight w:val="none"/>
              </w:rPr>
              <w:t>项目</w:t>
            </w:r>
            <w:r>
              <w:rPr>
                <w:rFonts w:ascii="Times New Roman"/>
                <w:color w:val="auto"/>
                <w:sz w:val="24"/>
                <w:szCs w:val="24"/>
                <w:highlight w:val="none"/>
              </w:rPr>
              <w:t>除选用噪声低的设备外，还</w:t>
            </w:r>
            <w:r>
              <w:rPr>
                <w:rFonts w:hint="eastAsia" w:ascii="Times New Roman"/>
                <w:color w:val="auto"/>
                <w:sz w:val="24"/>
                <w:szCs w:val="24"/>
                <w:highlight w:val="none"/>
              </w:rPr>
              <w:t>应</w:t>
            </w:r>
            <w:r>
              <w:rPr>
                <w:rFonts w:ascii="Times New Roman"/>
                <w:color w:val="auto"/>
                <w:sz w:val="24"/>
                <w:szCs w:val="24"/>
                <w:highlight w:val="none"/>
              </w:rPr>
              <w:t>进行减振和减噪声处理，如车间的门窗部位选用隔声性能良好的铝合金或双层门窗结构等</w:t>
            </w:r>
            <w:r>
              <w:rPr>
                <w:rFonts w:hint="eastAsia" w:ascii="Times New Roman"/>
                <w:color w:val="auto"/>
                <w:sz w:val="24"/>
                <w:szCs w:val="24"/>
                <w:highlight w:val="none"/>
              </w:rPr>
              <w:t>，并设置单独隔声间，</w:t>
            </w:r>
            <w:r>
              <w:rPr>
                <w:rFonts w:ascii="Times New Roman"/>
                <w:color w:val="auto"/>
                <w:sz w:val="24"/>
                <w:szCs w:val="24"/>
                <w:highlight w:val="none"/>
              </w:rPr>
              <w:t>再经过一定自然距离的衰减作用，</w:t>
            </w:r>
            <w:r>
              <w:rPr>
                <w:color w:val="auto"/>
                <w:sz w:val="24"/>
                <w:highlight w:val="none"/>
              </w:rPr>
              <w:t>使得项目产生的噪声达到《工业企业厂界环境噪声排放标准》</w:t>
            </w:r>
            <w:r>
              <w:rPr>
                <w:rFonts w:ascii="Times New Roman" w:hAnsi="Times New Roman" w:cs="Times New Roman"/>
                <w:color w:val="auto"/>
                <w:sz w:val="24"/>
                <w:highlight w:val="none"/>
              </w:rPr>
              <w:t>(GB12348</w:t>
            </w:r>
            <w:r>
              <w:rPr>
                <w:rFonts w:hint="eastAsia" w:ascii="Times New Roman" w:hAnsi="Times New Roman" w:cs="Times New Roman"/>
                <w:color w:val="auto"/>
                <w:sz w:val="24"/>
                <w:highlight w:val="none"/>
              </w:rPr>
              <w:t>-</w:t>
            </w:r>
            <w:r>
              <w:rPr>
                <w:rFonts w:ascii="Times New Roman" w:hAnsi="Times New Roman" w:cs="Times New Roman"/>
                <w:color w:val="auto"/>
                <w:sz w:val="24"/>
                <w:highlight w:val="none"/>
              </w:rPr>
              <w:t xml:space="preserve">2008) </w:t>
            </w:r>
            <w:r>
              <w:rPr>
                <w:rFonts w:hint="eastAsia" w:ascii="Times New Roman" w:hAnsi="Times New Roman" w:cs="Times New Roman"/>
                <w:color w:val="auto"/>
                <w:sz w:val="24"/>
                <w:highlight w:val="none"/>
              </w:rPr>
              <w:t>2类</w:t>
            </w:r>
            <w:r>
              <w:rPr>
                <w:color w:val="auto"/>
                <w:sz w:val="24"/>
                <w:highlight w:val="none"/>
              </w:rPr>
              <w:t>标准要求，</w:t>
            </w:r>
            <w:r>
              <w:rPr>
                <w:rFonts w:hint="eastAsia"/>
                <w:color w:val="auto"/>
                <w:sz w:val="24"/>
                <w:highlight w:val="none"/>
              </w:rPr>
              <w:t>对周围环境影响不大。</w:t>
            </w:r>
          </w:p>
          <w:p>
            <w:pPr>
              <w:spacing w:line="360" w:lineRule="auto"/>
              <w:ind w:firstLine="480"/>
              <w:rPr>
                <w:b/>
                <w:bCs/>
                <w:color w:val="auto"/>
                <w:sz w:val="24"/>
                <w:highlight w:val="none"/>
              </w:rPr>
            </w:pPr>
            <w:r>
              <w:rPr>
                <w:rFonts w:hint="eastAsia"/>
                <w:b/>
                <w:bCs/>
                <w:color w:val="auto"/>
                <w:sz w:val="24"/>
                <w:highlight w:val="none"/>
              </w:rPr>
              <w:t>4</w:t>
            </w:r>
            <w:r>
              <w:rPr>
                <w:b/>
                <w:bCs/>
                <w:color w:val="auto"/>
                <w:sz w:val="24"/>
                <w:highlight w:val="none"/>
              </w:rPr>
              <w:t>、固体废弃物影响评价结论</w:t>
            </w:r>
          </w:p>
          <w:p>
            <w:pPr>
              <w:spacing w:line="360" w:lineRule="auto"/>
              <w:ind w:firstLine="520" w:firstLineChars="200"/>
              <w:rPr>
                <w:color w:val="auto"/>
                <w:sz w:val="24"/>
                <w:highlight w:val="none"/>
              </w:rPr>
            </w:pPr>
            <w:r>
              <w:rPr>
                <w:rFonts w:hint="eastAsia" w:ascii="宋体" w:hAnsi="宋体"/>
                <w:color w:val="auto"/>
                <w:spacing w:val="10"/>
                <w:sz w:val="24"/>
                <w:highlight w:val="none"/>
              </w:rPr>
              <w:t>一般工业固废</w:t>
            </w:r>
            <w:r>
              <w:rPr>
                <w:rFonts w:ascii="宋体" w:hAnsi="宋体"/>
                <w:color w:val="auto"/>
                <w:spacing w:val="10"/>
                <w:sz w:val="24"/>
                <w:highlight w:val="none"/>
              </w:rPr>
              <w:t>交</w:t>
            </w:r>
            <w:r>
              <w:rPr>
                <w:rFonts w:hint="eastAsia" w:ascii="宋体" w:hAnsi="宋体"/>
                <w:color w:val="auto"/>
                <w:spacing w:val="10"/>
                <w:sz w:val="24"/>
                <w:highlight w:val="none"/>
              </w:rPr>
              <w:t>专业公司回收处理；</w:t>
            </w:r>
            <w:r>
              <w:rPr>
                <w:rFonts w:hint="eastAsia"/>
                <w:color w:val="auto"/>
                <w:spacing w:val="-4"/>
                <w:sz w:val="24"/>
                <w:highlight w:val="none"/>
              </w:rPr>
              <w:t>危险废物交给有危险废物处置资质单位处置；员工生活</w:t>
            </w:r>
            <w:r>
              <w:rPr>
                <w:rFonts w:hint="eastAsia"/>
                <w:color w:val="auto"/>
                <w:sz w:val="24"/>
                <w:highlight w:val="none"/>
              </w:rPr>
              <w:t>产生</w:t>
            </w:r>
            <w:r>
              <w:rPr>
                <w:rFonts w:hint="eastAsia"/>
                <w:bCs/>
                <w:color w:val="auto"/>
                <w:sz w:val="24"/>
                <w:highlight w:val="none"/>
              </w:rPr>
              <w:t>的普通</w:t>
            </w:r>
            <w:r>
              <w:rPr>
                <w:rFonts w:hint="eastAsia"/>
                <w:color w:val="auto"/>
                <w:sz w:val="24"/>
                <w:highlight w:val="none"/>
              </w:rPr>
              <w:t>生活垃圾必须按照指定地点堆放在生活垃圾堆放点，每日由环卫部门清理运走，并对堆放点进行定期的清洁消毒，杀灭害虫。</w:t>
            </w:r>
          </w:p>
          <w:p>
            <w:pPr>
              <w:adjustRightInd w:val="0"/>
              <w:snapToGrid w:val="0"/>
              <w:spacing w:line="360" w:lineRule="auto"/>
              <w:ind w:firstLine="480" w:firstLineChars="200"/>
              <w:rPr>
                <w:color w:val="auto"/>
                <w:sz w:val="24"/>
                <w:highlight w:val="none"/>
              </w:rPr>
            </w:pPr>
            <w:r>
              <w:rPr>
                <w:rFonts w:hint="eastAsia"/>
                <w:color w:val="auto"/>
                <w:sz w:val="24"/>
                <w:highlight w:val="none"/>
              </w:rPr>
              <w:t>因此，项目产生的固体废物经处理后对周围环境影响不明显。</w:t>
            </w:r>
          </w:p>
          <w:p>
            <w:pPr>
              <w:spacing w:line="360" w:lineRule="auto"/>
              <w:ind w:firstLine="482" w:firstLineChars="200"/>
              <w:rPr>
                <w:b/>
                <w:bCs/>
                <w:color w:val="auto"/>
                <w:sz w:val="24"/>
                <w:highlight w:val="none"/>
              </w:rPr>
            </w:pPr>
            <w:r>
              <w:rPr>
                <w:rFonts w:hint="eastAsia"/>
                <w:b/>
                <w:bCs/>
                <w:color w:val="auto"/>
                <w:sz w:val="24"/>
                <w:highlight w:val="none"/>
              </w:rPr>
              <w:t>5、风险</w:t>
            </w:r>
            <w:r>
              <w:rPr>
                <w:b/>
                <w:bCs/>
                <w:color w:val="auto"/>
                <w:sz w:val="24"/>
                <w:highlight w:val="none"/>
              </w:rPr>
              <w:t>影响评价结论</w:t>
            </w:r>
          </w:p>
          <w:p>
            <w:pPr>
              <w:spacing w:line="360" w:lineRule="auto"/>
              <w:ind w:firstLine="480" w:firstLineChars="200"/>
              <w:rPr>
                <w:rFonts w:eastAsiaTheme="minorEastAsia"/>
                <w:color w:val="auto"/>
                <w:sz w:val="24"/>
                <w:highlight w:val="none"/>
              </w:rPr>
            </w:pPr>
            <w:r>
              <w:rPr>
                <w:rFonts w:eastAsiaTheme="minorEastAsia"/>
                <w:color w:val="auto"/>
                <w:sz w:val="24"/>
                <w:highlight w:val="none"/>
              </w:rPr>
              <w:t>项目物质不构成重大危险源</w:t>
            </w:r>
            <w:r>
              <w:rPr>
                <w:rFonts w:hint="eastAsia" w:eastAsiaTheme="minorEastAsia"/>
                <w:color w:val="auto"/>
                <w:sz w:val="24"/>
                <w:highlight w:val="none"/>
              </w:rPr>
              <w:t>，</w:t>
            </w:r>
            <w:r>
              <w:rPr>
                <w:rFonts w:eastAsiaTheme="minorEastAsia"/>
                <w:color w:val="auto"/>
                <w:sz w:val="24"/>
                <w:highlight w:val="none"/>
              </w:rPr>
              <w:t>企业在落实相应风险防范和控制措施的情况下，总体环境风险可控。</w:t>
            </w:r>
          </w:p>
          <w:p>
            <w:pPr>
              <w:numPr>
                <w:ilvl w:val="0"/>
                <w:numId w:val="12"/>
              </w:numPr>
              <w:adjustRightInd w:val="0"/>
              <w:snapToGrid w:val="0"/>
              <w:spacing w:line="360" w:lineRule="auto"/>
              <w:ind w:firstLine="431"/>
              <w:rPr>
                <w:b/>
                <w:bCs/>
                <w:color w:val="auto"/>
                <w:sz w:val="24"/>
                <w:highlight w:val="none"/>
              </w:rPr>
            </w:pPr>
            <w:r>
              <w:rPr>
                <w:rFonts w:hint="eastAsia"/>
                <w:b/>
                <w:bCs/>
                <w:color w:val="auto"/>
                <w:sz w:val="24"/>
                <w:highlight w:val="none"/>
              </w:rPr>
              <w:t>土壤环境影响分析结论</w:t>
            </w:r>
          </w:p>
          <w:p>
            <w:pPr>
              <w:spacing w:line="360" w:lineRule="auto"/>
              <w:ind w:firstLine="480" w:firstLineChars="200"/>
              <w:rPr>
                <w:rFonts w:hint="eastAsia" w:hAnsi="宋体"/>
                <w:color w:val="auto"/>
                <w:sz w:val="24"/>
                <w:highlight w:val="none"/>
                <w:lang w:eastAsia="zh-CN"/>
              </w:rPr>
            </w:pPr>
            <w:r>
              <w:rPr>
                <w:rFonts w:hint="eastAsia" w:hAnsi="宋体"/>
                <w:color w:val="auto"/>
                <w:sz w:val="24"/>
                <w:highlight w:val="none"/>
                <w:lang w:eastAsia="zh-CN"/>
              </w:rPr>
              <w:t>本项目</w:t>
            </w:r>
            <w:r>
              <w:rPr>
                <w:rFonts w:hint="eastAsia"/>
                <w:bCs/>
                <w:color w:val="auto"/>
                <w:sz w:val="24"/>
                <w:highlight w:val="none"/>
                <w:shd w:val="clear" w:color="auto" w:fill="auto"/>
              </w:rPr>
              <w:t>主要从事</w:t>
            </w:r>
            <w:r>
              <w:rPr>
                <w:rFonts w:hint="eastAsia"/>
                <w:color w:val="auto"/>
                <w:sz w:val="24"/>
                <w:highlight w:val="none"/>
                <w:lang w:eastAsia="zh-CN"/>
              </w:rPr>
              <w:t>高压软管</w:t>
            </w:r>
            <w:r>
              <w:rPr>
                <w:rFonts w:hint="eastAsia"/>
                <w:bCs/>
                <w:color w:val="auto"/>
                <w:sz w:val="24"/>
                <w:highlight w:val="none"/>
                <w:shd w:val="clear" w:color="auto" w:fill="auto"/>
                <w:lang w:eastAsia="zh-CN"/>
              </w:rPr>
              <w:t>的加工生产</w:t>
            </w:r>
            <w:r>
              <w:rPr>
                <w:rFonts w:hint="eastAsia" w:hAnsi="宋体"/>
                <w:color w:val="auto"/>
                <w:sz w:val="24"/>
                <w:highlight w:val="none"/>
                <w:lang w:eastAsia="zh-CN"/>
              </w:rPr>
              <w:t>，属于塑料制品行业。根据《环境影响评价技术导则 土壤环境（试行）》（HJ 964-2018）附录A中有关建设项目所属土壤环境影响评价项目类别的划分，属于土壤环境影响评价IV类项目。根据《环境影响评价技术导则 土壤环境（试行）》（HJ 964-2018）中的相关要求，本项目可不开展土壤环境影响评价。</w:t>
            </w:r>
          </w:p>
          <w:p>
            <w:pPr>
              <w:adjustRightInd w:val="0"/>
              <w:snapToGrid w:val="0"/>
              <w:spacing w:line="360" w:lineRule="auto"/>
              <w:ind w:firstLine="431"/>
              <w:rPr>
                <w:b/>
                <w:bCs/>
                <w:color w:val="auto"/>
                <w:sz w:val="24"/>
                <w:highlight w:val="none"/>
              </w:rPr>
            </w:pPr>
            <w:r>
              <w:rPr>
                <w:b/>
                <w:bCs/>
                <w:color w:val="auto"/>
                <w:sz w:val="24"/>
                <w:highlight w:val="none"/>
              </w:rPr>
              <w:t>四、项目产业政策符合性</w:t>
            </w:r>
          </w:p>
          <w:p>
            <w:pPr>
              <w:adjustRightInd w:val="0"/>
              <w:snapToGrid w:val="0"/>
              <w:spacing w:line="336" w:lineRule="auto"/>
              <w:ind w:firstLine="480" w:firstLineChars="200"/>
              <w:rPr>
                <w:rFonts w:hint="eastAsia"/>
                <w:color w:val="auto"/>
                <w:sz w:val="24"/>
                <w:szCs w:val="24"/>
                <w:highlight w:val="none"/>
              </w:rPr>
            </w:pPr>
            <w:r>
              <w:rPr>
                <w:rFonts w:hint="eastAsia"/>
                <w:color w:val="auto"/>
                <w:sz w:val="24"/>
                <w:szCs w:val="24"/>
                <w:highlight w:val="none"/>
              </w:rPr>
              <w:t>项目不属于国家</w:t>
            </w:r>
            <w:r>
              <w:rPr>
                <w:rFonts w:hint="eastAsia"/>
                <w:color w:val="auto"/>
                <w:sz w:val="24"/>
                <w:szCs w:val="24"/>
                <w:highlight w:val="none"/>
                <w:lang w:eastAsia="zh-CN"/>
              </w:rPr>
              <w:t>《产业结构调整指导目录（2019年本）》中华人民共和国国家发展和改革委员会令第29号</w:t>
            </w:r>
            <w:r>
              <w:rPr>
                <w:rFonts w:hint="eastAsia"/>
                <w:color w:val="auto"/>
                <w:sz w:val="24"/>
                <w:szCs w:val="24"/>
                <w:highlight w:val="none"/>
              </w:rPr>
              <w:t>中的限制或淘汰类别，</w:t>
            </w:r>
            <w:r>
              <w:rPr>
                <w:bCs/>
                <w:color w:val="auto"/>
                <w:sz w:val="24"/>
                <w:szCs w:val="24"/>
                <w:highlight w:val="none"/>
              </w:rPr>
              <w:t>不在</w:t>
            </w:r>
            <w:r>
              <w:rPr>
                <w:rFonts w:hint="eastAsia" w:cs="Times New Roman"/>
                <w:bCs/>
                <w:color w:val="auto"/>
                <w:sz w:val="24"/>
                <w:szCs w:val="24"/>
                <w:highlight w:val="none"/>
                <w:shd w:val="clear" w:color="auto" w:fill="auto"/>
                <w:lang w:val="en-US" w:eastAsia="zh-CN"/>
              </w:rPr>
              <w:t>《市场准入负面清单（2019年版）》发改体改[2019]1685号</w:t>
            </w:r>
            <w:r>
              <w:rPr>
                <w:bCs/>
                <w:color w:val="auto"/>
                <w:sz w:val="24"/>
                <w:szCs w:val="24"/>
                <w:highlight w:val="none"/>
              </w:rPr>
              <w:t>类目</w:t>
            </w:r>
            <w:r>
              <w:rPr>
                <w:rFonts w:hint="eastAsia"/>
                <w:bCs/>
                <w:color w:val="auto"/>
                <w:sz w:val="24"/>
                <w:szCs w:val="24"/>
                <w:highlight w:val="none"/>
              </w:rPr>
              <w:t>，</w:t>
            </w:r>
            <w:r>
              <w:rPr>
                <w:rFonts w:hint="eastAsia"/>
                <w:b w:val="0"/>
                <w:bCs w:val="0"/>
                <w:color w:val="auto"/>
                <w:sz w:val="24"/>
                <w:szCs w:val="24"/>
                <w:highlight w:val="none"/>
              </w:rPr>
              <w:t>与《广东省挥发性有机物（VOCs）整治与减排工作方案（2018-2020年）》（粤环发〔2018〕6 号）、《江门市挥发性有机物（VOCs）整治与减排工作方案（2018~2020年）》、《十三五挥发性有机物污染防治工作方案》</w:t>
            </w:r>
            <w:r>
              <w:rPr>
                <w:rFonts w:hint="eastAsia"/>
                <w:b w:val="0"/>
                <w:bCs w:val="0"/>
                <w:color w:val="auto"/>
                <w:sz w:val="24"/>
                <w:szCs w:val="24"/>
                <w:highlight w:val="none"/>
                <w:lang w:eastAsia="zh-CN"/>
              </w:rPr>
              <w:t>、</w:t>
            </w:r>
            <w:r>
              <w:rPr>
                <w:rFonts w:hint="eastAsia"/>
                <w:color w:val="auto"/>
                <w:sz w:val="24"/>
                <w:szCs w:val="24"/>
                <w:highlight w:val="none"/>
                <w:lang w:eastAsia="zh-CN"/>
              </w:rPr>
              <w:t>《广东省人民政府关于印发&lt;广东省打赢蓝天保卫战实施方案（2018-2020年）&gt;的通知》</w:t>
            </w:r>
            <w:r>
              <w:rPr>
                <w:rFonts w:hint="eastAsia"/>
                <w:b w:val="0"/>
                <w:bCs w:val="0"/>
                <w:color w:val="auto"/>
                <w:sz w:val="24"/>
                <w:szCs w:val="24"/>
                <w:highlight w:val="none"/>
              </w:rPr>
              <w:t>相符</w:t>
            </w:r>
            <w:r>
              <w:rPr>
                <w:rFonts w:hint="eastAsia"/>
                <w:b w:val="0"/>
                <w:bCs w:val="0"/>
                <w:color w:val="auto"/>
                <w:sz w:val="24"/>
                <w:szCs w:val="24"/>
                <w:highlight w:val="none"/>
                <w:lang w:eastAsia="zh-CN"/>
              </w:rPr>
              <w:t>，</w:t>
            </w:r>
            <w:r>
              <w:rPr>
                <w:rFonts w:hint="eastAsia"/>
                <w:color w:val="auto"/>
                <w:sz w:val="24"/>
                <w:szCs w:val="24"/>
                <w:highlight w:val="none"/>
              </w:rPr>
              <w:t>因此项目符合国家、广东省的产业政策。</w:t>
            </w:r>
          </w:p>
          <w:p>
            <w:pPr>
              <w:adjustRightInd w:val="0"/>
              <w:snapToGrid w:val="0"/>
              <w:spacing w:line="336" w:lineRule="auto"/>
              <w:ind w:firstLine="482" w:firstLineChars="200"/>
              <w:rPr>
                <w:b/>
                <w:bCs/>
                <w:color w:val="auto"/>
                <w:sz w:val="24"/>
                <w:highlight w:val="none"/>
              </w:rPr>
            </w:pPr>
            <w:r>
              <w:rPr>
                <w:rFonts w:hint="eastAsia"/>
                <w:b/>
                <w:bCs/>
                <w:color w:val="auto"/>
                <w:sz w:val="24"/>
                <w:highlight w:val="none"/>
              </w:rPr>
              <w:t>五、项目选址合理性</w:t>
            </w:r>
          </w:p>
          <w:p>
            <w:pPr>
              <w:adjustRightInd w:val="0"/>
              <w:snapToGrid w:val="0"/>
              <w:spacing w:line="360" w:lineRule="auto"/>
              <w:ind w:firstLine="480" w:firstLineChars="200"/>
              <w:rPr>
                <w:color w:val="auto"/>
                <w:sz w:val="24"/>
                <w:highlight w:val="none"/>
              </w:rPr>
            </w:pPr>
            <w:r>
              <w:rPr>
                <w:rFonts w:hint="eastAsia"/>
                <w:color w:val="auto"/>
                <w:sz w:val="24"/>
                <w:highlight w:val="none"/>
              </w:rPr>
              <w:t>本项目位于</w:t>
            </w:r>
            <w:r>
              <w:rPr>
                <w:rFonts w:hint="eastAsia"/>
                <w:bCs/>
                <w:color w:val="auto"/>
                <w:sz w:val="24"/>
                <w:highlight w:val="none"/>
              </w:rPr>
              <w:t>开平市水口镇第一工业园平冈路4号</w:t>
            </w:r>
            <w:r>
              <w:rPr>
                <w:rFonts w:hint="eastAsia"/>
                <w:color w:val="auto"/>
                <w:sz w:val="24"/>
                <w:highlight w:val="none"/>
              </w:rPr>
              <w:t>，</w:t>
            </w:r>
            <w:r>
              <w:rPr>
                <w:rFonts w:hint="eastAsia"/>
                <w:bCs/>
                <w:color w:val="auto"/>
                <w:sz w:val="24"/>
                <w:highlight w:val="none"/>
              </w:rPr>
              <w:t>所在地属于工业用地，没有占用基本农业用地和林地，</w:t>
            </w:r>
            <w:r>
              <w:rPr>
                <w:color w:val="auto"/>
                <w:sz w:val="24"/>
                <w:highlight w:val="none"/>
              </w:rPr>
              <w:t>没有占用基本农业用地和林地</w:t>
            </w:r>
            <w:r>
              <w:rPr>
                <w:rFonts w:hint="eastAsia"/>
                <w:color w:val="auto"/>
                <w:sz w:val="24"/>
                <w:highlight w:val="none"/>
              </w:rPr>
              <w:t>，</w:t>
            </w:r>
            <w:r>
              <w:rPr>
                <w:color w:val="auto"/>
                <w:sz w:val="24"/>
                <w:highlight w:val="none"/>
              </w:rPr>
              <w:t>项目符合城镇规划要求。</w:t>
            </w:r>
          </w:p>
          <w:p>
            <w:pPr>
              <w:adjustRightInd w:val="0"/>
              <w:snapToGrid w:val="0"/>
              <w:spacing w:line="360" w:lineRule="auto"/>
              <w:ind w:firstLine="472" w:firstLineChars="196"/>
              <w:rPr>
                <w:b/>
                <w:color w:val="auto"/>
                <w:sz w:val="24"/>
                <w:highlight w:val="none"/>
              </w:rPr>
            </w:pPr>
            <w:r>
              <w:rPr>
                <w:rFonts w:hint="eastAsia"/>
                <w:b/>
                <w:color w:val="auto"/>
                <w:sz w:val="24"/>
                <w:highlight w:val="none"/>
              </w:rPr>
              <w:t>六、</w:t>
            </w:r>
            <w:r>
              <w:rPr>
                <w:b/>
                <w:color w:val="auto"/>
                <w:sz w:val="24"/>
                <w:highlight w:val="none"/>
              </w:rPr>
              <w:t>综合结论</w:t>
            </w:r>
          </w:p>
          <w:p>
            <w:pPr>
              <w:pStyle w:val="72"/>
              <w:spacing w:line="336" w:lineRule="auto"/>
              <w:ind w:left="0" w:right="0" w:firstLine="480" w:firstLineChars="200"/>
              <w:jc w:val="both"/>
              <w:rPr>
                <w:color w:val="auto"/>
                <w:highlight w:val="none"/>
              </w:rPr>
            </w:pPr>
            <w:r>
              <w:rPr>
                <w:color w:val="auto"/>
                <w:highlight w:val="none"/>
              </w:rPr>
              <w:t>通过上述分析，</w:t>
            </w:r>
            <w:r>
              <w:rPr>
                <w:rFonts w:hint="eastAsia"/>
                <w:color w:val="auto"/>
                <w:highlight w:val="none"/>
              </w:rPr>
              <w:t>本项目符合国家和地方产业政策，符合当地城市规划和环境保护规划，采取的“三废”治理措施经济技术可行有效，工程实施后可满足当地环境质量要求。</w:t>
            </w:r>
          </w:p>
          <w:p>
            <w:pPr>
              <w:pStyle w:val="72"/>
              <w:spacing w:line="336" w:lineRule="auto"/>
              <w:ind w:left="0" w:right="0" w:firstLine="480" w:firstLineChars="200"/>
              <w:jc w:val="both"/>
              <w:rPr>
                <w:color w:val="auto"/>
                <w:highlight w:val="none"/>
              </w:rPr>
            </w:pPr>
            <w:r>
              <w:rPr>
                <w:rFonts w:hint="eastAsia"/>
                <w:color w:val="auto"/>
                <w:highlight w:val="none"/>
              </w:rPr>
              <w:t>评价认为，在确保各项污染治理措施“三同时”建设和外排污染物达标的前提下，从环境保护角度而言本项目建设是可行的。</w:t>
            </w:r>
          </w:p>
          <w:p>
            <w:pPr>
              <w:adjustRightInd w:val="0"/>
              <w:snapToGrid w:val="0"/>
              <w:spacing w:line="360" w:lineRule="auto"/>
              <w:ind w:firstLine="431"/>
              <w:rPr>
                <w:b/>
                <w:bCs/>
                <w:color w:val="auto"/>
                <w:sz w:val="24"/>
                <w:highlight w:val="none"/>
              </w:rPr>
            </w:pPr>
          </w:p>
          <w:p>
            <w:pPr>
              <w:adjustRightInd w:val="0"/>
              <w:snapToGrid w:val="0"/>
              <w:spacing w:line="360" w:lineRule="auto"/>
              <w:ind w:firstLine="431"/>
              <w:rPr>
                <w:b/>
                <w:bCs/>
                <w:color w:val="auto"/>
                <w:sz w:val="24"/>
                <w:highlight w:val="none"/>
              </w:rPr>
            </w:pPr>
          </w:p>
          <w:p>
            <w:pPr>
              <w:adjustRightInd w:val="0"/>
              <w:snapToGrid w:val="0"/>
              <w:spacing w:line="360" w:lineRule="auto"/>
              <w:ind w:firstLine="431"/>
              <w:rPr>
                <w:b/>
                <w:bCs/>
                <w:color w:val="auto"/>
                <w:sz w:val="24"/>
                <w:highlight w:val="none"/>
              </w:rPr>
            </w:pPr>
          </w:p>
          <w:p>
            <w:pPr>
              <w:adjustRightInd w:val="0"/>
              <w:snapToGrid w:val="0"/>
              <w:spacing w:line="360" w:lineRule="auto"/>
              <w:ind w:firstLine="431"/>
              <w:rPr>
                <w:b/>
                <w:bCs/>
                <w:color w:val="auto"/>
                <w:sz w:val="24"/>
                <w:highlight w:val="none"/>
              </w:rPr>
            </w:pPr>
          </w:p>
          <w:p>
            <w:pPr>
              <w:adjustRightInd w:val="0"/>
              <w:snapToGrid w:val="0"/>
              <w:spacing w:line="360" w:lineRule="auto"/>
              <w:ind w:firstLine="431"/>
              <w:rPr>
                <w:b/>
                <w:bCs/>
                <w:color w:val="auto"/>
                <w:sz w:val="24"/>
                <w:highlight w:val="none"/>
              </w:rPr>
            </w:pPr>
          </w:p>
          <w:p>
            <w:pPr>
              <w:adjustRightInd w:val="0"/>
              <w:snapToGrid w:val="0"/>
              <w:spacing w:line="360" w:lineRule="auto"/>
              <w:ind w:firstLine="431"/>
              <w:rPr>
                <w:b/>
                <w:bCs/>
                <w:color w:val="auto"/>
                <w:sz w:val="24"/>
                <w:highlight w:val="none"/>
              </w:rPr>
            </w:pPr>
          </w:p>
          <w:p>
            <w:pPr>
              <w:adjustRightInd w:val="0"/>
              <w:snapToGrid w:val="0"/>
              <w:spacing w:line="360" w:lineRule="auto"/>
              <w:ind w:firstLine="431"/>
              <w:rPr>
                <w:b/>
                <w:bCs/>
                <w:color w:val="auto"/>
                <w:sz w:val="24"/>
                <w:highlight w:val="none"/>
              </w:rPr>
            </w:pPr>
          </w:p>
          <w:p>
            <w:pPr>
              <w:adjustRightInd w:val="0"/>
              <w:snapToGrid w:val="0"/>
              <w:spacing w:line="360" w:lineRule="auto"/>
              <w:ind w:firstLine="431"/>
              <w:rPr>
                <w:b/>
                <w:bCs/>
                <w:color w:val="auto"/>
                <w:sz w:val="24"/>
                <w:highlight w:val="none"/>
              </w:rPr>
            </w:pPr>
          </w:p>
          <w:p>
            <w:pPr>
              <w:adjustRightInd w:val="0"/>
              <w:snapToGrid w:val="0"/>
              <w:spacing w:line="360" w:lineRule="auto"/>
              <w:ind w:firstLine="431"/>
              <w:rPr>
                <w:b/>
                <w:bCs/>
                <w:color w:val="auto"/>
                <w:sz w:val="24"/>
                <w:highlight w:val="none"/>
              </w:rPr>
            </w:pPr>
          </w:p>
          <w:p>
            <w:pPr>
              <w:adjustRightInd w:val="0"/>
              <w:snapToGrid w:val="0"/>
              <w:spacing w:line="360" w:lineRule="auto"/>
              <w:ind w:firstLine="431"/>
              <w:rPr>
                <w:b/>
                <w:bCs/>
                <w:color w:val="auto"/>
                <w:sz w:val="24"/>
                <w:highlight w:val="none"/>
              </w:rPr>
            </w:pPr>
          </w:p>
          <w:p>
            <w:pPr>
              <w:adjustRightInd w:val="0"/>
              <w:snapToGrid w:val="0"/>
              <w:spacing w:line="360" w:lineRule="auto"/>
              <w:ind w:firstLine="431"/>
              <w:rPr>
                <w:b/>
                <w:bCs/>
                <w:color w:val="auto"/>
                <w:sz w:val="24"/>
                <w:highlight w:val="none"/>
              </w:rPr>
            </w:pPr>
          </w:p>
          <w:p>
            <w:pPr>
              <w:adjustRightInd w:val="0"/>
              <w:snapToGrid w:val="0"/>
              <w:spacing w:line="360" w:lineRule="auto"/>
              <w:ind w:firstLine="431"/>
              <w:rPr>
                <w:b/>
                <w:bCs/>
                <w:color w:val="auto"/>
                <w:sz w:val="24"/>
                <w:highlight w:val="none"/>
              </w:rPr>
            </w:pPr>
          </w:p>
          <w:p>
            <w:pPr>
              <w:adjustRightInd w:val="0"/>
              <w:snapToGrid w:val="0"/>
              <w:spacing w:line="360" w:lineRule="auto"/>
              <w:ind w:firstLine="431"/>
              <w:rPr>
                <w:b/>
                <w:bCs/>
                <w:color w:val="auto"/>
                <w:sz w:val="24"/>
                <w:highlight w:val="none"/>
              </w:rPr>
            </w:pPr>
          </w:p>
          <w:p>
            <w:pPr>
              <w:adjustRightInd w:val="0"/>
              <w:snapToGrid w:val="0"/>
              <w:spacing w:line="360" w:lineRule="auto"/>
              <w:ind w:firstLine="431"/>
              <w:rPr>
                <w:rFonts w:hint="eastAsia"/>
                <w:b/>
                <w:bCs/>
                <w:color w:val="auto"/>
                <w:sz w:val="24"/>
                <w:highlight w:val="none"/>
              </w:rPr>
            </w:pPr>
          </w:p>
          <w:p>
            <w:pPr>
              <w:adjustRightInd w:val="0"/>
              <w:snapToGrid w:val="0"/>
              <w:spacing w:line="360" w:lineRule="auto"/>
              <w:ind w:firstLine="431"/>
              <w:rPr>
                <w:rFonts w:hint="eastAsia"/>
                <w:b/>
                <w:bCs/>
                <w:color w:val="auto"/>
                <w:sz w:val="24"/>
                <w:highlight w:val="none"/>
              </w:rPr>
            </w:pPr>
          </w:p>
          <w:p>
            <w:pPr>
              <w:adjustRightInd w:val="0"/>
              <w:snapToGrid w:val="0"/>
              <w:spacing w:line="360" w:lineRule="auto"/>
              <w:ind w:firstLine="431"/>
              <w:rPr>
                <w:rFonts w:hint="eastAsia"/>
                <w:b/>
                <w:bCs/>
                <w:color w:val="auto"/>
                <w:sz w:val="24"/>
                <w:highlight w:val="none"/>
              </w:rPr>
            </w:pPr>
          </w:p>
          <w:p>
            <w:pPr>
              <w:adjustRightInd w:val="0"/>
              <w:snapToGrid w:val="0"/>
              <w:spacing w:line="360" w:lineRule="auto"/>
              <w:ind w:firstLine="431"/>
              <w:rPr>
                <w:rFonts w:hint="eastAsia"/>
                <w:b/>
                <w:bCs/>
                <w:color w:val="auto"/>
                <w:sz w:val="24"/>
                <w:highlight w:val="none"/>
              </w:rPr>
            </w:pPr>
          </w:p>
          <w:p>
            <w:pPr>
              <w:adjustRightInd w:val="0"/>
              <w:snapToGrid w:val="0"/>
              <w:spacing w:line="360" w:lineRule="auto"/>
              <w:ind w:firstLine="431"/>
              <w:rPr>
                <w:rFonts w:hint="eastAsia"/>
                <w:b/>
                <w:bCs/>
                <w:color w:val="auto"/>
                <w:sz w:val="24"/>
                <w:highlight w:val="none"/>
              </w:rPr>
            </w:pPr>
          </w:p>
          <w:p>
            <w:pPr>
              <w:adjustRightInd w:val="0"/>
              <w:snapToGrid w:val="0"/>
              <w:spacing w:line="360" w:lineRule="auto"/>
              <w:ind w:firstLine="431"/>
              <w:rPr>
                <w:rFonts w:hint="eastAsia"/>
                <w:b/>
                <w:bCs/>
                <w:color w:val="auto"/>
                <w:sz w:val="24"/>
                <w:highlight w:val="none"/>
              </w:rPr>
            </w:pPr>
          </w:p>
          <w:p>
            <w:pPr>
              <w:adjustRightInd w:val="0"/>
              <w:snapToGrid w:val="0"/>
              <w:spacing w:line="360" w:lineRule="auto"/>
              <w:ind w:firstLine="431"/>
              <w:rPr>
                <w:rFonts w:hint="eastAsia"/>
                <w:b/>
                <w:bCs/>
                <w:color w:val="auto"/>
                <w:sz w:val="24"/>
                <w:highlight w:val="none"/>
              </w:rPr>
            </w:pPr>
          </w:p>
          <w:p>
            <w:pPr>
              <w:adjustRightInd w:val="0"/>
              <w:snapToGrid w:val="0"/>
              <w:spacing w:line="360" w:lineRule="auto"/>
              <w:ind w:firstLine="431"/>
              <w:rPr>
                <w:rFonts w:hint="eastAsia"/>
                <w:b/>
                <w:bCs/>
                <w:color w:val="auto"/>
                <w:sz w:val="24"/>
                <w:highlight w:val="none"/>
              </w:rPr>
            </w:pPr>
          </w:p>
          <w:p>
            <w:pPr>
              <w:adjustRightInd w:val="0"/>
              <w:snapToGrid w:val="0"/>
              <w:spacing w:line="360" w:lineRule="auto"/>
              <w:ind w:firstLine="431"/>
              <w:rPr>
                <w:rFonts w:hint="eastAsia"/>
                <w:b/>
                <w:bCs/>
                <w:color w:val="auto"/>
                <w:sz w:val="24"/>
                <w:highlight w:val="none"/>
              </w:rPr>
            </w:pPr>
          </w:p>
          <w:p>
            <w:pPr>
              <w:adjustRightInd w:val="0"/>
              <w:snapToGrid w:val="0"/>
              <w:spacing w:line="360" w:lineRule="auto"/>
              <w:ind w:firstLine="431"/>
              <w:rPr>
                <w:rFonts w:hint="eastAsia"/>
                <w:b/>
                <w:bCs/>
                <w:color w:val="auto"/>
                <w:sz w:val="24"/>
                <w:highlight w:val="none"/>
              </w:rPr>
            </w:pPr>
          </w:p>
          <w:p>
            <w:pPr>
              <w:adjustRightInd w:val="0"/>
              <w:snapToGrid w:val="0"/>
              <w:spacing w:line="360" w:lineRule="auto"/>
              <w:ind w:firstLine="431"/>
              <w:rPr>
                <w:rFonts w:hint="eastAsia"/>
                <w:b/>
                <w:bCs/>
                <w:color w:val="auto"/>
                <w:sz w:val="24"/>
                <w:highlight w:val="none"/>
              </w:rPr>
            </w:pPr>
          </w:p>
          <w:p>
            <w:pPr>
              <w:adjustRightInd w:val="0"/>
              <w:snapToGrid w:val="0"/>
              <w:spacing w:line="360" w:lineRule="auto"/>
              <w:ind w:firstLine="431"/>
              <w:rPr>
                <w:rFonts w:hint="eastAsia"/>
                <w:b/>
                <w:bCs/>
                <w:color w:val="auto"/>
                <w:sz w:val="24"/>
                <w:highlight w:val="none"/>
              </w:rPr>
            </w:pPr>
          </w:p>
          <w:p>
            <w:pPr>
              <w:adjustRightInd w:val="0"/>
              <w:snapToGrid w:val="0"/>
              <w:spacing w:line="360" w:lineRule="auto"/>
              <w:ind w:firstLine="431"/>
              <w:rPr>
                <w:b/>
                <w:bCs/>
                <w:color w:val="auto"/>
                <w:sz w:val="24"/>
                <w:highlight w:val="none"/>
              </w:rPr>
            </w:pPr>
            <w:r>
              <w:rPr>
                <w:rFonts w:hint="eastAsia"/>
                <w:b/>
                <w:bCs/>
                <w:color w:val="auto"/>
                <w:sz w:val="24"/>
                <w:highlight w:val="none"/>
              </w:rPr>
              <w:t>七</w:t>
            </w:r>
            <w:r>
              <w:rPr>
                <w:b/>
                <w:bCs/>
                <w:color w:val="auto"/>
                <w:sz w:val="24"/>
                <w:highlight w:val="none"/>
              </w:rPr>
              <w:t>、建议</w:t>
            </w:r>
          </w:p>
          <w:p>
            <w:pPr>
              <w:spacing w:line="360" w:lineRule="auto"/>
              <w:ind w:firstLine="480" w:firstLineChars="200"/>
              <w:rPr>
                <w:color w:val="auto"/>
                <w:sz w:val="24"/>
                <w:highlight w:val="none"/>
              </w:rPr>
            </w:pPr>
            <w:r>
              <w:rPr>
                <w:color w:val="auto"/>
                <w:sz w:val="24"/>
                <w:highlight w:val="none"/>
              </w:rPr>
              <w:t>1、根据环评要求，落实“三废治理”费用，做到专款专用，项目实施后应保证足够的环保资金，确保污染防治措施有效地运行，保证污染物达标排放；</w:t>
            </w:r>
          </w:p>
          <w:p>
            <w:pPr>
              <w:spacing w:line="360" w:lineRule="auto"/>
              <w:ind w:firstLine="480" w:firstLineChars="200"/>
              <w:rPr>
                <w:color w:val="auto"/>
                <w:sz w:val="24"/>
                <w:highlight w:val="none"/>
              </w:rPr>
            </w:pPr>
            <w:r>
              <w:rPr>
                <w:color w:val="auto"/>
                <w:sz w:val="24"/>
                <w:highlight w:val="none"/>
              </w:rPr>
              <w:t>2、加强环境管理和宣传教育，提高员工环保意识；</w:t>
            </w:r>
          </w:p>
          <w:p>
            <w:pPr>
              <w:spacing w:line="360" w:lineRule="auto"/>
              <w:ind w:firstLine="480" w:firstLineChars="200"/>
              <w:rPr>
                <w:color w:val="auto"/>
                <w:sz w:val="24"/>
                <w:highlight w:val="none"/>
              </w:rPr>
            </w:pPr>
            <w:r>
              <w:rPr>
                <w:color w:val="auto"/>
                <w:sz w:val="24"/>
                <w:highlight w:val="none"/>
              </w:rPr>
              <w:t>3、搞好厂区的绿化</w:t>
            </w:r>
            <w:r>
              <w:rPr>
                <w:rFonts w:hint="eastAsia"/>
                <w:color w:val="auto"/>
                <w:sz w:val="24"/>
                <w:highlight w:val="none"/>
              </w:rPr>
              <w:t>、</w:t>
            </w:r>
            <w:r>
              <w:rPr>
                <w:color w:val="auto"/>
                <w:sz w:val="24"/>
                <w:highlight w:val="none"/>
              </w:rPr>
              <w:t>美化</w:t>
            </w:r>
            <w:r>
              <w:rPr>
                <w:rFonts w:hint="eastAsia"/>
                <w:color w:val="auto"/>
                <w:sz w:val="24"/>
                <w:highlight w:val="none"/>
              </w:rPr>
              <w:t>、</w:t>
            </w:r>
            <w:r>
              <w:rPr>
                <w:color w:val="auto"/>
                <w:sz w:val="24"/>
                <w:highlight w:val="none"/>
              </w:rPr>
              <w:t xml:space="preserve">净化工作； </w:t>
            </w:r>
          </w:p>
          <w:p>
            <w:pPr>
              <w:spacing w:line="360" w:lineRule="auto"/>
              <w:ind w:firstLine="480" w:firstLineChars="200"/>
              <w:rPr>
                <w:color w:val="auto"/>
                <w:sz w:val="24"/>
                <w:highlight w:val="none"/>
              </w:rPr>
            </w:pPr>
            <w:r>
              <w:rPr>
                <w:color w:val="auto"/>
                <w:sz w:val="24"/>
                <w:highlight w:val="none"/>
              </w:rPr>
              <w:t>4、建立健全一套完善的环境管理制度，并严格按管理制度执行；</w:t>
            </w:r>
          </w:p>
          <w:p>
            <w:pPr>
              <w:spacing w:line="360" w:lineRule="auto"/>
              <w:ind w:firstLine="480" w:firstLineChars="200"/>
              <w:rPr>
                <w:color w:val="auto"/>
                <w:sz w:val="24"/>
                <w:highlight w:val="none"/>
              </w:rPr>
            </w:pPr>
            <w:r>
              <w:rPr>
                <w:color w:val="auto"/>
                <w:sz w:val="24"/>
                <w:highlight w:val="none"/>
              </w:rPr>
              <w:t>5、加强生产管理，实施清洁生产，从而减少污染物的产生量；</w:t>
            </w:r>
          </w:p>
          <w:p>
            <w:pPr>
              <w:spacing w:line="360" w:lineRule="auto"/>
              <w:ind w:firstLine="480" w:firstLineChars="200"/>
              <w:rPr>
                <w:color w:val="auto"/>
                <w:sz w:val="24"/>
                <w:highlight w:val="none"/>
              </w:rPr>
            </w:pPr>
            <w:r>
              <w:rPr>
                <w:color w:val="auto"/>
                <w:sz w:val="24"/>
                <w:highlight w:val="none"/>
              </w:rPr>
              <w:t>6、合理生产布局，建立设备管理网络体系，形成保证设备正常运行和正常维修保养的一系列工程程序，确保设备完好，尽可能减少污染物排放量；</w:t>
            </w:r>
          </w:p>
          <w:p>
            <w:pPr>
              <w:spacing w:line="360" w:lineRule="auto"/>
              <w:ind w:firstLine="480" w:firstLineChars="200"/>
              <w:rPr>
                <w:color w:val="auto"/>
                <w:sz w:val="24"/>
                <w:highlight w:val="none"/>
              </w:rPr>
            </w:pPr>
            <w:r>
              <w:rPr>
                <w:color w:val="auto"/>
                <w:sz w:val="24"/>
                <w:highlight w:val="none"/>
              </w:rPr>
              <w:t>7、关心并积极听取可能受项目环境影响的附近居民等人员</w:t>
            </w:r>
            <w:r>
              <w:rPr>
                <w:rFonts w:hint="eastAsia"/>
                <w:color w:val="auto"/>
                <w:sz w:val="24"/>
                <w:highlight w:val="none"/>
              </w:rPr>
              <w:t>、</w:t>
            </w:r>
            <w:r>
              <w:rPr>
                <w:color w:val="auto"/>
                <w:sz w:val="24"/>
                <w:highlight w:val="none"/>
              </w:rPr>
              <w:t>单位的反映，定期向项目最高管理者和当地环保部门汇报项目环境保护工作的情况，同时接受当地环境保护部门的监督和管理。遵守有关环境法律；法规，树立良好的企业形象，实现经济效益与社会效益；环境效益相统一；</w:t>
            </w:r>
          </w:p>
          <w:p>
            <w:pPr>
              <w:pStyle w:val="24"/>
              <w:ind w:firstLine="480"/>
              <w:rPr>
                <w:b w:val="0"/>
                <w:color w:val="auto"/>
                <w:sz w:val="24"/>
                <w:highlight w:val="none"/>
              </w:rPr>
            </w:pPr>
            <w:r>
              <w:rPr>
                <w:rFonts w:hint="eastAsia"/>
                <w:b w:val="0"/>
                <w:color w:val="auto"/>
                <w:sz w:val="24"/>
                <w:highlight w:val="none"/>
              </w:rPr>
              <w:t>8、作好防范措施，防治废气、噪声扰民；一旦出现相关投诉，项目应立即停止生产并协调处理相关投诉，采取有效措施；</w:t>
            </w:r>
          </w:p>
          <w:p>
            <w:pPr>
              <w:pStyle w:val="24"/>
              <w:ind w:firstLine="480"/>
              <w:rPr>
                <w:b w:val="0"/>
                <w:color w:val="auto"/>
                <w:sz w:val="24"/>
                <w:highlight w:val="none"/>
              </w:rPr>
            </w:pPr>
            <w:r>
              <w:rPr>
                <w:rFonts w:hint="eastAsia"/>
                <w:b w:val="0"/>
                <w:color w:val="auto"/>
                <w:sz w:val="24"/>
                <w:highlight w:val="none"/>
              </w:rPr>
              <w:t>9、企业要定期或不定期委托具有监测能力和资格单位对本项目的有组织或无组织排放情况进行监测，以便掌握本项目污染及达标排放情况，一旦出现有投诉影响人体健康或污染物排放超过国家和地方有关环保标准，应及时停产并对环保设施进行检修；</w:t>
            </w:r>
          </w:p>
          <w:p>
            <w:pPr>
              <w:spacing w:line="360" w:lineRule="auto"/>
              <w:ind w:firstLine="480" w:firstLineChars="200"/>
              <w:rPr>
                <w:color w:val="auto"/>
                <w:sz w:val="24"/>
                <w:highlight w:val="none"/>
              </w:rPr>
            </w:pPr>
            <w:r>
              <w:rPr>
                <w:rFonts w:hint="eastAsia"/>
                <w:color w:val="auto"/>
                <w:sz w:val="24"/>
                <w:highlight w:val="none"/>
              </w:rPr>
              <w:t>10</w:t>
            </w:r>
            <w:r>
              <w:rPr>
                <w:color w:val="auto"/>
                <w:sz w:val="24"/>
                <w:highlight w:val="none"/>
              </w:rPr>
              <w:t>、今后若企业的生产工艺发生变化或生产规模扩大；生产技术更新改造，都必须重新进行环境影响评价，并征得环保部门审批同意后方可实施。</w:t>
            </w:r>
            <w:r>
              <w:rPr>
                <w:color w:val="auto"/>
                <w:sz w:val="24"/>
                <w:highlight w:val="none"/>
              </w:rPr>
              <w:tab/>
            </w:r>
          </w:p>
          <w:p>
            <w:pPr>
              <w:pStyle w:val="47"/>
              <w:wordWrap w:val="0"/>
              <w:spacing w:line="360" w:lineRule="auto"/>
              <w:jc w:val="right"/>
              <w:rPr>
                <w:color w:val="auto"/>
                <w:highlight w:val="none"/>
              </w:rPr>
            </w:pPr>
          </w:p>
          <w:p>
            <w:pPr>
              <w:pStyle w:val="47"/>
              <w:spacing w:line="360" w:lineRule="auto"/>
              <w:jc w:val="right"/>
              <w:rPr>
                <w:color w:val="auto"/>
                <w:highlight w:val="none"/>
              </w:rPr>
            </w:pPr>
          </w:p>
          <w:p>
            <w:pPr>
              <w:pStyle w:val="47"/>
              <w:wordWrap w:val="0"/>
              <w:spacing w:line="360" w:lineRule="auto"/>
              <w:jc w:val="right"/>
              <w:rPr>
                <w:rFonts w:hint="default" w:eastAsia="宋体"/>
                <w:color w:val="auto"/>
                <w:highlight w:val="none"/>
                <w:lang w:val="en-US" w:eastAsia="zh-CN"/>
              </w:rPr>
            </w:pPr>
            <w:r>
              <w:rPr>
                <w:rFonts w:hint="eastAsia"/>
                <w:color w:val="auto"/>
                <w:highlight w:val="none"/>
              </w:rPr>
              <w:t>评价单位：</w:t>
            </w:r>
            <w:r>
              <w:rPr>
                <w:rFonts w:hint="eastAsia"/>
                <w:color w:val="auto"/>
                <w:highlight w:val="none"/>
                <w:lang w:val="en-US" w:eastAsia="zh-CN"/>
              </w:rPr>
              <w:t xml:space="preserve">                              </w:t>
            </w:r>
          </w:p>
          <w:p>
            <w:pPr>
              <w:pStyle w:val="47"/>
              <w:wordWrap w:val="0"/>
              <w:spacing w:line="360" w:lineRule="auto"/>
              <w:jc w:val="right"/>
              <w:rPr>
                <w:color w:val="auto"/>
                <w:highlight w:val="none"/>
              </w:rPr>
            </w:pPr>
            <w:r>
              <w:rPr>
                <w:rFonts w:hint="eastAsia"/>
                <w:color w:val="auto"/>
                <w:highlight w:val="none"/>
              </w:rPr>
              <w:t xml:space="preserve"> 项目负责人：                            </w:t>
            </w:r>
          </w:p>
          <w:p>
            <w:pPr>
              <w:pStyle w:val="47"/>
              <w:jc w:val="center"/>
              <w:rPr>
                <w:color w:val="auto"/>
                <w:highlight w:val="none"/>
              </w:rPr>
            </w:pPr>
            <w:r>
              <w:rPr>
                <w:rFonts w:hint="eastAsia"/>
                <w:color w:val="auto"/>
                <w:highlight w:val="none"/>
              </w:rPr>
              <w:t xml:space="preserve">        审核日期：</w:t>
            </w:r>
          </w:p>
          <w:p>
            <w:pPr>
              <w:pStyle w:val="47"/>
              <w:jc w:val="center"/>
              <w:rPr>
                <w:color w:val="auto"/>
                <w:highlight w:val="none"/>
              </w:rPr>
            </w:pPr>
          </w:p>
        </w:tc>
      </w:tr>
    </w:tbl>
    <w:p>
      <w:pPr>
        <w:rPr>
          <w:color w:val="auto"/>
          <w:sz w:val="28"/>
          <w:highlight w:val="none"/>
        </w:rPr>
        <w:sectPr>
          <w:pgSz w:w="11907" w:h="16840"/>
          <w:pgMar w:top="1440" w:right="1134" w:bottom="1134" w:left="1418" w:header="0" w:footer="898" w:gutter="0"/>
          <w:cols w:space="720" w:num="1"/>
          <w:docGrid w:linePitch="326" w:charSpace="-4916"/>
        </w:sectPr>
      </w:pPr>
    </w:p>
    <w:tbl>
      <w:tblPr>
        <w:tblStyle w:val="40"/>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6" w:hRule="atLeast"/>
        </w:trPr>
        <w:tc>
          <w:tcPr>
            <w:tcW w:w="9288" w:type="dxa"/>
          </w:tcPr>
          <w:p>
            <w:pPr>
              <w:pStyle w:val="58"/>
              <w:spacing w:before="200" w:line="240" w:lineRule="auto"/>
              <w:ind w:firstLine="0"/>
              <w:rPr>
                <w:rFonts w:eastAsia="宋体"/>
                <w:color w:val="auto"/>
                <w:szCs w:val="24"/>
                <w:highlight w:val="none"/>
              </w:rPr>
            </w:pPr>
            <w:r>
              <w:rPr>
                <w:rFonts w:eastAsia="宋体"/>
                <w:color w:val="auto"/>
                <w:highlight w:val="none"/>
              </w:rPr>
              <w:br w:type="page"/>
            </w:r>
            <w:r>
              <w:rPr>
                <w:rFonts w:hint="eastAsia" w:eastAsia="宋体"/>
                <w:bCs/>
                <w:color w:val="auto"/>
                <w:szCs w:val="24"/>
                <w:highlight w:val="none"/>
              </w:rPr>
              <w:t>预审意见：</w:t>
            </w: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r>
              <w:rPr>
                <w:rFonts w:hint="eastAsia" w:eastAsia="宋体"/>
                <w:color w:val="auto"/>
                <w:highlight w:val="none"/>
              </w:rPr>
              <w:t>　　　　　　　　　　　　　　　　　　　　　　　　　　　　　　　公　章</w:t>
            </w:r>
          </w:p>
          <w:p>
            <w:pPr>
              <w:pStyle w:val="58"/>
              <w:spacing w:before="200" w:line="240" w:lineRule="auto"/>
              <w:ind w:firstLine="0"/>
              <w:rPr>
                <w:rFonts w:eastAsia="宋体"/>
                <w:color w:val="auto"/>
                <w:highlight w:val="none"/>
              </w:rPr>
            </w:pPr>
            <w:r>
              <w:rPr>
                <w:rFonts w:hint="eastAsia" w:eastAsia="宋体"/>
                <w:color w:val="auto"/>
                <w:highlight w:val="none"/>
              </w:rPr>
              <w:t>经办人：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9288" w:type="dxa"/>
          </w:tcPr>
          <w:p>
            <w:pPr>
              <w:pStyle w:val="58"/>
              <w:spacing w:before="200" w:line="240" w:lineRule="auto"/>
              <w:ind w:firstLine="0"/>
              <w:rPr>
                <w:rFonts w:eastAsia="宋体"/>
                <w:bCs/>
                <w:color w:val="auto"/>
                <w:szCs w:val="24"/>
                <w:highlight w:val="none"/>
              </w:rPr>
            </w:pPr>
            <w:r>
              <w:rPr>
                <w:rFonts w:hint="eastAsia" w:eastAsia="宋体"/>
                <w:bCs/>
                <w:color w:val="auto"/>
                <w:szCs w:val="24"/>
                <w:highlight w:val="none"/>
              </w:rPr>
              <w:t>下一级环境保护行政主管部门审查意见：</w:t>
            </w: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r>
              <w:rPr>
                <w:rFonts w:hint="eastAsia" w:eastAsia="宋体"/>
                <w:color w:val="auto"/>
                <w:highlight w:val="none"/>
              </w:rPr>
              <w:t>　　　　　　　　　　　　　　　　　　　　　　　　　　　　　　　公　章</w:t>
            </w:r>
          </w:p>
          <w:p>
            <w:pPr>
              <w:pStyle w:val="58"/>
              <w:spacing w:before="200" w:line="240" w:lineRule="auto"/>
              <w:ind w:firstLine="0"/>
              <w:rPr>
                <w:rFonts w:eastAsia="宋体"/>
                <w:color w:val="auto"/>
                <w:highlight w:val="none"/>
              </w:rPr>
            </w:pPr>
            <w:r>
              <w:rPr>
                <w:rFonts w:hint="eastAsia" w:eastAsia="宋体"/>
                <w:color w:val="auto"/>
                <w:highlight w:val="none"/>
              </w:rPr>
              <w:t>经办人：　　　　　　　　　　　　　　　　　　　　　　　　　　年　　月　　日</w:t>
            </w: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tc>
      </w:tr>
    </w:tbl>
    <w:tbl>
      <w:tblPr>
        <w:tblStyle w:val="40"/>
        <w:tblpPr w:leftFromText="180" w:rightFromText="180" w:vertAnchor="page" w:horzAnchor="page" w:tblpX="1305" w:tblpY="1499"/>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05" w:hRule="atLeast"/>
        </w:trPr>
        <w:tc>
          <w:tcPr>
            <w:tcW w:w="9288" w:type="dxa"/>
            <w:tcBorders>
              <w:bottom w:val="single" w:color="auto" w:sz="4" w:space="0"/>
            </w:tcBorders>
          </w:tcPr>
          <w:p>
            <w:pPr>
              <w:pStyle w:val="58"/>
              <w:spacing w:before="200" w:line="240" w:lineRule="auto"/>
              <w:ind w:firstLine="0"/>
              <w:rPr>
                <w:rFonts w:eastAsia="宋体"/>
                <w:bCs/>
                <w:color w:val="auto"/>
                <w:szCs w:val="24"/>
                <w:highlight w:val="none"/>
              </w:rPr>
            </w:pPr>
            <w:r>
              <w:rPr>
                <w:rFonts w:hint="eastAsia" w:eastAsia="宋体"/>
                <w:bCs/>
                <w:color w:val="auto"/>
                <w:szCs w:val="24"/>
                <w:highlight w:val="none"/>
              </w:rPr>
              <w:t>审批意见：</w:t>
            </w: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p>
          <w:p>
            <w:pPr>
              <w:pStyle w:val="58"/>
              <w:spacing w:before="200" w:line="240" w:lineRule="auto"/>
              <w:ind w:firstLine="0"/>
              <w:rPr>
                <w:rFonts w:eastAsia="宋体"/>
                <w:color w:val="auto"/>
                <w:highlight w:val="none"/>
              </w:rPr>
            </w:pPr>
            <w:r>
              <w:rPr>
                <w:rFonts w:hint="eastAsia" w:eastAsia="宋体"/>
                <w:color w:val="auto"/>
                <w:highlight w:val="none"/>
              </w:rPr>
              <w:t>　　　　　　　　　　　　　　　　　　　　　　　　　　　　　　　公　章</w:t>
            </w:r>
          </w:p>
          <w:p>
            <w:pPr>
              <w:pStyle w:val="58"/>
              <w:spacing w:before="200" w:line="240" w:lineRule="auto"/>
              <w:ind w:firstLine="0"/>
              <w:rPr>
                <w:rFonts w:eastAsia="宋体"/>
                <w:color w:val="auto"/>
                <w:highlight w:val="none"/>
              </w:rPr>
            </w:pPr>
            <w:r>
              <w:rPr>
                <w:rFonts w:hint="eastAsia" w:eastAsia="宋体"/>
                <w:color w:val="auto"/>
                <w:highlight w:val="none"/>
              </w:rPr>
              <w:t>经办人：　　　　　　　　　　　　　　　　　　　　　　　　　　　年　　月　　日</w:t>
            </w:r>
          </w:p>
        </w:tc>
      </w:tr>
    </w:tbl>
    <w:p>
      <w:pPr>
        <w:rPr>
          <w:color w:val="auto"/>
          <w:highlight w:val="none"/>
        </w:rPr>
      </w:pPr>
    </w:p>
    <w:p>
      <w:pPr>
        <w:spacing w:before="60" w:after="60"/>
        <w:ind w:left="210" w:leftChars="100"/>
        <w:outlineLvl w:val="0"/>
        <w:rPr>
          <w:rFonts w:eastAsia="黑体"/>
          <w:b/>
          <w:bCs/>
          <w:color w:val="auto"/>
          <w:sz w:val="36"/>
          <w:szCs w:val="36"/>
          <w:highlight w:val="none"/>
        </w:rPr>
        <w:sectPr>
          <w:headerReference r:id="rId16" w:type="default"/>
          <w:footerReference r:id="rId17" w:type="default"/>
          <w:footerReference r:id="rId18" w:type="even"/>
          <w:pgSz w:w="11907" w:h="16840"/>
          <w:pgMar w:top="1418" w:right="1304" w:bottom="1418" w:left="1304" w:header="851" w:footer="851" w:gutter="0"/>
          <w:cols w:space="425" w:num="1"/>
          <w:docGrid w:type="lines" w:linePitch="312" w:charSpace="0"/>
        </w:sectPr>
      </w:pPr>
    </w:p>
    <w:tbl>
      <w:tblPr>
        <w:tblStyle w:val="40"/>
        <w:tblpPr w:leftFromText="180" w:rightFromText="180" w:vertAnchor="text" w:horzAnchor="page" w:tblpX="1410" w:tblpY="99"/>
        <w:tblOverlap w:val="never"/>
        <w:tblW w:w="93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9375" w:type="dxa"/>
          </w:tcPr>
          <w:p>
            <w:pPr>
              <w:keepNext w:val="0"/>
              <w:keepLines w:val="0"/>
              <w:pageBreakBefore w:val="0"/>
              <w:widowControl w:val="0"/>
              <w:kinsoku/>
              <w:wordWrap/>
              <w:overflowPunct/>
              <w:topLinePunct w:val="0"/>
              <w:autoSpaceDE w:val="0"/>
              <w:autoSpaceDN w:val="0"/>
              <w:bidi w:val="0"/>
              <w:adjustRightInd w:val="0"/>
              <w:snapToGrid/>
              <w:spacing w:line="264" w:lineRule="auto"/>
              <w:jc w:val="center"/>
              <w:rPr>
                <w:color w:val="auto"/>
                <w:highlight w:val="none"/>
              </w:rPr>
            </w:pPr>
            <w:r>
              <w:rPr>
                <w:rFonts w:hint="eastAsia"/>
                <w:b/>
                <w:bCs/>
                <w:color w:val="auto"/>
                <w:sz w:val="36"/>
                <w:szCs w:val="36"/>
                <w:highlight w:val="none"/>
              </w:rPr>
              <w:t>注释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5" w:hRule="atLeast"/>
        </w:trPr>
        <w:tc>
          <w:tcPr>
            <w:tcW w:w="9375" w:type="dxa"/>
          </w:tcPr>
          <w:p>
            <w:pPr>
              <w:pStyle w:val="151"/>
              <w:keepNext w:val="0"/>
              <w:keepLines w:val="0"/>
              <w:pageBreakBefore w:val="0"/>
              <w:widowControl w:val="0"/>
              <w:kinsoku/>
              <w:wordWrap/>
              <w:overflowPunct/>
              <w:topLinePunct w:val="0"/>
              <w:bidi w:val="0"/>
              <w:snapToGrid/>
              <w:spacing w:line="264" w:lineRule="auto"/>
              <w:ind w:left="0" w:firstLine="482"/>
              <w:jc w:val="left"/>
              <w:rPr>
                <w:rFonts w:asciiTheme="majorEastAsia" w:hAnsiTheme="majorEastAsia" w:eastAsiaTheme="majorEastAsia" w:cstheme="majorEastAsia"/>
                <w:b/>
                <w:color w:val="auto"/>
                <w:kern w:val="2"/>
                <w:szCs w:val="24"/>
                <w:highlight w:val="none"/>
              </w:rPr>
            </w:pPr>
            <w:r>
              <w:rPr>
                <w:rFonts w:hint="eastAsia" w:asciiTheme="majorEastAsia" w:hAnsiTheme="majorEastAsia" w:eastAsiaTheme="majorEastAsia" w:cstheme="majorEastAsia"/>
                <w:b/>
                <w:color w:val="auto"/>
                <w:kern w:val="2"/>
                <w:szCs w:val="24"/>
                <w:highlight w:val="none"/>
              </w:rPr>
              <w:t>一、本报告表应附以下附件、附图：</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附图1  项目地理位置图</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附图2  项目四至图</w:t>
            </w:r>
            <w:r>
              <w:rPr>
                <w:color w:val="auto"/>
                <w:sz w:val="24"/>
                <w:highlight w:val="none"/>
              </w:rPr>
              <w:t>（噪声监测点位图）</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附图3  项目车间平面布置图</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附图4  建</w:t>
            </w:r>
            <w:r>
              <w:rPr>
                <w:color w:val="auto"/>
                <w:sz w:val="24"/>
                <w:highlight w:val="none"/>
              </w:rPr>
              <w:t>设项目周围</w:t>
            </w:r>
            <w:r>
              <w:rPr>
                <w:rFonts w:hint="eastAsia"/>
                <w:color w:val="auto"/>
                <w:sz w:val="24"/>
                <w:highlight w:val="none"/>
              </w:rPr>
              <w:t>声环境</w:t>
            </w:r>
            <w:r>
              <w:rPr>
                <w:color w:val="auto"/>
                <w:sz w:val="24"/>
                <w:highlight w:val="none"/>
              </w:rPr>
              <w:t>敏感点图</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 xml:space="preserve">附图5  </w:t>
            </w:r>
            <w:r>
              <w:rPr>
                <w:color w:val="auto"/>
                <w:sz w:val="24"/>
                <w:highlight w:val="none"/>
              </w:rPr>
              <w:t>项目四至情况布置图</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附图</w:t>
            </w:r>
            <w:r>
              <w:rPr>
                <w:rFonts w:hint="eastAsia"/>
                <w:color w:val="auto"/>
                <w:sz w:val="24"/>
                <w:highlight w:val="none"/>
                <w:lang w:val="en-US" w:eastAsia="zh-CN"/>
              </w:rPr>
              <w:t>6</w:t>
            </w:r>
            <w:r>
              <w:rPr>
                <w:rFonts w:hint="eastAsia"/>
                <w:color w:val="auto"/>
                <w:sz w:val="24"/>
                <w:highlight w:val="none"/>
              </w:rPr>
              <w:t xml:space="preserve">  </w:t>
            </w:r>
            <w:r>
              <w:rPr>
                <w:rFonts w:hint="eastAsia" w:ascii="Times New Roman" w:hAnsi="Times New Roman"/>
                <w:color w:val="auto"/>
                <w:sz w:val="24"/>
                <w:szCs w:val="24"/>
                <w:highlight w:val="none"/>
              </w:rPr>
              <w:t>开平市水口污水处理厂污水管网布置图</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附图</w:t>
            </w:r>
            <w:r>
              <w:rPr>
                <w:rFonts w:hint="eastAsia"/>
                <w:color w:val="auto"/>
                <w:sz w:val="24"/>
                <w:highlight w:val="none"/>
                <w:lang w:val="en-US" w:eastAsia="zh-CN"/>
              </w:rPr>
              <w:t>7</w:t>
            </w:r>
            <w:r>
              <w:rPr>
                <w:rFonts w:hint="eastAsia"/>
                <w:color w:val="auto"/>
                <w:sz w:val="24"/>
                <w:highlight w:val="none"/>
              </w:rPr>
              <w:t xml:space="preserve">  </w:t>
            </w:r>
            <w:r>
              <w:rPr>
                <w:rFonts w:ascii="Times New Roman" w:hAnsi="Times New Roman"/>
                <w:color w:val="auto"/>
                <w:sz w:val="24"/>
                <w:szCs w:val="24"/>
                <w:highlight w:val="none"/>
              </w:rPr>
              <w:t>项目大气环境区划图</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附图</w:t>
            </w:r>
            <w:r>
              <w:rPr>
                <w:rFonts w:hint="eastAsia"/>
                <w:color w:val="auto"/>
                <w:sz w:val="24"/>
                <w:highlight w:val="none"/>
                <w:lang w:val="en-US" w:eastAsia="zh-CN"/>
              </w:rPr>
              <w:t>8</w:t>
            </w:r>
            <w:r>
              <w:rPr>
                <w:rFonts w:hint="eastAsia"/>
                <w:color w:val="auto"/>
                <w:sz w:val="24"/>
                <w:highlight w:val="none"/>
              </w:rPr>
              <w:t xml:space="preserve">  </w:t>
            </w:r>
            <w:r>
              <w:rPr>
                <w:rFonts w:ascii="Times New Roman" w:hAnsi="Times New Roman"/>
                <w:color w:val="auto"/>
                <w:sz w:val="24"/>
                <w:szCs w:val="24"/>
                <w:highlight w:val="none"/>
              </w:rPr>
              <w:t>项目水环境功能区划图</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附图</w:t>
            </w:r>
            <w:r>
              <w:rPr>
                <w:rFonts w:hint="eastAsia"/>
                <w:color w:val="auto"/>
                <w:sz w:val="24"/>
                <w:highlight w:val="none"/>
                <w:lang w:val="en-US" w:eastAsia="zh-CN"/>
              </w:rPr>
              <w:t>9</w:t>
            </w:r>
            <w:r>
              <w:rPr>
                <w:rFonts w:hint="eastAsia"/>
                <w:color w:val="auto"/>
                <w:sz w:val="24"/>
                <w:highlight w:val="none"/>
              </w:rPr>
              <w:t xml:space="preserve">  </w:t>
            </w:r>
            <w:r>
              <w:rPr>
                <w:rFonts w:ascii="Times New Roman" w:hAnsi="Times New Roman"/>
                <w:color w:val="auto"/>
                <w:sz w:val="24"/>
                <w:szCs w:val="24"/>
                <w:highlight w:val="none"/>
              </w:rPr>
              <w:t>项目地下水功能区划图</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附图</w:t>
            </w:r>
            <w:r>
              <w:rPr>
                <w:rFonts w:hint="eastAsia"/>
                <w:color w:val="auto"/>
                <w:sz w:val="24"/>
                <w:highlight w:val="none"/>
                <w:lang w:val="en-US" w:eastAsia="zh-CN"/>
              </w:rPr>
              <w:t>10</w:t>
            </w:r>
            <w:r>
              <w:rPr>
                <w:rFonts w:hint="eastAsia"/>
                <w:color w:val="auto"/>
                <w:sz w:val="24"/>
                <w:highlight w:val="none"/>
              </w:rPr>
              <w:t xml:space="preserve"> </w:t>
            </w:r>
            <w:r>
              <w:rPr>
                <w:rFonts w:hint="eastAsia" w:ascii="Times New Roman" w:hAnsi="Times New Roman"/>
                <w:color w:val="auto"/>
                <w:sz w:val="24"/>
                <w:szCs w:val="24"/>
                <w:highlight w:val="none"/>
              </w:rPr>
              <w:t>江门市主体功能</w:t>
            </w:r>
            <w:r>
              <w:rPr>
                <w:rFonts w:ascii="Times New Roman" w:hAnsi="Times New Roman"/>
                <w:color w:val="auto"/>
                <w:sz w:val="24"/>
                <w:szCs w:val="24"/>
                <w:highlight w:val="none"/>
              </w:rPr>
              <w:t>区划图</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附件1  营业执照</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附件2  法人身份证</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附件3  国土证</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附件4  声环境质量检测报告</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附件5  建设项目大气环境影响评价自查表</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附件6  建设项目地表水环境影响评价自查表</w:t>
            </w:r>
          </w:p>
          <w:p>
            <w:pPr>
              <w:keepNext w:val="0"/>
              <w:keepLines w:val="0"/>
              <w:pageBreakBefore w:val="0"/>
              <w:widowControl w:val="0"/>
              <w:kinsoku/>
              <w:wordWrap/>
              <w:overflowPunct/>
              <w:topLinePunct w:val="0"/>
              <w:bidi w:val="0"/>
              <w:snapToGrid/>
              <w:spacing w:line="264" w:lineRule="auto"/>
              <w:rPr>
                <w:rFonts w:hint="eastAsia"/>
                <w:color w:val="auto"/>
                <w:sz w:val="24"/>
                <w:highlight w:val="none"/>
              </w:rPr>
            </w:pPr>
            <w:r>
              <w:rPr>
                <w:rFonts w:hint="eastAsia"/>
                <w:color w:val="auto"/>
                <w:sz w:val="24"/>
                <w:highlight w:val="none"/>
              </w:rPr>
              <w:t>附件7  建设项目环境风险评价自查表</w:t>
            </w:r>
          </w:p>
          <w:p>
            <w:pPr>
              <w:keepNext w:val="0"/>
              <w:keepLines w:val="0"/>
              <w:pageBreakBefore w:val="0"/>
              <w:widowControl w:val="0"/>
              <w:kinsoku/>
              <w:wordWrap/>
              <w:overflowPunct/>
              <w:topLinePunct w:val="0"/>
              <w:bidi w:val="0"/>
              <w:snapToGrid/>
              <w:spacing w:line="264" w:lineRule="auto"/>
              <w:rPr>
                <w:rFonts w:hint="eastAsia"/>
                <w:color w:val="auto"/>
                <w:sz w:val="24"/>
                <w:highlight w:val="none"/>
              </w:rPr>
            </w:pPr>
            <w:r>
              <w:rPr>
                <w:rFonts w:hint="eastAsia"/>
                <w:color w:val="auto"/>
                <w:sz w:val="24"/>
                <w:highlight w:val="none"/>
              </w:rPr>
              <w:t>附件</w:t>
            </w:r>
            <w:r>
              <w:rPr>
                <w:rFonts w:hint="eastAsia"/>
                <w:color w:val="auto"/>
                <w:sz w:val="24"/>
                <w:highlight w:val="none"/>
                <w:lang w:val="en-US" w:eastAsia="zh-CN"/>
              </w:rPr>
              <w:t>8-1</w:t>
            </w:r>
            <w:r>
              <w:rPr>
                <w:rFonts w:hint="eastAsia"/>
                <w:color w:val="auto"/>
                <w:sz w:val="24"/>
                <w:highlight w:val="none"/>
              </w:rPr>
              <w:t xml:space="preserve"> 大气环境质量引用检测报告（TSP）</w:t>
            </w:r>
          </w:p>
          <w:p>
            <w:pPr>
              <w:keepNext w:val="0"/>
              <w:keepLines w:val="0"/>
              <w:pageBreakBefore w:val="0"/>
              <w:widowControl w:val="0"/>
              <w:kinsoku/>
              <w:wordWrap/>
              <w:overflowPunct/>
              <w:topLinePunct w:val="0"/>
              <w:bidi w:val="0"/>
              <w:snapToGrid/>
              <w:spacing w:line="264" w:lineRule="auto"/>
              <w:rPr>
                <w:rFonts w:hint="eastAsia"/>
                <w:color w:val="auto"/>
                <w:sz w:val="24"/>
                <w:highlight w:val="none"/>
              </w:rPr>
            </w:pPr>
            <w:r>
              <w:rPr>
                <w:rFonts w:hint="eastAsia"/>
                <w:color w:val="auto"/>
                <w:sz w:val="24"/>
                <w:highlight w:val="none"/>
              </w:rPr>
              <w:t>附件</w:t>
            </w:r>
            <w:r>
              <w:rPr>
                <w:rFonts w:hint="eastAsia"/>
                <w:color w:val="auto"/>
                <w:sz w:val="24"/>
                <w:highlight w:val="none"/>
                <w:lang w:val="en-US" w:eastAsia="zh-CN"/>
              </w:rPr>
              <w:t>8-2</w:t>
            </w:r>
            <w:r>
              <w:rPr>
                <w:rFonts w:hint="eastAsia"/>
                <w:color w:val="auto"/>
                <w:sz w:val="24"/>
                <w:highlight w:val="none"/>
              </w:rPr>
              <w:t xml:space="preserve"> 大气环境质量引用检测报告（非甲烷总烃）</w:t>
            </w:r>
          </w:p>
          <w:p>
            <w:pPr>
              <w:keepNext w:val="0"/>
              <w:keepLines w:val="0"/>
              <w:pageBreakBefore w:val="0"/>
              <w:widowControl w:val="0"/>
              <w:kinsoku/>
              <w:wordWrap/>
              <w:overflowPunct/>
              <w:topLinePunct w:val="0"/>
              <w:bidi w:val="0"/>
              <w:snapToGrid/>
              <w:spacing w:line="264" w:lineRule="auto"/>
              <w:rPr>
                <w:rFonts w:hint="eastAsia" w:eastAsia="宋体"/>
                <w:color w:val="auto"/>
                <w:sz w:val="24"/>
                <w:highlight w:val="none"/>
                <w:lang w:eastAsia="zh-CN"/>
              </w:rPr>
            </w:pPr>
            <w:r>
              <w:rPr>
                <w:rFonts w:hint="eastAsia"/>
                <w:color w:val="auto"/>
                <w:sz w:val="24"/>
                <w:highlight w:val="none"/>
              </w:rPr>
              <w:t>附件</w:t>
            </w:r>
            <w:r>
              <w:rPr>
                <w:rFonts w:hint="eastAsia"/>
                <w:color w:val="auto"/>
                <w:sz w:val="24"/>
                <w:highlight w:val="none"/>
                <w:lang w:val="en-US" w:eastAsia="zh-CN"/>
              </w:rPr>
              <w:t>9</w:t>
            </w:r>
            <w:r>
              <w:rPr>
                <w:rFonts w:hint="eastAsia"/>
                <w:color w:val="auto"/>
                <w:sz w:val="24"/>
                <w:highlight w:val="none"/>
              </w:rPr>
              <w:t xml:space="preserve">  </w:t>
            </w:r>
            <w:r>
              <w:rPr>
                <w:rFonts w:hint="eastAsia"/>
                <w:color w:val="auto"/>
                <w:sz w:val="24"/>
                <w:highlight w:val="none"/>
                <w:lang w:eastAsia="zh-CN"/>
              </w:rPr>
              <w:t>污染源检测报告</w:t>
            </w:r>
          </w:p>
          <w:p>
            <w:pPr>
              <w:keepNext w:val="0"/>
              <w:keepLines w:val="0"/>
              <w:pageBreakBefore w:val="0"/>
              <w:widowControl w:val="0"/>
              <w:kinsoku/>
              <w:wordWrap/>
              <w:overflowPunct/>
              <w:topLinePunct w:val="0"/>
              <w:bidi w:val="0"/>
              <w:snapToGrid/>
              <w:spacing w:line="264" w:lineRule="auto"/>
              <w:rPr>
                <w:rFonts w:hint="eastAsia"/>
                <w:color w:val="auto"/>
                <w:sz w:val="24"/>
                <w:highlight w:val="none"/>
              </w:rPr>
            </w:pPr>
            <w:r>
              <w:rPr>
                <w:rFonts w:hint="eastAsia"/>
                <w:color w:val="auto"/>
                <w:sz w:val="24"/>
                <w:highlight w:val="none"/>
              </w:rPr>
              <w:t>附件</w:t>
            </w:r>
            <w:r>
              <w:rPr>
                <w:rFonts w:hint="eastAsia"/>
                <w:color w:val="auto"/>
                <w:sz w:val="24"/>
                <w:highlight w:val="none"/>
                <w:lang w:val="en-US" w:eastAsia="zh-CN"/>
              </w:rPr>
              <w:t>10</w:t>
            </w:r>
            <w:r>
              <w:rPr>
                <w:rFonts w:hint="eastAsia"/>
                <w:color w:val="auto"/>
                <w:sz w:val="24"/>
                <w:highlight w:val="none"/>
              </w:rPr>
              <w:t xml:space="preserve">  2018年度江门市城市空气质量情况排名</w:t>
            </w:r>
          </w:p>
          <w:p>
            <w:pPr>
              <w:keepNext w:val="0"/>
              <w:keepLines w:val="0"/>
              <w:pageBreakBefore w:val="0"/>
              <w:widowControl w:val="0"/>
              <w:kinsoku/>
              <w:wordWrap/>
              <w:overflowPunct/>
              <w:topLinePunct w:val="0"/>
              <w:bidi w:val="0"/>
              <w:snapToGrid/>
              <w:spacing w:line="264" w:lineRule="auto"/>
              <w:rPr>
                <w:rFonts w:hint="eastAsia"/>
                <w:color w:val="auto"/>
                <w:sz w:val="24"/>
                <w:highlight w:val="none"/>
              </w:rPr>
            </w:pPr>
            <w:r>
              <w:rPr>
                <w:rFonts w:hint="eastAsia"/>
                <w:color w:val="auto"/>
                <w:sz w:val="24"/>
                <w:highlight w:val="none"/>
              </w:rPr>
              <w:t>附件</w:t>
            </w:r>
            <w:r>
              <w:rPr>
                <w:rFonts w:hint="eastAsia"/>
                <w:color w:val="auto"/>
                <w:sz w:val="24"/>
                <w:highlight w:val="none"/>
                <w:lang w:val="en-US" w:eastAsia="zh-CN"/>
              </w:rPr>
              <w:t>11</w:t>
            </w:r>
            <w:r>
              <w:rPr>
                <w:rFonts w:hint="eastAsia"/>
                <w:color w:val="auto"/>
                <w:sz w:val="24"/>
                <w:highlight w:val="none"/>
              </w:rPr>
              <w:t xml:space="preserve">  2018年11月江门市江河水水质月报</w:t>
            </w:r>
          </w:p>
          <w:p>
            <w:pPr>
              <w:keepNext w:val="0"/>
              <w:keepLines w:val="0"/>
              <w:pageBreakBefore w:val="0"/>
              <w:widowControl w:val="0"/>
              <w:kinsoku/>
              <w:wordWrap/>
              <w:overflowPunct/>
              <w:topLinePunct w:val="0"/>
              <w:bidi w:val="0"/>
              <w:snapToGrid/>
              <w:spacing w:line="264" w:lineRule="auto"/>
              <w:rPr>
                <w:rFonts w:hint="default" w:eastAsia="宋体"/>
                <w:color w:val="auto"/>
                <w:sz w:val="24"/>
                <w:highlight w:val="none"/>
                <w:lang w:val="en-US" w:eastAsia="zh-CN"/>
              </w:rPr>
            </w:pPr>
            <w:r>
              <w:rPr>
                <w:rFonts w:hint="eastAsia"/>
                <w:color w:val="auto"/>
                <w:sz w:val="24"/>
                <w:highlight w:val="none"/>
              </w:rPr>
              <w:t>附件</w:t>
            </w:r>
            <w:r>
              <w:rPr>
                <w:rFonts w:hint="eastAsia"/>
                <w:color w:val="auto"/>
                <w:sz w:val="24"/>
                <w:highlight w:val="none"/>
                <w:lang w:val="en-US" w:eastAsia="zh-CN"/>
              </w:rPr>
              <w:t>12-1</w:t>
            </w:r>
            <w:r>
              <w:rPr>
                <w:rFonts w:hint="eastAsia"/>
                <w:color w:val="auto"/>
                <w:sz w:val="24"/>
                <w:highlight w:val="none"/>
              </w:rPr>
              <w:t xml:space="preserve">  修改索引表</w:t>
            </w:r>
          </w:p>
          <w:p>
            <w:pPr>
              <w:keepNext w:val="0"/>
              <w:keepLines w:val="0"/>
              <w:pageBreakBefore w:val="0"/>
              <w:widowControl w:val="0"/>
              <w:kinsoku/>
              <w:wordWrap/>
              <w:overflowPunct/>
              <w:topLinePunct w:val="0"/>
              <w:bidi w:val="0"/>
              <w:snapToGrid/>
              <w:spacing w:line="264" w:lineRule="auto"/>
              <w:rPr>
                <w:rFonts w:hint="default" w:eastAsia="宋体"/>
                <w:color w:val="auto"/>
                <w:sz w:val="24"/>
                <w:highlight w:val="none"/>
                <w:lang w:val="en-US" w:eastAsia="zh-CN"/>
              </w:rPr>
            </w:pPr>
            <w:r>
              <w:rPr>
                <w:rFonts w:hint="eastAsia"/>
                <w:color w:val="auto"/>
                <w:sz w:val="24"/>
                <w:highlight w:val="none"/>
              </w:rPr>
              <w:t>附件</w:t>
            </w:r>
            <w:r>
              <w:rPr>
                <w:rFonts w:hint="eastAsia"/>
                <w:color w:val="auto"/>
                <w:sz w:val="24"/>
                <w:highlight w:val="none"/>
                <w:lang w:val="en-US" w:eastAsia="zh-CN"/>
              </w:rPr>
              <w:t>12-2</w:t>
            </w:r>
            <w:r>
              <w:rPr>
                <w:rFonts w:hint="eastAsia"/>
                <w:color w:val="auto"/>
                <w:sz w:val="24"/>
                <w:highlight w:val="none"/>
              </w:rPr>
              <w:t xml:space="preserve">  修改索引表</w:t>
            </w:r>
          </w:p>
          <w:p>
            <w:pPr>
              <w:keepNext w:val="0"/>
              <w:keepLines w:val="0"/>
              <w:pageBreakBefore w:val="0"/>
              <w:widowControl w:val="0"/>
              <w:kinsoku/>
              <w:wordWrap/>
              <w:overflowPunct/>
              <w:topLinePunct w:val="0"/>
              <w:bidi w:val="0"/>
              <w:snapToGrid/>
              <w:spacing w:line="264" w:lineRule="auto"/>
              <w:rPr>
                <w:color w:val="auto"/>
                <w:highlight w:val="none"/>
              </w:rPr>
            </w:pPr>
            <w:r>
              <w:rPr>
                <w:rFonts w:hint="eastAsia"/>
                <w:color w:val="auto"/>
                <w:sz w:val="24"/>
                <w:highlight w:val="none"/>
              </w:rPr>
              <w:t>附表1  基础信息表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5" w:hRule="atLeast"/>
        </w:trPr>
        <w:tc>
          <w:tcPr>
            <w:tcW w:w="9375" w:type="dxa"/>
          </w:tcPr>
          <w:p>
            <w:pPr>
              <w:pStyle w:val="151"/>
              <w:keepNext w:val="0"/>
              <w:keepLines w:val="0"/>
              <w:pageBreakBefore w:val="0"/>
              <w:widowControl w:val="0"/>
              <w:kinsoku/>
              <w:wordWrap/>
              <w:overflowPunct/>
              <w:topLinePunct w:val="0"/>
              <w:bidi w:val="0"/>
              <w:snapToGrid/>
              <w:spacing w:line="264" w:lineRule="auto"/>
              <w:ind w:left="0" w:firstLine="482"/>
              <w:rPr>
                <w:rFonts w:asciiTheme="majorEastAsia" w:hAnsiTheme="majorEastAsia" w:eastAsiaTheme="majorEastAsia" w:cstheme="majorEastAsia"/>
                <w:b/>
                <w:color w:val="auto"/>
                <w:kern w:val="2"/>
                <w:szCs w:val="24"/>
                <w:highlight w:val="none"/>
              </w:rPr>
            </w:pPr>
            <w:r>
              <w:rPr>
                <w:rFonts w:hint="eastAsia" w:asciiTheme="majorEastAsia" w:hAnsiTheme="majorEastAsia" w:eastAsiaTheme="majorEastAsia" w:cstheme="majorEastAsia"/>
                <w:b/>
                <w:color w:val="auto"/>
                <w:kern w:val="2"/>
                <w:szCs w:val="24"/>
                <w:highlight w:val="none"/>
              </w:rPr>
              <w:t>二、如果本报告表不能说明项目产生的污染及对环境造成的影响，应进行专项评价。根据建设项目的特点和当地环境特征，应选下列1-2项进行专项评价。</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1、大气环境影响专项评价</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2、水环境影响专项评价（包括地表水和地下水）</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3、生态影响专项评价</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4、声影响专项评价</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5、土壤影响专项评价</w:t>
            </w:r>
          </w:p>
          <w:p>
            <w:pPr>
              <w:keepNext w:val="0"/>
              <w:keepLines w:val="0"/>
              <w:pageBreakBefore w:val="0"/>
              <w:widowControl w:val="0"/>
              <w:kinsoku/>
              <w:wordWrap/>
              <w:overflowPunct/>
              <w:topLinePunct w:val="0"/>
              <w:bidi w:val="0"/>
              <w:snapToGrid/>
              <w:spacing w:line="264" w:lineRule="auto"/>
              <w:rPr>
                <w:color w:val="auto"/>
                <w:sz w:val="24"/>
                <w:highlight w:val="none"/>
              </w:rPr>
            </w:pPr>
            <w:r>
              <w:rPr>
                <w:rFonts w:hint="eastAsia"/>
                <w:color w:val="auto"/>
                <w:sz w:val="24"/>
                <w:highlight w:val="none"/>
              </w:rPr>
              <w:t>6、固体废弃物影响专项评价</w:t>
            </w:r>
          </w:p>
          <w:p>
            <w:pPr>
              <w:pStyle w:val="151"/>
              <w:keepNext w:val="0"/>
              <w:keepLines w:val="0"/>
              <w:pageBreakBefore w:val="0"/>
              <w:widowControl w:val="0"/>
              <w:kinsoku/>
              <w:wordWrap/>
              <w:overflowPunct/>
              <w:topLinePunct w:val="0"/>
              <w:bidi w:val="0"/>
              <w:snapToGrid/>
              <w:spacing w:line="264" w:lineRule="auto"/>
              <w:ind w:left="0" w:firstLine="482"/>
              <w:rPr>
                <w:rFonts w:asciiTheme="majorEastAsia" w:hAnsiTheme="majorEastAsia" w:eastAsiaTheme="majorEastAsia" w:cstheme="majorEastAsia"/>
                <w:b/>
                <w:color w:val="auto"/>
                <w:kern w:val="2"/>
                <w:szCs w:val="24"/>
                <w:highlight w:val="none"/>
              </w:rPr>
            </w:pPr>
            <w:r>
              <w:rPr>
                <w:rFonts w:hint="eastAsia" w:asciiTheme="majorEastAsia" w:hAnsiTheme="majorEastAsia" w:eastAsiaTheme="majorEastAsia" w:cstheme="majorEastAsia"/>
                <w:b/>
                <w:color w:val="auto"/>
                <w:kern w:val="2"/>
                <w:szCs w:val="24"/>
                <w:highlight w:val="none"/>
              </w:rPr>
              <w:t>以上专项评价未包括的可另列专项，专项评价按照《环境影响评价技术导则》中的要求进行。</w:t>
            </w:r>
          </w:p>
        </w:tc>
      </w:tr>
    </w:tbl>
    <w:p>
      <w:pPr>
        <w:pStyle w:val="47"/>
        <w:rPr>
          <w:color w:val="auto"/>
          <w:highlight w:val="none"/>
        </w:rPr>
        <w:sectPr>
          <w:pgSz w:w="11907" w:h="16840"/>
          <w:pgMar w:top="1418" w:right="1304" w:bottom="1418" w:left="1304" w:header="851" w:footer="851" w:gutter="0"/>
          <w:cols w:space="425" w:num="1"/>
          <w:docGrid w:type="lines" w:linePitch="312" w:charSpace="0"/>
        </w:sectPr>
      </w:pPr>
    </w:p>
    <w:p>
      <w:pPr>
        <w:jc w:val="center"/>
        <w:rPr>
          <w:color w:val="auto"/>
          <w:highlight w:val="none"/>
        </w:rPr>
      </w:pPr>
      <w:r>
        <w:rPr>
          <w:color w:val="auto"/>
          <w:highlight w:val="none"/>
        </w:rPr>
        <w:pict>
          <v:shape id="_x0000_s1192" o:spid="_x0000_s1192" o:spt="136" type="#_x0000_t136" style="position:absolute;left:0pt;margin-left:556.65pt;margin-top:409.45pt;height:7.5pt;width:21.5pt;z-index:251665408;mso-width-relative:page;mso-height-relative:page;" fillcolor="#000000" filled="t" coordsize="21600,21600">
            <v:path/>
            <v:fill on="t" focussize="0,0"/>
            <v:stroke/>
            <v:imagedata o:title=""/>
            <o:lock v:ext="edit"/>
            <v:textpath on="t" fitshape="t" fitpath="t" trim="t" xscale="f" string="100米" style="font-family:宋体;font-size:16pt;v-text-align:center;"/>
          </v:shape>
        </w:pict>
      </w:r>
      <w:r>
        <w:rPr>
          <w:rFonts w:hint="default" w:ascii="Times New Roman" w:hAnsi="Times New Roman" w:cs="Times New Roman"/>
          <w:color w:val="auto"/>
          <w:sz w:val="21"/>
          <w:highlight w:val="none"/>
        </w:rPr>
        <w:pict>
          <v:group id="组合 74" o:spid="_x0000_s1259" o:spt="203" style="position:absolute;left:0pt;margin-left:551.8pt;margin-top:414.35pt;height:14.2pt;width:85.35pt;z-index:743069696;mso-width-relative:page;mso-height-relative:page;" coordorigin="3009,1171871" coordsize="2142,284" o:gfxdata="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&#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">
            <o:lock v:ext="edit" aspectratio="f"/>
            <v:group id="组合 72" o:spid="_x0000_s1260" o:spt="203" style="position:absolute;left:3009;top:1171871;height:284;width:2142;" coordorigin="3009,1171871" coordsize="2142,284" o:gfxdata="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wT09ZvwAAANsAAAAPAAAAAAAAAAEAIAAAACIAAABkcnMvZG93bnJldi54&#10;bWxQSwECFAAUAAAACACHTuJAMy8FnjsAAAA5AAAAFQAAAAAAAAABACAAAAAOAQAAZHJzL2dyb3Vw&#10;c2hhcGV4bWwueG1sUEsFBgAAAAAGAAYAYAEAAMsDAAAAAA==&#10;">
              <o:lock v:ext="edit" aspectratio="f"/>
              <v:shape id="任意多边形 70" o:spid="_x0000_s1261" style="position:absolute;left:3009;top:1172021;height:135;width:2143;" filled="f" stroked="t" coordsize="1260,1" o:gfxdata="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iWPkbsAAADb&#10;AAAADwAAAAAAAAABACAAAAAiAAAAZHJzL2Rvd25yZXYueG1sUEsBAhQAFAAAAAgAh07iQDMvBZ47&#10;AAAAOQAAABAAAAAAAAAAAQAgAAAACgEAAGRycy9zaGFwZXhtbC54bWxQSwUGAAAAAAYABgBbAQAA&#10;tAMAAAAA&#10;" path="m0,0l1245,0,1260,0e">
                <v:fill on="f" focussize="0,0"/>
                <v:stroke weight="1.5pt" color="#000000" joinstyle="round"/>
                <v:imagedata o:title=""/>
                <o:lock v:ext="edit" aspectratio="f"/>
              </v:shape>
              <v:shape id="任意多边形 71" o:spid="_x0000_s1262" style="position:absolute;left:3009;top:1171871;height:150;width:1;" filled="f" stroked="t" coordsize="1,150" o:gfxdata="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GoGr65AAAA2wAA&#10;AA8AAAAAAAAAAQAgAAAAIgAAAGRycy9kb3ducmV2LnhtbFBLAQIUABQAAAAIAIdO4kAzLwWeOwAA&#10;ADkAAAAQAAAAAAAAAAEAIAAAAAgBAABkcnMvc2hhcGV4bWwueG1sUEsFBgAAAAAGAAYAWwEAALID&#10;AAAAAA==&#10;" path="m0,0l0,150e">
                <v:fill on="f" focussize="0,0"/>
                <v:stroke weight="1.5pt" color="#000000" joinstyle="round"/>
                <v:imagedata o:title=""/>
                <o:lock v:ext="edit" aspectratio="f"/>
              </v:shape>
            </v:group>
            <v:shape id="任意多边形 73" o:spid="_x0000_s1263" style="position:absolute;left:5139;top:1171871;height:150;width:1;" filled="f" stroked="t" coordsize="1,150" o:gfxdata="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jYhUrsAAADb&#10;AAAADwAAAAAAAAABACAAAAAiAAAAZHJzL2Rvd25yZXYueG1sUEsBAhQAFAAAAAgAh07iQDMvBZ47&#10;AAAAOQAAABAAAAAAAAAAAQAgAAAACgEAAGRycy9zaGFwZXhtbC54bWxQSwUGAAAAAAYABgBbAQAA&#10;tAMAAAAA&#10;" path="m0,0l0,150e">
              <v:fill on="f" focussize="0,0"/>
              <v:stroke weight="1.5pt" color="#000000" joinstyle="round"/>
              <v:imagedata o:title=""/>
              <o:lock v:ext="edit" aspectratio="f"/>
            </v:shape>
          </v:group>
        </w:pict>
      </w:r>
      <w:r>
        <w:rPr>
          <w:color w:val="auto"/>
          <w:highlight w:val="none"/>
        </w:rPr>
        <w:pict>
          <v:shape id="_x0000_s1063" o:spid="_x0000_s1063" o:spt="61" type="#_x0000_t61" style="position:absolute;left:0pt;margin-left:374.6pt;margin-top:146.6pt;height:24.85pt;width:87.85pt;z-index:251657216;mso-width-relative:page;mso-height-relative:page;" stroked="t" coordsize="21600,21600" adj="-7240,45895">
            <v:path/>
            <v:fill focussize="0,0"/>
            <v:stroke color="#FF0000" joinstyle="miter"/>
            <v:imagedata o:title=""/>
            <o:lock v:ext="edit"/>
            <v:textbox>
              <w:txbxContent>
                <w:p>
                  <w:pPr>
                    <w:rPr>
                      <w:sz w:val="24"/>
                    </w:rPr>
                  </w:pPr>
                  <w:r>
                    <w:rPr>
                      <w:rFonts w:hint="eastAsia"/>
                      <w:sz w:val="24"/>
                    </w:rPr>
                    <w:t>本项目位置</w:t>
                  </w:r>
                </w:p>
              </w:txbxContent>
            </v:textbox>
          </v:shape>
        </w:pict>
      </w:r>
      <w:r>
        <w:rPr>
          <w:color w:val="auto"/>
          <w:highlight w:val="none"/>
        </w:rPr>
        <w:pict>
          <v:shape id="_x0000_s1064" o:spid="_x0000_s1064" o:spt="12" type="#_x0000_t12" style="position:absolute;left:0pt;margin-left:337.85pt;margin-top:198.7pt;height:8.5pt;width:8.5pt;z-index:251656192;mso-width-relative:page;mso-height-relative:page;" fillcolor="#FF0000" filled="t" o:preferrelative="t" stroked="t" coordsize="21600,21600">
            <v:path/>
            <v:fill on="t" focussize="0,0"/>
            <v:stroke color="#FF0000" joinstyle="miter"/>
            <v:imagedata o:title=""/>
            <o:lock v:ext="edit"/>
          </v:shape>
        </w:pict>
      </w:r>
      <w:r>
        <w:rPr>
          <w:color w:val="auto"/>
          <w:highlight w:val="none"/>
        </w:rPr>
        <w:drawing>
          <wp:anchor distT="0" distB="0" distL="114935" distR="114935" simplePos="0" relativeHeight="251648000" behindDoc="0" locked="0" layoutInCell="1" allowOverlap="1">
            <wp:simplePos x="0" y="0"/>
            <wp:positionH relativeFrom="column">
              <wp:posOffset>7863840</wp:posOffset>
            </wp:positionH>
            <wp:positionV relativeFrom="paragraph">
              <wp:posOffset>29845</wp:posOffset>
            </wp:positionV>
            <wp:extent cx="409575" cy="923925"/>
            <wp:effectExtent l="0" t="0" r="9525" b="9525"/>
            <wp:wrapNone/>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67"/>
                    <a:stretch>
                      <a:fillRect/>
                    </a:stretch>
                  </pic:blipFill>
                  <pic:spPr>
                    <a:xfrm>
                      <a:off x="0" y="0"/>
                      <a:ext cx="409575" cy="923925"/>
                    </a:xfrm>
                    <a:prstGeom prst="rect">
                      <a:avLst/>
                    </a:prstGeom>
                    <a:noFill/>
                    <a:ln w="9525">
                      <a:noFill/>
                    </a:ln>
                  </pic:spPr>
                </pic:pic>
              </a:graphicData>
            </a:graphic>
          </wp:anchor>
        </w:drawing>
      </w:r>
      <w:r>
        <w:rPr>
          <w:rFonts w:hint="eastAsia"/>
          <w:color w:val="auto"/>
          <w:highlight w:val="none"/>
        </w:rPr>
        <w:drawing>
          <wp:inline distT="0" distB="0" distL="114300" distR="114300">
            <wp:extent cx="7629525" cy="5448300"/>
            <wp:effectExtent l="12700" t="12700" r="15875" b="25400"/>
            <wp:docPr id="33" name="图片 33" descr="1555660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555660463(1)"/>
                    <pic:cNvPicPr>
                      <a:picLocks noChangeAspect="1"/>
                    </pic:cNvPicPr>
                  </pic:nvPicPr>
                  <pic:blipFill>
                    <a:blip r:embed="rId68"/>
                    <a:stretch>
                      <a:fillRect/>
                    </a:stretch>
                  </pic:blipFill>
                  <pic:spPr>
                    <a:xfrm>
                      <a:off x="0" y="0"/>
                      <a:ext cx="7629525" cy="5448300"/>
                    </a:xfrm>
                    <a:prstGeom prst="rect">
                      <a:avLst/>
                    </a:prstGeom>
                    <a:ln w="12700" cmpd="sng">
                      <a:solidFill>
                        <a:schemeClr val="tx1"/>
                      </a:solidFill>
                      <a:prstDash val="solid"/>
                    </a:ln>
                  </pic:spPr>
                </pic:pic>
              </a:graphicData>
            </a:graphic>
          </wp:inline>
        </w:drawing>
      </w:r>
    </w:p>
    <w:p>
      <w:pPr>
        <w:pStyle w:val="38"/>
        <w:spacing w:before="0"/>
        <w:rPr>
          <w:rFonts w:ascii="Times New Roman" w:hAnsi="Times New Roman"/>
          <w:color w:val="auto"/>
          <w:sz w:val="24"/>
          <w:szCs w:val="24"/>
          <w:highlight w:val="none"/>
        </w:rPr>
      </w:pPr>
      <w:r>
        <w:rPr>
          <w:rFonts w:ascii="Times New Roman" w:hAnsi="Times New Roman"/>
          <w:color w:val="auto"/>
          <w:sz w:val="24"/>
          <w:szCs w:val="24"/>
          <w:highlight w:val="none"/>
        </w:rPr>
        <w:drawing>
          <wp:anchor distT="0" distB="0" distL="114300" distR="114300" simplePos="0" relativeHeight="251646976" behindDoc="0" locked="0" layoutInCell="1" allowOverlap="1">
            <wp:simplePos x="0" y="0"/>
            <wp:positionH relativeFrom="column">
              <wp:posOffset>4397375</wp:posOffset>
            </wp:positionH>
            <wp:positionV relativeFrom="paragraph">
              <wp:posOffset>-8357235</wp:posOffset>
            </wp:positionV>
            <wp:extent cx="1356360" cy="1356360"/>
            <wp:effectExtent l="0" t="0" r="0" b="0"/>
            <wp:wrapNone/>
            <wp:docPr id="2" name="图片 2" descr="X8O6MSH8TT`N(0HAUW~_M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X8O6MSH8TT`N(0HAUW~_MBU"/>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1356360" cy="1356360"/>
                    </a:xfrm>
                    <a:prstGeom prst="rect">
                      <a:avLst/>
                    </a:prstGeom>
                    <a:noFill/>
                  </pic:spPr>
                </pic:pic>
              </a:graphicData>
            </a:graphic>
          </wp:anchor>
        </w:drawing>
      </w:r>
      <w:r>
        <w:rPr>
          <w:rFonts w:ascii="Times New Roman" w:hAnsi="Times New Roman"/>
          <w:color w:val="auto"/>
          <w:sz w:val="24"/>
          <w:szCs w:val="24"/>
          <w:highlight w:val="none"/>
        </w:rPr>
        <w:t>附图1 项目地理位置图</w:t>
      </w:r>
    </w:p>
    <w:p>
      <w:pPr>
        <w:rPr>
          <w:color w:val="auto"/>
          <w:highlight w:val="none"/>
        </w:rPr>
        <w:sectPr>
          <w:footerReference r:id="rId19" w:type="default"/>
          <w:pgSz w:w="16840" w:h="11907" w:orient="landscape"/>
          <w:pgMar w:top="1304" w:right="1418" w:bottom="1304" w:left="1418" w:header="851" w:footer="851" w:gutter="0"/>
          <w:cols w:space="425" w:num="1"/>
          <w:docGrid w:type="lines" w:linePitch="312" w:charSpace="0"/>
        </w:sectPr>
      </w:pPr>
    </w:p>
    <w:p>
      <w:pPr>
        <w:pStyle w:val="47"/>
        <w:jc w:val="center"/>
        <w:rPr>
          <w:color w:val="auto"/>
          <w:highlight w:val="none"/>
        </w:rPr>
      </w:pPr>
      <w:r>
        <w:rPr>
          <w:color w:val="auto"/>
          <w:highlight w:val="none"/>
        </w:rPr>
        <w:pict>
          <v:group id="_x0000_s1129" o:spid="_x0000_s1129" o:spt="203" style="position:absolute;left:0pt;margin-left:25.35pt;margin-top:-4.4pt;height:426.3pt;width:648.75pt;z-index:251654144;mso-width-relative:page;mso-height-relative:page;" coordsize="82391,54140" editas="canvas">
            <o:lock v:ext="edit"/>
            <v:shape id="_x0000_s1128" o:spid="_x0000_s1128" o:spt="75" type="#_x0000_t75" style="position:absolute;left:0;top:0;height:54140;width:82391;" filled="f" stroked="f" coordsize="21600,21600">
              <v:path/>
              <v:fill on="f" focussize="0,0"/>
              <v:stroke on="f"/>
              <v:imagedata o:title=""/>
              <o:lock v:ext="edit" aspectratio="f"/>
            </v:shape>
            <v:shape id="_x0000_s1130" o:spid="_x0000_s1130" o:spt="75" type="#_x0000_t75" style="position:absolute;left:76949;top:939;height:9144;width:4064;" filled="f" o:preferrelative="t" stroked="f" coordsize="21600,21600">
              <v:path/>
              <v:fill on="f" focussize="0,0"/>
              <v:stroke on="f"/>
              <v:imagedata r:id="rId67" o:title=""/>
              <o:lock v:ext="edit" aspectratio="t"/>
            </v:shape>
            <v:shape id="_x0000_s1131" o:spid="_x0000_s1131" style="position:absolute;left:38246;top:15792;height:10858;width:7334;" filled="f" stroked="t" coordsize="1155,1710" path="m0,15l0,1710,1155,1350,1125,0,0,15xe">
              <v:fill on="f" focussize="0,0"/>
              <v:stroke weight="2pt" color="#FF0000" startarrow="block" endarrow="block"/>
              <v:imagedata o:title=""/>
              <o:lock v:ext="edit" aspectratio="f"/>
            </v:shape>
            <v:shape id="_x0000_s1132" o:spid="_x0000_s1132" style="position:absolute;left:31864;top:15982;height:10002;width:6001;" filled="f" stroked="t" coordsize="945,1575" path="m15,0l0,1200,480,1350,540,1575,945,1545,945,0,15,0xe">
              <v:fill on="f" focussize="0,0"/>
              <v:stroke weight="2pt" color="#FFFF00" startarrow="block" endarrow="block"/>
              <v:imagedata o:title=""/>
              <o:lock v:ext="edit" aspectratio="f"/>
            </v:shape>
            <v:shape id="_x0000_s1133" o:spid="_x0000_s1133" style="position:absolute;left:45961;top:14173;height:10953;width:24003;" filled="f" stroked="t" coordsize="3780,1725" path="m0,225l75,1575,1545,1440,1530,1725,3480,915,3780,0,0,225xe">
              <v:fill on="f" focussize="0,0"/>
              <v:stroke weight="2pt" color="#FFFF00" startarrow="block" endarrow="block"/>
              <v:imagedata o:title=""/>
              <o:lock v:ext="edit" aspectratio="f"/>
            </v:shape>
            <v:shape id="_x0000_s1134" o:spid="_x0000_s1134" style="position:absolute;left:30721;top:3505;height:10287;width:16573;" filled="f" stroked="t" coordsize="2610,1620" path="m0,60l15,1620,2610,1530,2595,0,0,60xe">
              <v:fill on="f" focussize="0,0"/>
              <v:stroke weight="2pt" color="#FFFF00" startarrow="block" endarrow="block"/>
              <v:imagedata o:title=""/>
              <o:lock v:ext="edit" aspectratio="f"/>
            </v:shape>
            <v:shape id="_x0000_s1136" o:spid="_x0000_s1136" style="position:absolute;left:35769;top:25698;height:22669;width:20574;" filled="f" stroked="t" coordsize="3240,3570" path="m1230,0l0,450,1155,3570,3240,2205,1230,0xe">
              <v:fill on="f" focussize="0,0"/>
              <v:stroke weight="2pt" color="#FFFF00" startarrow="block" endarrow="block"/>
              <v:imagedata o:title=""/>
              <o:lock v:ext="edit" aspectratio="f"/>
            </v:shape>
            <v:shape id="_x0000_s1137" o:spid="_x0000_s1137" o:spt="136" type="#_x0000_t136" style="position:absolute;left:39897;top:20148;height:1905;width:3937;rotation:-312973f;" fillcolor="#FFFF00" filled="t" stroked="t" coordsize="21600,21600" adj="10800">
              <v:path/>
              <v:fill on="t" color2="#FFFFFF" focussize="0,0"/>
              <v:stroke color="#FF0000"/>
              <v:imagedata o:title=""/>
              <o:lock v:ext="edit" aspectratio="f"/>
              <v:textpath on="t" fitshape="t" fitpath="t" trim="t" xscale="f" string="本项目" style="font-family:宋体;font-size:16pt;v-text-align:center;"/>
            </v:shape>
            <v:shape id="_x0000_s1138" o:spid="_x0000_s1138" o:spt="136" type="#_x0000_t136" style="position:absolute;left:42849;top:34594;height:1905;width:5334;rotation:211315f;" fillcolor="#FFFF00" filled="t" stroked="t" coordsize="21600,21600" adj="10800">
              <v:path/>
              <v:fill on="t" color2="#FFFFFF" focussize="0,0"/>
              <v:stroke color="#FFFF00"/>
              <v:imagedata o:title=""/>
              <o:lock v:ext="edit" aspectratio="f"/>
              <v:textpath on="t" fitshape="t" fitpath="t" trim="t" xscale="f" string="工业厂房" style="font-family:宋体;font-size:16pt;v-text-align:center;"/>
            </v:shape>
            <v:shape id="_x0000_s1139" o:spid="_x0000_s1139" o:spt="136" type="#_x0000_t136" style="position:absolute;left:53428;top:17818;height:1778;width:7893;" fillcolor="#FFFF00" filled="t" stroked="t" coordsize="21600,21600" adj="10800">
              <v:path/>
              <v:fill on="t" color2="#FFFFFF" focussize="0,0"/>
              <v:stroke color="#FFFF00"/>
              <v:imagedata o:title=""/>
              <o:lock v:ext="edit" aspectratio="f"/>
              <v:textpath on="t" fitshape="t" fitpath="t" trim="t" xscale="f" string="宜居卫浴厂" style="font-family:宋体;font-size:16pt;v-text-align:center;"/>
            </v:shape>
            <v:shape id="_x0000_s1140" o:spid="_x0000_s1140" o:spt="136" type="#_x0000_t136" style="position:absolute;left:34093;top:16522;height:7277;width:1397;" fillcolor="#FFFF00" filled="t" stroked="t" coordsize="21600,21600" adj="10800">
              <v:path/>
              <v:fill on="t" color2="#FFFFFF" focussize="0,0"/>
              <v:stroke color="#FFFF00"/>
              <v:imagedata o:title=""/>
              <o:lock v:ext="edit" aspectratio="f"/>
              <v:textpath on="t" fitshape="t" fitpath="t" trim="t" xscale="f" string="合&#10;成&#10;钢&#10;材&#10;厂" style="font-family:宋体;font-size:16pt;v-text-align:center;"/>
            </v:shape>
            <v:shape id="_x0000_s1141" o:spid="_x0000_s1141" o:spt="136" type="#_x0000_t136" style="position:absolute;left:33807;top:7131;height:2057;width:10820;" fillcolor="#FFFF00" filled="t" stroked="t" coordsize="21600,21600" adj="10800">
              <v:path/>
              <v:fill on="t" color2="#FFFFFF" focussize="0,0"/>
              <v:stroke color="#FFFF00"/>
              <v:imagedata o:title=""/>
              <o:lock v:ext="edit" aspectratio="f"/>
              <v:textpath on="t" fitshape="t" fitpath="t" trim="t" xscale="f" string="佳华不锈钢管厂" style="font-family:宋体;font-size:16pt;v-text-align:center;"/>
            </v:shape>
            <v:shape id="_x0000_s1203" o:spid="_x0000_s1203" o:spt="136" type="#_x0000_t136" style="position:absolute;left:6654;top:47517;height:1143;width:2667;" fillcolor="#000000" filled="t" stroked="t" coordsize="21600,21600" adj="10800">
              <v:path/>
              <v:fill on="t" color2="#FFFFFF" focussize="0,0"/>
              <v:stroke color="#000000"/>
              <v:imagedata o:title=""/>
              <o:lock v:ext="edit" aspectratio="f"/>
              <v:textpath on="t" fitshape="t" fitpath="t" trim="t" xscale="f" string="20米" style="font-family:宋体;font-size:16pt;v-text-align:center;"/>
            </v:shape>
            <v:shape id="_x0000_s1205" o:spid="_x0000_s1205" o:spt="83" type="#_x0000_t83" style="position:absolute;left:37515;top:19989;height:1778;width:762;" fillcolor="#FF0000" filled="t" stroked="t" coordsize="21600,21600" adj="5400,8100,2700,9450">
              <v:path/>
              <v:fill on="t" color2="#FFFFFF" focussize="0,0"/>
              <v:stroke color="#000000" joinstyle="miter"/>
              <v:imagedata o:title=""/>
              <o:lock v:ext="edit" aspectratio="f"/>
            </v:shape>
            <v:shape id="_x0000_s1206" o:spid="_x0000_s1206" o:spt="83" type="#_x0000_t83" style="position:absolute;left:41198;top:14179;height:1778;width:762;" fillcolor="#FF0000" filled="t" stroked="t" coordsize="21600,21600" adj="5400,8100,2700,9450">
              <v:path/>
              <v:fill on="t" color2="#FFFFFF" focussize="0,0"/>
              <v:stroke color="#000000" joinstyle="miter"/>
              <v:imagedata o:title=""/>
              <o:lock v:ext="edit" aspectratio="f"/>
            </v:shape>
            <v:shape id="艺术字 6057" o:spid="_x0000_s1207" o:spt="136" type="#_x0000_t136" style="position:absolute;left:46818;top:19735;height:1016;width:1397;rotation:262144f;" fillcolor="#FF0000" filled="t" stroked="t" coordsize="21600,21600" adj="10800">
              <v:path/>
              <v:fill on="t" color2="#FFFFFF" focussize="0,0"/>
              <v:stroke weight="0.25pt" color="#FF0000"/>
              <v:imagedata o:title=""/>
              <o:lock v:ext="edit" aspectratio="f"/>
              <v:textpath on="t" fitshape="t" fitpath="t" trim="t" xscale="f" string="N1" style="font-family:宋体;font-size:10pt;font-weight:bold;v-text-align:center;"/>
            </v:shape>
            <v:shape id="艺术字 6057" o:spid="_x0000_s1208" o:spt="136" type="#_x0000_t136" style="position:absolute;left:42532;top:25419;height:1016;width:1397;rotation:327680f;" fillcolor="#FF0000" filled="t" stroked="t" coordsize="21600,21600" adj="10800">
              <v:path/>
              <v:fill on="t" color2="#FFFFFF" focussize="0,0"/>
              <v:stroke weight="0.25pt" color="#FF0000"/>
              <v:imagedata o:title=""/>
              <o:lock v:ext="edit" aspectratio="f"/>
              <v:textpath on="t" fitshape="t" fitpath="t" trim="t" xscale="f" string="N2" style="font-family:宋体;font-size:10pt;font-weight:bold;v-text-align:center;"/>
            </v:shape>
            <v:shape id="艺术字 6057" o:spid="_x0000_s1209" o:spt="136" type="#_x0000_t136" style="position:absolute;left:35769;top:20275;height:1016;width:1397;rotation:196608f;" fillcolor="#FF0000" filled="t" stroked="t" coordsize="21600,21600" adj="10800">
              <v:path/>
              <v:fill on="t" color2="#FFFFFF" focussize="0,0"/>
              <v:stroke weight="0.25pt" color="#FF0000"/>
              <v:imagedata o:title=""/>
              <o:lock v:ext="edit" aspectratio="f"/>
              <v:textpath on="t" fitshape="t" fitpath="t" trim="t" xscale="f" string="N3" style="font-family:宋体;font-size:10pt;font-weight:bold;v-text-align:center;"/>
            </v:shape>
            <v:shape id="艺术字 6057" o:spid="_x0000_s1210" o:spt="136" type="#_x0000_t136" style="position:absolute;left:42341;top:14560;height:1016;width:1397;rotation:-196608f;" fillcolor="#FF0000" filled="t" stroked="t" coordsize="21600,21600" adj="10800">
              <v:path/>
              <v:fill on="t" color2="#FFFFFF" focussize="0,0"/>
              <v:stroke weight="0.25pt" color="#FF0000"/>
              <v:imagedata o:title=""/>
              <o:lock v:ext="edit" aspectratio="f"/>
              <v:textpath on="t" fitshape="t" fitpath="t" trim="t" xscale="f" string="N4" style="font-family:宋体;font-size:10pt;font-weight:bold;v-text-align:center;"/>
            </v:shape>
            <v:shape id="_x0000_s1212" o:spid="_x0000_s1212" o:spt="83" type="#_x0000_t83" style="position:absolute;left:41325;top:24466;height:1778;width:762;" fillcolor="#FF0000" filled="t" stroked="t" coordsize="21600,21600" adj="5400,8100,2700,9450">
              <v:path/>
              <v:fill on="t" color2="#FFFFFF" focussize="0,0"/>
              <v:stroke color="#000000" joinstyle="miter"/>
              <v:imagedata o:title=""/>
              <o:lock v:ext="edit" aspectratio="f"/>
            </v:shape>
            <v:shape id="_x0000_s1213" o:spid="_x0000_s1213" o:spt="83" type="#_x0000_t83" style="position:absolute;left:45897;top:19227;height:1778;width:762;" fillcolor="#FF0000" filled="t" stroked="t" coordsize="21600,21600" adj="5400,8100,2700,9450">
              <v:path/>
              <v:fill on="t" color2="#FFFFFF" focussize="0,0"/>
              <v:stroke color="#000000" joinstyle="miter"/>
              <v:imagedata o:title=""/>
              <o:lock v:ext="edit" aspectratio="f"/>
            </v:shape>
            <v:group id="_x0000_s1264" o:spid="_x0000_s1264" o:spt="203" style="position:absolute;left:5798;top:48850;height:1651;width:7366;" coordorigin="3009,1171871" coordsize="2142,284" o:gfxdata="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">
              <o:lock v:ext="edit" aspectratio="f"/>
              <v:group id="组合 72" o:spid="_x0000_s1265" o:spt="203" style="position:absolute;left:3009;top:1171871;height:284;width:2142;" coordorigin="3009,1171871" coordsize="2142,284" o:gfxdata="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PdElavwAAANsAAAAPAAAAAAAAAAEAIAAAACIAAABkcnMvZG93bnJldi54&#10;bWxQSwECFAAUAAAACACHTuJAMy8FnjsAAAA5AAAAFQAAAAAAAAABACAAAAAOAQAAZHJzL2dyb3Vw&#10;c2hhcGV4bWwueG1sUEsFBgAAAAAGAAYAYAEAAMsDAAAAAA==&#10;">
                <o:lock v:ext="edit" aspectratio="f"/>
                <v:shape id="任意多边形 70" o:spid="_x0000_s1266" o:spt="100" style="position:absolute;left:3009;top:1172021;height:135;width:2143;" filled="f" stroked="t" coordsize="1260,1" o:gfxdata="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cwX5b4A&#10;AADbAAAADwAAAAAAAAABACAAAAAiAAAAZHJzL2Rvd25yZXYueG1sUEsBAhQAFAAAAAgAh07iQDMv&#10;BZ47AAAAOQAAABAAAAAAAAAAAQAgAAAADQEAAGRycy9zaGFwZXhtbC54bWxQSwUGAAAAAAYABgBb&#10;AQAAtwMAAAAA&#10;" path="m0,0l1245,0,1260,0e">
                  <v:fill on="f" focussize="0,0"/>
                  <v:stroke weight="1.5pt" color="#000000" joinstyle="round"/>
                  <v:imagedata o:title=""/>
                  <o:lock v:ext="edit" aspectratio="f"/>
                </v:shape>
                <v:shape id="任意多边形 71" o:spid="_x0000_s1267" o:spt="100" style="position:absolute;left:3009;top:1171871;height:150;width:1;" filled="f" stroked="t" coordsize="1,150" o:gfxdata="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QkrMjtwAAANsAAAAP&#10;AAAAAAAAAAEAIAAAACIAAABkcnMvZG93bnJldi54bWxQSwECFAAUAAAACACHTuJAMy8FnjsAAAA5&#10;AAAAEAAAAAAAAAABACAAAAAGAQAAZHJzL3NoYXBleG1sLnhtbFBLBQYAAAAABgAGAFsBAACwAwAA&#10;AAA=&#10;" path="m0,0l0,150e">
                  <v:fill on="f" focussize="0,0"/>
                  <v:stroke weight="1.5pt" color="#000000" joinstyle="round"/>
                  <v:imagedata o:title=""/>
                  <o:lock v:ext="edit" aspectratio="f"/>
                </v:shape>
              </v:group>
              <v:shape id="任意多边形 73" o:spid="_x0000_s1268" o:spt="100" style="position:absolute;left:5139;top:1171871;height:150;width:1;" filled="f" stroked="t" coordsize="1,150" o:gfxdata="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94WuLsAAADb&#10;AAAADwAAAAAAAAABACAAAAAiAAAAZHJzL2Rvd25yZXYueG1sUEsBAhQAFAAAAAgAh07iQDMvBZ47&#10;AAAAOQAAABAAAAAAAAAAAQAgAAAACgEAAGRycy9zaGFwZXhtbC54bWxQSwUGAAAAAAYABgBbAQAA&#10;tAMAAAAA&#10;" path="m0,0l0,150e">
                <v:fill on="f" focussize="0,0"/>
                <v:stroke weight="1.5pt" color="#000000" joinstyle="round"/>
                <v:imagedata o:title=""/>
                <o:lock v:ext="edit" aspectratio="f"/>
              </v:shape>
            </v:group>
          </v:group>
        </w:pict>
      </w:r>
      <w:r>
        <w:rPr>
          <w:rFonts w:hint="eastAsia"/>
          <w:color w:val="auto"/>
          <w:highlight w:val="none"/>
        </w:rPr>
        <w:drawing>
          <wp:inline distT="0" distB="0" distL="114300" distR="114300">
            <wp:extent cx="7973060" cy="5263515"/>
            <wp:effectExtent l="0" t="0" r="8890" b="13335"/>
            <wp:docPr id="35" name="图片 35" descr="1555660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555660528(1)"/>
                    <pic:cNvPicPr>
                      <a:picLocks noChangeAspect="1"/>
                    </pic:cNvPicPr>
                  </pic:nvPicPr>
                  <pic:blipFill>
                    <a:blip r:embed="rId70"/>
                    <a:srcRect/>
                    <a:stretch>
                      <a:fillRect/>
                    </a:stretch>
                  </pic:blipFill>
                  <pic:spPr>
                    <a:xfrm>
                      <a:off x="0" y="0"/>
                      <a:ext cx="7973060" cy="5263515"/>
                    </a:xfrm>
                    <a:prstGeom prst="rect">
                      <a:avLst/>
                    </a:prstGeom>
                  </pic:spPr>
                </pic:pic>
              </a:graphicData>
            </a:graphic>
          </wp:inline>
        </w:drawing>
      </w:r>
    </w:p>
    <w:p>
      <w:pPr>
        <w:pStyle w:val="38"/>
        <w:spacing w:before="0"/>
        <w:rPr>
          <w:color w:val="auto"/>
          <w:highlight w:val="none"/>
        </w:rPr>
        <w:sectPr>
          <w:pgSz w:w="16840" w:h="11907" w:orient="landscape"/>
          <w:pgMar w:top="1304" w:right="1418" w:bottom="1304" w:left="1418" w:header="851" w:footer="851" w:gutter="0"/>
          <w:cols w:space="425" w:num="1"/>
          <w:docGrid w:type="lines" w:linePitch="312" w:charSpace="0"/>
        </w:sectPr>
      </w:pPr>
      <w:r>
        <w:rPr>
          <w:rFonts w:ascii="Times New Roman" w:hAnsi="Times New Roman"/>
          <w:color w:val="auto"/>
          <w:sz w:val="24"/>
          <w:szCs w:val="24"/>
          <w:highlight w:val="none"/>
        </w:rPr>
        <w:t>附图2 项目四至图（噪声监测点位图）</w:t>
      </w:r>
    </w:p>
    <w:p>
      <w:pPr>
        <w:rPr>
          <w:color w:val="auto"/>
          <w:highlight w:val="none"/>
        </w:rPr>
      </w:pPr>
      <w:r>
        <w:rPr>
          <w:color w:val="auto"/>
          <w:highlight w:val="none"/>
        </w:rPr>
        <w:pict>
          <v:shape id="_x0000_s1160" o:spid="_x0000_s1160" style="position:absolute;left:0pt;margin-left:126.35pt;margin-top:368.5pt;height:82.5pt;width:67.5pt;z-index:251660288;mso-width-relative:page;mso-height-relative:page;" filled="f" coordsize="1350,1650" path="m0,0l1350,0,1350,1650e">
            <v:path arrowok="t"/>
            <v:fill on="f" focussize="0,0"/>
            <v:stroke weight="2pt"/>
            <v:imagedata o:title=""/>
            <o:lock v:ext="edit"/>
          </v:shape>
        </w:pict>
      </w:r>
      <w:r>
        <w:rPr>
          <w:color w:val="auto"/>
          <w:highlight w:val="none"/>
        </w:rPr>
        <w:pict>
          <v:group id="_x0000_s1143" o:spid="_x0000_s1143" o:spt="203" style="height:537.85pt;width:452.55pt;" coordsize="57478,68305" editas="canvas">
            <o:lock v:ext="edit"/>
            <v:shape id="_x0000_s1144" o:spid="_x0000_s1144" o:spt="75" type="#_x0000_t75" style="position:absolute;left:0;top:0;height:68305;width:57478;" filled="f" stroked="t" coordsize="21600,21600">
              <v:fill on="f" focussize="0,0"/>
              <v:stroke color="#000000" joinstyle="miter"/>
              <v:imagedata o:title=""/>
              <o:lock v:ext="edit" aspectratio="f"/>
            </v:shape>
            <v:shape id="_x0000_s1147" o:spid="_x0000_s1147" o:spt="136" type="#_x0000_t136" style="position:absolute;left:26405;top:58494;height:1397;width:3937;" fillcolor="#000000" filled="t" stroked="t" coordsize="21600,21600" adj="10800">
              <v:path/>
              <v:fill on="t" color2="#FFFFFF" focussize="0,0"/>
              <v:stroke color="#000000"/>
              <v:imagedata o:title=""/>
              <o:lock v:ext="edit" aspectratio="f"/>
              <v:textpath on="t" fitshape="t" fitpath="t" trim="t" xscale="f" string="厂房入口" style="font-family:宋体;font-size:16pt;v-text-align:center;"/>
            </v:shape>
            <v:shape id="_x0000_s1148" o:spid="_x0000_s1148" style="position:absolute;left:26932;top:56596;height:1143;width:889;rotation:-5898240f;" filled="f" stroked="t" coordsize="150,1" path="m0,0l150,0e">
              <v:path arrowok="t"/>
              <v:fill on="f" focussize="0,0"/>
              <v:stroke weight="2pt" color="#000000"/>
              <v:imagedata o:title=""/>
              <o:lock v:ext="edit" aspectratio="f"/>
            </v:shape>
            <v:shape id="_x0000_s1149" o:spid="_x0000_s1149" style="position:absolute;left:28691;top:56596;height:1143;width:889;rotation:5898240f;" filled="f" stroked="t" coordsize="150,1" path="m0,0l150,0e">
              <v:path arrowok="t"/>
              <v:fill on="f" focussize="0,0"/>
              <v:stroke weight="2pt" color="#000000"/>
              <v:imagedata o:title=""/>
              <o:lock v:ext="edit" aspectratio="f"/>
            </v:shape>
            <v:shape id="艺术字 3083" o:spid="_x0000_s1150" o:spt="136" type="#_x0000_t136" style="position:absolute;left:17864;top:50970;height:1651;width:4064;" fillcolor="#000000" filled="t" stroked="t" coordsize="21600,21600" adj="10800">
              <v:path/>
              <v:fill on="t" color2="#FFFFFF" focussize="0,0"/>
              <v:stroke color="#000000"/>
              <v:imagedata o:title=""/>
              <o:lock v:ext="edit" aspectratio="f"/>
              <v:textpath on="t" fitshape="t" fitpath="t" trim="t" xscale="f" string="办公室" style="font-family:宋体;font-size:18pt;v-text-align:center;"/>
            </v:shape>
            <v:shape id="艺术字 3083" o:spid="_x0000_s1151" o:spt="136" type="#_x0000_t136" style="position:absolute;left:41462;top:26415;height:11817;width:1804;" fillcolor="#000000" filled="t" stroked="t" coordsize="21600,21600" adj="10800">
              <v:path/>
              <v:fill on="t" color2="#FFFFFF" focussize="0,0"/>
              <v:stroke color="#000000"/>
              <v:imagedata o:title=""/>
              <o:lock v:ext="edit" aspectratio="f"/>
              <v:textpath on="t" fitshape="t" fitpath="t" trim="t" xscale="f" string="烘&#10;干&#10;、&#10;注&#10;塑&#10;区&#10;" style="font-family:宋体;font-size:18pt;v-text-align:center;"/>
            </v:shape>
            <v:shape id="艺术字 3083" o:spid="_x0000_s1152" o:spt="136" type="#_x0000_t136" style="position:absolute;left:31263;top:30834;height:2953;width:4827;" fillcolor="#000000" filled="t" stroked="t" coordsize="21600,21600" adj="10800">
              <v:path/>
              <v:fill on="t" color2="#FFFFFF" focussize="0,0"/>
              <v:stroke color="#000000"/>
              <v:imagedata o:title=""/>
              <o:lock v:ext="edit" aspectratio="f"/>
              <v:textpath on="t" fitshape="t" fitpath="t" trim="t" xscale="f" string="原料、&#10;成品区" style="font-family:宋体;font-size:18pt;v-text-align:center;"/>
            </v:shape>
            <v:shape id="艺术字 3083" o:spid="_x0000_s1155" o:spt="136" type="#_x0000_t136" style="position:absolute;left:43247;top:46404;height:9836;width:1619;" fillcolor="#000000" filled="t" stroked="t" coordsize="21600,21600" adj="10800">
              <v:path/>
              <v:fill on="t" color2="#FFFFFF" focussize="0,0"/>
              <v:stroke color="#000000"/>
              <v:imagedata o:title=""/>
              <o:lock v:ext="edit" aspectratio="f"/>
              <v:textpath on="t" fitshape="t" fitpath="t" trim="t" xscale="f" string="检&#10;验&#10;、&#10;包&#10;装&#10;区&#10;" style="font-family:宋体;font-size:18pt;v-text-align:center;"/>
            </v:shape>
            <v:shape id="艺术字 3083" o:spid="_x0000_s1157" o:spt="136" type="#_x0000_t136" style="position:absolute;left:19693;top:28167;height:1937;width:6731;" fillcolor="#000000" filled="t" stroked="t" coordsize="21600,21600" adj="10800">
              <v:path/>
              <v:fill on="t" color2="#FFFFFF" focussize="0,0"/>
              <v:stroke color="#000000"/>
              <v:imagedata o:title=""/>
              <o:lock v:ext="edit" aspectratio="f"/>
              <v:textpath on="t" fitshape="t" fitpath="t" trim="t" xscale="f" string="机加工区" style="font-family:宋体;font-size:18pt;v-text-align:center;"/>
            </v:shape>
            <v:shape id="_x0000_s1158" o:spid="_x0000_s1158" o:spt="75" type="#_x0000_t75" style="position:absolute;left:53319;top:107;height:9144;width:4064;rotation:11796480f;" filled="f" o:preferrelative="t" stroked="f" coordsize="21600,21600">
              <v:path/>
              <v:fill on="f" focussize="0,0"/>
              <v:stroke on="f"/>
              <v:imagedata r:id="rId67" o:title=""/>
              <o:lock v:ext="edit" aspectratio="t"/>
            </v:shape>
            <v:shape id="_x0000_s1159" o:spid="_x0000_s1159" style="position:absolute;left:16054;top:14064;flip:x;height:42767;width:31035;" filled="f" stroked="t" coordsize="4260,5700" path="m0,0l0,5700,4260,5700,4260,1089,0,0xe">
              <v:fill on="f" focussize="0,0"/>
              <v:stroke weight="2pt" color="#000000" startarrow="block" endarrow="block"/>
              <v:imagedata o:title=""/>
              <o:lock v:ext="edit" aspectratio="f"/>
            </v:shape>
            <v:shape id="_x0000_s1161" o:spid="_x0000_s1161" style="position:absolute;left:29345;top:18605;flip:x;height:24675;width:1042;" filled="f" stroked="t" coordsize="1,6060" path="m0,0l0,6060e">
              <v:path arrowok="t"/>
              <v:fill on="f" focussize="0,0"/>
              <v:stroke weight="2pt" color="#000000"/>
              <v:imagedata o:title=""/>
              <o:lock v:ext="edit" aspectratio="f"/>
            </v:shape>
            <v:shape id="_x0000_s1162" o:spid="_x0000_s1162" style="position:absolute;left:30387;top:16896;height:5042;width:6281;" filled="f" stroked="t" coordsize="960,330" path="m0,330l960,330,960,0e">
              <v:path arrowok="t"/>
              <v:fill on="f" focussize="0,0"/>
              <v:stroke weight="2pt" color="#000000"/>
              <v:imagedata o:title=""/>
              <o:lock v:ext="edit" aspectratio="f"/>
            </v:shape>
            <v:shape id="_x0000_s1164" o:spid="_x0000_s1164" style="position:absolute;left:41056;top:45845;height:11049;width:6001;" filled="f" stroked="t" coordsize="945,1740" path="m945,0l0,0,0,1740e">
              <v:path arrowok="t"/>
              <v:fill on="f" focussize="0,0"/>
              <v:stroke weight="2pt" color="#000000"/>
              <v:imagedata o:title=""/>
              <o:lock v:ext="edit" aspectratio="f"/>
            </v:shape>
            <v:shape id="艺术字 3083" o:spid="_x0000_s1165" o:spt="136" type="#_x0000_t136" style="position:absolute;left:30666;top:19132;height:1428;width:5779;" fillcolor="#000000" filled="t" stroked="t" coordsize="21600,21600" adj="10800">
              <v:path/>
              <v:fill on="t" color2="#FFFFFF" focussize="0,0"/>
              <v:stroke color="#000000"/>
              <v:imagedata o:title=""/>
              <o:lock v:ext="edit" aspectratio="f"/>
              <v:textpath on="t" fitshape="t" fitpath="t" trim="t" xscale="f" string="混合、破碎区" style="font-family:宋体;font-size:18pt;v-text-align:center;"/>
            </v:shape>
            <v:shape id="_x0000_s1219" o:spid="_x0000_s1219" o:spt="136" type="#_x0000_t136" style="position:absolute;left:2457;top:64813;height:869;width:2604;" fillcolor="#000000" filled="t" stroked="t" coordsize="21600,21600" adj="10800">
              <v:path/>
              <v:fill on="t" color2="#FFFFFF" focussize="0,0"/>
              <v:stroke color="#000000"/>
              <v:imagedata o:title=""/>
              <o:lock v:ext="edit" aspectratio="f"/>
              <v:textpath on="t" fitshape="t" fitpath="t" trim="t" xscale="f" string="10m" style="font-family:宋体;font-size:16pt;v-text-align:center;"/>
            </v:shape>
            <v:shape id="自选图形 3220" o:spid="_x0000_s1220" o:spt="61" type="#_x0000_t61" style="position:absolute;left:23154;top:3333;height:5080;width:9043;" filled="f" stroked="t" coordsize="21600,21600" adj="40181,48951">
              <v:path/>
              <v:fill on="f" focussize="0,0"/>
              <v:stroke weight="1.75pt" color="#000000" joinstyle="miter" dashstyle="1 1"/>
              <v:imagedata o:title=""/>
              <o:lock v:ext="edit" aspectratio="f"/>
              <v:textbox>
                <w:txbxContent>
                  <w:p>
                    <w:r>
                      <w:rPr>
                        <w:rFonts w:hint="eastAsia"/>
                      </w:rPr>
                      <w:t>G1注塑废气排放口</w:t>
                    </w:r>
                  </w:p>
                </w:txbxContent>
              </v:textbox>
            </v:shape>
            <v:shape id="椭圆 3221" o:spid="_x0000_s1221" o:spt="3" type="#_x0000_t3" style="position:absolute;left:40599;top:14845;flip:x;height:496;width:495;" fillcolor="#FFFFFF" filled="t" stroked="t" coordsize="21600,21600">
              <v:path/>
              <v:fill on="t" color2="#FFFFFF" focussize="0,0"/>
              <v:stroke weight="2.25pt" color="#000000"/>
              <v:imagedata o:title=""/>
              <o:lock v:ext="edit" aspectratio="f"/>
            </v:shape>
            <v:shape id="_x0000_s1222" o:spid="_x0000_s1222" o:spt="61" type="#_x0000_t61" style="position:absolute;left:1860;top:34530;height:3962;width:11399;" filled="f" stroked="t" coordsize="21600,21600" adj="29470,72796">
              <v:path/>
              <v:fill on="f" focussize="0,0"/>
              <v:stroke weight="1.75pt" color="#000000" joinstyle="miter" dashstyle="1 1"/>
              <v:imagedata o:title=""/>
              <o:lock v:ext="edit" aspectratio="f"/>
              <v:textbox>
                <w:txbxContent>
                  <w:p>
                    <w:r>
                      <w:rPr>
                        <w:rFonts w:hint="eastAsia"/>
                      </w:rPr>
                      <w:t>生活污水排放口</w:t>
                    </w:r>
                  </w:p>
                </w:txbxContent>
              </v:textbox>
            </v:shape>
            <v:shape id="_x0000_s1223" o:spid="_x0000_s1223" o:spt="5" type="#_x0000_t5" style="position:absolute;left:17133;top:47611;height:762;width:1016;" fillcolor="#FFFFFF" filled="t" stroked="t" coordsize="21600,21600" adj="10800">
              <v:path/>
              <v:fill on="t" color2="#FFFFFF" focussize="0,0"/>
              <v:stroke weight="0.5pt" color="#000000" joinstyle="miter" startarrow="block" endarrow="block"/>
              <v:imagedata o:title=""/>
              <o:lock v:ext="edit" aspectratio="f"/>
            </v:shape>
            <v:rect id="_x0000_s1225" o:spid="_x0000_s1225" o:spt="1" style="position:absolute;left:40281;top:21227;height:20351;width:4191;" filled="f" stroked="t" coordsize="21600,21600">
              <v:path/>
              <v:fill on="f" focussize="0,0"/>
              <v:stroke weight="2pt" color="#000000" joinstyle="miter" startarrow="block" endarrow="block"/>
              <v:imagedata o:title=""/>
              <o:lock v:ext="edit" aspectratio="f"/>
            </v:rect>
            <v:shape id="_x0000_s1226" o:spid="_x0000_s1226" style="position:absolute;left:44631;top:23189;flip:y;height:857;width:1715;" filled="f" stroked="t" coordsize="105,1" path="m0,0l105,0e">
              <v:path arrowok="t"/>
              <v:fill on="f" focussize="0,0"/>
              <v:stroke weight="1pt" color="#000000" dashstyle="1 1" endcap="square" endarrow="block"/>
              <v:imagedata o:title=""/>
              <o:lock v:ext="edit" aspectratio="f"/>
            </v:shape>
            <v:shape id="_x0000_s1227" o:spid="_x0000_s1227" style="position:absolute;left:44472;top:26847;flip:y;height:762;width:1652;" filled="f" stroked="t" coordsize="105,1" path="m0,0l105,0e">
              <v:path arrowok="t"/>
              <v:fill on="f" focussize="0,0"/>
              <v:stroke weight="1pt" color="#000000" dashstyle="1 1" endcap="square" endarrow="block"/>
              <v:imagedata o:title=""/>
              <o:lock v:ext="edit" aspectratio="f"/>
            </v:shape>
            <v:shape id="_x0000_s1228" o:spid="_x0000_s1228" style="position:absolute;left:44663;top:30847;flip:y;height:762;width:1651;" filled="f" stroked="t" coordsize="105,1" path="m0,0l105,0e">
              <v:path arrowok="t"/>
              <v:fill on="f" focussize="0,0"/>
              <v:stroke weight="1pt" color="#000000" dashstyle="1 1" endcap="square" endarrow="block"/>
              <v:imagedata o:title=""/>
              <o:lock v:ext="edit" aspectratio="f"/>
            </v:shape>
            <v:shape id="_x0000_s1229" o:spid="_x0000_s1229" style="position:absolute;left:44568;top:35419;flip:y;height:762;width:1651;" filled="f" stroked="t" coordsize="105,1" path="m0,0l105,0e">
              <v:path arrowok="t"/>
              <v:fill on="f" focussize="0,0"/>
              <v:stroke weight="1pt" color="#000000" dashstyle="1 1" endcap="square" endarrow="block"/>
              <v:imagedata o:title=""/>
              <o:lock v:ext="edit" aspectratio="f"/>
            </v:shape>
            <v:shape id="_x0000_s1230" o:spid="_x0000_s1230" style="position:absolute;left:44568;top:38848;flip:y;height:762;width:1651;" filled="f" stroked="t" coordsize="105,1" path="m0,0l105,0e">
              <v:path arrowok="t"/>
              <v:fill on="f" focussize="0,0"/>
              <v:stroke weight="1pt" color="#000000" dashstyle="1 1" endcap="square" endarrow="block"/>
              <v:imagedata o:title=""/>
              <o:lock v:ext="edit" aspectratio="f"/>
            </v:shape>
            <v:shape id="_x0000_s1231" o:spid="_x0000_s1231" style="position:absolute;left:41773;top:16039;height:25241;width:4478;" filled="f" stroked="t" coordsize="630,3780" path="m630,3780l630,405,0,0e">
              <v:path arrowok="t"/>
              <v:fill on="f" focussize="0,0"/>
              <v:stroke weight="1pt" color="#000000" dashstyle="1 1" endcap="square" endarrow="block"/>
              <v:imagedata o:title=""/>
              <o:lock v:ext="edit" aspectratio="f"/>
            </v:shape>
            <v:group id="_x0000_s1269" o:spid="_x0000_s1269" o:spt="203" style="position:absolute;left:1988;top:65994;height:1524;width:11812;" coordorigin="3009,1171871" coordsize="2142,284">
              <o:lock v:ext="edit" aspectratio="f"/>
              <v:group id="组合 72" o:spid="_x0000_s1270" o:spt="203" style="position:absolute;left:3009;top:1171871;height:284;width:2142;" coordorigin="3009,1171871" coordsize="2142,284" o:gfxdata="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HVIoQm+AAAA2wAAAA8AAAAAAAAAAQAgAAAAIgAAAGRycy9kb3ducmV2Lnht&#10;bFBLAQIUABQAAAAIAIdO4kAzLwWeOwAAADkAAAAVAAAAAAAAAAEAIAAAAA0BAABkcnMvZ3JvdXBz&#10;aGFwZXhtbC54bWxQSwUGAAAAAAYABgBgAQAAygMAAAAA&#10;">
                <o:lock v:ext="edit" aspectratio="f"/>
                <v:shape id="任意多边形 70" o:spid="_x0000_s1271" o:spt="100" style="position:absolute;left:3009;top:1172021;height:135;width:2143;" filled="f" stroked="t" coordsize="1260,1" o:gfxdata="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huxFq8AAAA&#10;2wAAAA8AAAAAAAAAAQAgAAAAIgAAAGRycy9kb3ducmV2LnhtbFBLAQIUABQAAAAIAIdO4kAzLwWe&#10;OwAAADkAAAAQAAAAAAAAAAEAIAAAAAsBAABkcnMvc2hhcGV4bWwueG1sUEsFBgAAAAAGAAYAWwEA&#10;ALUDAAAAAA==&#10;" path="m0,0l1245,0,1260,0e">
                  <v:fill on="f" focussize="0,0"/>
                  <v:stroke weight="1.5pt" color="#000000" joinstyle="round"/>
                  <v:imagedata o:title=""/>
                  <o:lock v:ext="edit" aspectratio="f"/>
                </v:shape>
                <v:shape id="任意多边形 71" o:spid="_x0000_s1272" o:spt="100" style="position:absolute;left:3009;top:1171871;height:150;width:1;" filled="f" stroked="t" coordsize="1,150" o:gfxdata="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r41F1ugAAANsA&#10;AAAPAAAAAAAAAAEAIAAAACIAAABkcnMvZG93bnJldi54bWxQSwECFAAUAAAACACHTuJAMy8FnjsA&#10;AAA5AAAAEAAAAAAAAAABACAAAAAJAQAAZHJzL3NoYXBleG1sLnhtbFBLBQYAAAAABgAGAFsBAACz&#10;AwAAAAA=&#10;" path="m0,0l0,150e">
                  <v:fill on="f" focussize="0,0"/>
                  <v:stroke weight="1.5pt" color="#000000" joinstyle="round"/>
                  <v:imagedata o:title=""/>
                  <o:lock v:ext="edit" aspectratio="f"/>
                </v:shape>
              </v:group>
              <v:shape id="任意多边形 73" o:spid="_x0000_s1273" o:spt="100" style="position:absolute;left:5139;top:1171871;height:150;width:1;" filled="f" stroked="t" coordsize="1,150" o:gfxdata="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CskBugAAANsA&#10;AAAPAAAAAAAAAAEAIAAAACIAAABkcnMvZG93bnJldi54bWxQSwECFAAUAAAACACHTuJAMy8FnjsA&#10;AAA5AAAAEAAAAAAAAAABACAAAAAJAQAAZHJzL3NoYXBleG1sLnhtbFBLBQYAAAAABgAGAFsBAACz&#10;AwAAAAA=&#10;" path="m0,0l0,150e">
                <v:fill on="f" focussize="0,0"/>
                <v:stroke weight="1.5pt" color="#000000" joinstyle="round"/>
                <v:imagedata o:title=""/>
                <o:lock v:ext="edit" aspectratio="f"/>
              </v:shape>
            </v:group>
            <w10:wrap type="none"/>
            <w10:anchorlock/>
          </v:group>
        </w:pict>
      </w:r>
    </w:p>
    <w:p>
      <w:pPr>
        <w:pStyle w:val="38"/>
        <w:rPr>
          <w:rFonts w:ascii="Times New Roman" w:hAnsi="Times New Roman"/>
          <w:color w:val="auto"/>
          <w:sz w:val="24"/>
          <w:szCs w:val="24"/>
          <w:highlight w:val="none"/>
        </w:rPr>
      </w:pPr>
      <w:r>
        <w:rPr>
          <w:color w:val="auto"/>
          <w:sz w:val="24"/>
          <w:szCs w:val="24"/>
          <w:highlight w:val="none"/>
        </w:rPr>
        <w:t>附</w:t>
      </w:r>
      <w:r>
        <w:rPr>
          <w:rFonts w:ascii="Times New Roman" w:hAnsi="Times New Roman"/>
          <w:color w:val="auto"/>
          <w:sz w:val="24"/>
          <w:szCs w:val="24"/>
          <w:highlight w:val="none"/>
        </w:rPr>
        <w:t>图3 项目车间平面布置图</w:t>
      </w:r>
    </w:p>
    <w:p>
      <w:pPr>
        <w:rPr>
          <w:color w:val="auto"/>
          <w:highlight w:val="none"/>
        </w:rPr>
        <w:sectPr>
          <w:pgSz w:w="11907" w:h="16840"/>
          <w:pgMar w:top="1418" w:right="1304" w:bottom="1418" w:left="1304" w:header="851" w:footer="851" w:gutter="0"/>
          <w:cols w:space="425" w:num="1"/>
          <w:docGrid w:type="lines" w:linePitch="312" w:charSpace="0"/>
        </w:sectPr>
      </w:pPr>
    </w:p>
    <w:p>
      <w:pPr>
        <w:pStyle w:val="47"/>
        <w:jc w:val="center"/>
        <w:rPr>
          <w:color w:val="auto"/>
          <w:highlight w:val="none"/>
        </w:rPr>
      </w:pPr>
      <w:r>
        <w:rPr>
          <w:color w:val="auto"/>
          <w:highlight w:val="none"/>
        </w:rPr>
        <w:drawing>
          <wp:inline distT="0" distB="0" distL="114300" distR="114300">
            <wp:extent cx="8210550" cy="5514975"/>
            <wp:effectExtent l="0" t="0" r="0" b="9525"/>
            <wp:docPr id="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5"/>
                    <pic:cNvPicPr>
                      <a:picLocks noChangeAspect="1"/>
                    </pic:cNvPicPr>
                  </pic:nvPicPr>
                  <pic:blipFill>
                    <a:blip r:embed="rId71"/>
                    <a:stretch>
                      <a:fillRect/>
                    </a:stretch>
                  </pic:blipFill>
                  <pic:spPr>
                    <a:xfrm>
                      <a:off x="0" y="0"/>
                      <a:ext cx="8210550" cy="5514975"/>
                    </a:xfrm>
                    <a:prstGeom prst="rect">
                      <a:avLst/>
                    </a:prstGeom>
                    <a:noFill/>
                    <a:ln>
                      <a:noFill/>
                    </a:ln>
                  </pic:spPr>
                </pic:pic>
              </a:graphicData>
            </a:graphic>
          </wp:inline>
        </w:drawing>
      </w:r>
    </w:p>
    <w:p>
      <w:pPr>
        <w:pStyle w:val="38"/>
        <w:spacing w:before="0"/>
        <w:rPr>
          <w:rFonts w:ascii="Times New Roman" w:hAnsi="Times New Roman"/>
          <w:color w:val="auto"/>
          <w:sz w:val="24"/>
          <w:szCs w:val="24"/>
          <w:highlight w:val="none"/>
        </w:rPr>
        <w:sectPr>
          <w:headerReference r:id="rId20" w:type="default"/>
          <w:footerReference r:id="rId21" w:type="default"/>
          <w:pgSz w:w="16840" w:h="11907" w:orient="landscape"/>
          <w:pgMar w:top="1304" w:right="1418" w:bottom="1304" w:left="1418" w:header="851" w:footer="851" w:gutter="0"/>
          <w:cols w:space="425" w:num="1"/>
          <w:docGrid w:type="lines" w:linePitch="312" w:charSpace="0"/>
        </w:sectPr>
      </w:pPr>
      <w:r>
        <w:rPr>
          <w:rFonts w:ascii="Times New Roman" w:hAnsi="Times New Roman"/>
          <w:color w:val="auto"/>
          <w:sz w:val="24"/>
          <w:szCs w:val="24"/>
          <w:highlight w:val="none"/>
        </w:rPr>
        <w:t xml:space="preserve">附图4 </w:t>
      </w:r>
      <w:r>
        <w:rPr>
          <w:rFonts w:hint="default" w:ascii="Times New Roman" w:hAnsi="Times New Roman" w:cs="Times New Roman"/>
          <w:color w:val="auto"/>
          <w:sz w:val="24"/>
          <w:szCs w:val="24"/>
          <w:highlight w:val="none"/>
          <w:shd w:val="clear" w:color="auto" w:fill="auto"/>
        </w:rPr>
        <w:t>项目周围敏感点图</w:t>
      </w:r>
      <w:r>
        <w:rPr>
          <w:rFonts w:hint="eastAsia" w:ascii="Times New Roman" w:hAnsi="Times New Roman" w:cs="Times New Roman"/>
          <w:color w:val="auto"/>
          <w:sz w:val="24"/>
          <w:szCs w:val="24"/>
          <w:highlight w:val="none"/>
          <w:shd w:val="clear" w:color="auto" w:fill="auto"/>
          <w:lang w:eastAsia="zh-CN"/>
        </w:rPr>
        <w:t>（</w:t>
      </w:r>
      <w:r>
        <w:rPr>
          <w:rFonts w:hint="eastAsia" w:ascii="Times New Roman" w:hAnsi="Times New Roman" w:cs="Times New Roman"/>
          <w:color w:val="auto"/>
          <w:sz w:val="24"/>
          <w:szCs w:val="24"/>
          <w:highlight w:val="none"/>
          <w:shd w:val="clear" w:color="auto" w:fill="auto"/>
          <w:lang w:val="en-US" w:eastAsia="zh-CN"/>
        </w:rPr>
        <w:t>5km）</w:t>
      </w:r>
    </w:p>
    <w:p>
      <w:pPr>
        <w:rPr>
          <w:rFonts w:hint="eastAsia" w:eastAsia="宋体"/>
          <w:b/>
          <w:color w:val="auto"/>
          <w:sz w:val="24"/>
          <w:highlight w:val="none"/>
          <w:lang w:eastAsia="zh-CN"/>
        </w:rPr>
      </w:pPr>
      <w:r>
        <w:rPr>
          <w:rFonts w:hint="eastAsia" w:eastAsia="宋体"/>
          <w:b/>
          <w:color w:val="auto"/>
          <w:sz w:val="24"/>
          <w:highlight w:val="none"/>
          <w:lang w:eastAsia="zh-CN"/>
        </w:rPr>
        <w:drawing>
          <wp:anchor distT="0" distB="0" distL="114935" distR="114935" simplePos="0" relativeHeight="1234479104" behindDoc="0" locked="0" layoutInCell="1" allowOverlap="1">
            <wp:simplePos x="0" y="0"/>
            <wp:positionH relativeFrom="column">
              <wp:posOffset>4905375</wp:posOffset>
            </wp:positionH>
            <wp:positionV relativeFrom="paragraph">
              <wp:posOffset>-75565</wp:posOffset>
            </wp:positionV>
            <wp:extent cx="2854960" cy="2397760"/>
            <wp:effectExtent l="9525" t="9525" r="12065" b="12065"/>
            <wp:wrapNone/>
            <wp:docPr id="32" name="图片 32" descr="0754d01a13f6920602d125a68e55a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0754d01a13f6920602d125a68e55af9"/>
                    <pic:cNvPicPr>
                      <a:picLocks noChangeAspect="1"/>
                    </pic:cNvPicPr>
                  </pic:nvPicPr>
                  <pic:blipFill>
                    <a:blip r:embed="rId72"/>
                    <a:srcRect/>
                    <a:stretch>
                      <a:fillRect/>
                    </a:stretch>
                  </pic:blipFill>
                  <pic:spPr>
                    <a:xfrm>
                      <a:off x="0" y="0"/>
                      <a:ext cx="2854960" cy="2397760"/>
                    </a:xfrm>
                    <a:prstGeom prst="rect">
                      <a:avLst/>
                    </a:prstGeom>
                    <a:ln>
                      <a:solidFill>
                        <a:schemeClr val="tx1"/>
                      </a:solidFill>
                    </a:ln>
                  </pic:spPr>
                </pic:pic>
              </a:graphicData>
            </a:graphic>
          </wp:anchor>
        </w:drawing>
      </w:r>
      <w:r>
        <w:rPr>
          <w:rFonts w:hint="eastAsia"/>
          <w:b/>
          <w:color w:val="auto"/>
          <w:sz w:val="24"/>
          <w:highlight w:val="none"/>
        </w:rPr>
        <w:drawing>
          <wp:anchor distT="0" distB="0" distL="114935" distR="114935" simplePos="0" relativeHeight="251652096" behindDoc="0" locked="0" layoutInCell="1" allowOverlap="1">
            <wp:simplePos x="0" y="0"/>
            <wp:positionH relativeFrom="column">
              <wp:posOffset>772160</wp:posOffset>
            </wp:positionH>
            <wp:positionV relativeFrom="paragraph">
              <wp:posOffset>-53340</wp:posOffset>
            </wp:positionV>
            <wp:extent cx="2983865" cy="2370455"/>
            <wp:effectExtent l="9525" t="9525" r="16510" b="20320"/>
            <wp:wrapNone/>
            <wp:docPr id="11" name="图片 11" descr="15671535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567153501(1)"/>
                    <pic:cNvPicPr>
                      <a:picLocks noChangeAspect="1"/>
                    </pic:cNvPicPr>
                  </pic:nvPicPr>
                  <pic:blipFill>
                    <a:blip r:embed="rId73"/>
                    <a:stretch>
                      <a:fillRect/>
                    </a:stretch>
                  </pic:blipFill>
                  <pic:spPr>
                    <a:xfrm>
                      <a:off x="0" y="0"/>
                      <a:ext cx="2983865" cy="2370455"/>
                    </a:xfrm>
                    <a:prstGeom prst="rect">
                      <a:avLst/>
                    </a:prstGeom>
                    <a:ln>
                      <a:solidFill>
                        <a:schemeClr val="tx1"/>
                      </a:solidFill>
                    </a:ln>
                  </pic:spPr>
                </pic:pic>
              </a:graphicData>
            </a:graphic>
          </wp:anchor>
        </w:drawing>
      </w:r>
    </w:p>
    <w:p>
      <w:pPr>
        <w:ind w:firstLine="1446" w:firstLineChars="600"/>
        <w:rPr>
          <w:b/>
          <w:color w:val="auto"/>
          <w:sz w:val="24"/>
          <w:highlight w:val="none"/>
        </w:rPr>
      </w:pPr>
    </w:p>
    <w:p>
      <w:pPr>
        <w:ind w:firstLine="1446" w:firstLineChars="600"/>
        <w:rPr>
          <w:b/>
          <w:color w:val="auto"/>
          <w:sz w:val="24"/>
          <w:highlight w:val="none"/>
        </w:rPr>
      </w:pPr>
    </w:p>
    <w:p>
      <w:pPr>
        <w:ind w:firstLine="1446" w:firstLineChars="600"/>
        <w:rPr>
          <w:b/>
          <w:color w:val="auto"/>
          <w:sz w:val="24"/>
          <w:highlight w:val="none"/>
        </w:rPr>
      </w:pPr>
    </w:p>
    <w:p>
      <w:pPr>
        <w:ind w:firstLine="1446" w:firstLineChars="600"/>
        <w:rPr>
          <w:b/>
          <w:color w:val="auto"/>
          <w:sz w:val="24"/>
          <w:highlight w:val="none"/>
        </w:rPr>
      </w:pPr>
    </w:p>
    <w:p>
      <w:pPr>
        <w:ind w:firstLine="1446" w:firstLineChars="600"/>
        <w:rPr>
          <w:b/>
          <w:color w:val="auto"/>
          <w:sz w:val="24"/>
          <w:highlight w:val="none"/>
        </w:rPr>
      </w:pPr>
    </w:p>
    <w:p>
      <w:pPr>
        <w:ind w:firstLine="1446" w:firstLineChars="600"/>
        <w:rPr>
          <w:b/>
          <w:color w:val="auto"/>
          <w:sz w:val="24"/>
          <w:highlight w:val="none"/>
        </w:rPr>
      </w:pPr>
    </w:p>
    <w:p>
      <w:pPr>
        <w:ind w:firstLine="1446" w:firstLineChars="600"/>
        <w:rPr>
          <w:b/>
          <w:color w:val="auto"/>
          <w:sz w:val="24"/>
          <w:highlight w:val="none"/>
        </w:rPr>
      </w:pPr>
    </w:p>
    <w:p>
      <w:pPr>
        <w:ind w:firstLine="1446" w:firstLineChars="600"/>
        <w:rPr>
          <w:b/>
          <w:color w:val="auto"/>
          <w:sz w:val="24"/>
          <w:highlight w:val="none"/>
        </w:rPr>
      </w:pPr>
    </w:p>
    <w:p>
      <w:pPr>
        <w:ind w:firstLine="1446" w:firstLineChars="600"/>
        <w:rPr>
          <w:b/>
          <w:color w:val="auto"/>
          <w:sz w:val="24"/>
          <w:highlight w:val="none"/>
        </w:rPr>
      </w:pPr>
    </w:p>
    <w:p>
      <w:pPr>
        <w:ind w:firstLine="1446" w:firstLineChars="600"/>
        <w:rPr>
          <w:b/>
          <w:color w:val="auto"/>
          <w:sz w:val="24"/>
          <w:highlight w:val="none"/>
        </w:rPr>
      </w:pPr>
    </w:p>
    <w:p>
      <w:pPr>
        <w:ind w:firstLine="1446" w:firstLineChars="600"/>
        <w:rPr>
          <w:b/>
          <w:color w:val="auto"/>
          <w:sz w:val="24"/>
          <w:highlight w:val="none"/>
        </w:rPr>
      </w:pPr>
    </w:p>
    <w:p>
      <w:pPr>
        <w:ind w:firstLine="1446" w:firstLineChars="600"/>
        <w:rPr>
          <w:b/>
          <w:color w:val="auto"/>
          <w:sz w:val="24"/>
          <w:highlight w:val="none"/>
        </w:rPr>
      </w:pPr>
      <w:r>
        <w:rPr>
          <w:b/>
          <w:color w:val="auto"/>
          <w:sz w:val="24"/>
          <w:highlight w:val="none"/>
        </w:rPr>
        <w:t xml:space="preserve">     </w:t>
      </w:r>
      <w:r>
        <w:rPr>
          <w:rFonts w:hint="eastAsia"/>
          <w:b/>
          <w:color w:val="auto"/>
          <w:sz w:val="24"/>
          <w:highlight w:val="none"/>
        </w:rPr>
        <w:t xml:space="preserve">    </w:t>
      </w:r>
      <w:r>
        <w:rPr>
          <w:b/>
          <w:color w:val="auto"/>
          <w:sz w:val="24"/>
          <w:highlight w:val="none"/>
        </w:rPr>
        <w:t>项目</w:t>
      </w:r>
      <w:r>
        <w:rPr>
          <w:rFonts w:hint="eastAsia"/>
          <w:b/>
          <w:color w:val="auto"/>
          <w:sz w:val="24"/>
          <w:highlight w:val="none"/>
        </w:rPr>
        <w:t>东面宜居卫浴厂</w:t>
      </w:r>
      <w:r>
        <w:rPr>
          <w:b/>
          <w:color w:val="auto"/>
          <w:sz w:val="24"/>
          <w:highlight w:val="none"/>
        </w:rPr>
        <w:t xml:space="preserve">       </w:t>
      </w:r>
      <w:r>
        <w:rPr>
          <w:rFonts w:hint="eastAsia"/>
          <w:b/>
          <w:color w:val="auto"/>
          <w:sz w:val="24"/>
          <w:highlight w:val="none"/>
        </w:rPr>
        <w:t xml:space="preserve">       </w:t>
      </w:r>
      <w:r>
        <w:rPr>
          <w:b/>
          <w:color w:val="auto"/>
          <w:sz w:val="24"/>
          <w:highlight w:val="none"/>
        </w:rPr>
        <w:t xml:space="preserve">  </w:t>
      </w:r>
      <w:r>
        <w:rPr>
          <w:rFonts w:hint="eastAsia"/>
          <w:b/>
          <w:color w:val="auto"/>
          <w:sz w:val="24"/>
          <w:highlight w:val="none"/>
        </w:rPr>
        <w:t xml:space="preserve">             </w:t>
      </w:r>
      <w:r>
        <w:rPr>
          <w:b/>
          <w:color w:val="auto"/>
          <w:sz w:val="24"/>
          <w:highlight w:val="none"/>
        </w:rPr>
        <w:t xml:space="preserve"> </w:t>
      </w:r>
      <w:r>
        <w:rPr>
          <w:rFonts w:hint="eastAsia"/>
          <w:b/>
          <w:color w:val="auto"/>
          <w:sz w:val="24"/>
          <w:highlight w:val="none"/>
        </w:rPr>
        <w:t xml:space="preserve">    </w:t>
      </w:r>
      <w:r>
        <w:rPr>
          <w:b/>
          <w:color w:val="auto"/>
          <w:sz w:val="24"/>
          <w:highlight w:val="none"/>
        </w:rPr>
        <w:t xml:space="preserve">  项目</w:t>
      </w:r>
      <w:r>
        <w:rPr>
          <w:rFonts w:hint="eastAsia"/>
          <w:b/>
          <w:color w:val="auto"/>
          <w:sz w:val="24"/>
          <w:highlight w:val="none"/>
        </w:rPr>
        <w:t>南面工业厂房</w:t>
      </w:r>
    </w:p>
    <w:p>
      <w:pPr>
        <w:ind w:firstLine="708" w:firstLineChars="294"/>
        <w:rPr>
          <w:b/>
          <w:color w:val="auto"/>
          <w:sz w:val="24"/>
          <w:highlight w:val="none"/>
        </w:rPr>
      </w:pPr>
      <w:r>
        <w:rPr>
          <w:b/>
          <w:color w:val="auto"/>
          <w:sz w:val="24"/>
          <w:highlight w:val="none"/>
        </w:rPr>
        <w:drawing>
          <wp:anchor distT="0" distB="0" distL="114935" distR="114935" simplePos="0" relativeHeight="251650048" behindDoc="0" locked="0" layoutInCell="1" allowOverlap="1">
            <wp:simplePos x="0" y="0"/>
            <wp:positionH relativeFrom="column">
              <wp:posOffset>4907915</wp:posOffset>
            </wp:positionH>
            <wp:positionV relativeFrom="paragraph">
              <wp:posOffset>63500</wp:posOffset>
            </wp:positionV>
            <wp:extent cx="2855595" cy="2360295"/>
            <wp:effectExtent l="9525" t="9525" r="11430" b="11430"/>
            <wp:wrapNone/>
            <wp:docPr id="8" name="图片 8" descr="1567153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567153178(1)"/>
                    <pic:cNvPicPr>
                      <a:picLocks noChangeAspect="1"/>
                    </pic:cNvPicPr>
                  </pic:nvPicPr>
                  <pic:blipFill>
                    <a:blip r:embed="rId74"/>
                    <a:stretch>
                      <a:fillRect/>
                    </a:stretch>
                  </pic:blipFill>
                  <pic:spPr>
                    <a:xfrm>
                      <a:off x="0" y="0"/>
                      <a:ext cx="2855595" cy="2360295"/>
                    </a:xfrm>
                    <a:prstGeom prst="rect">
                      <a:avLst/>
                    </a:prstGeom>
                    <a:ln>
                      <a:solidFill>
                        <a:schemeClr val="tx1"/>
                      </a:solidFill>
                    </a:ln>
                  </pic:spPr>
                </pic:pic>
              </a:graphicData>
            </a:graphic>
          </wp:anchor>
        </w:drawing>
      </w:r>
      <w:r>
        <w:rPr>
          <w:rFonts w:hint="eastAsia"/>
          <w:b/>
          <w:color w:val="auto"/>
          <w:sz w:val="24"/>
          <w:highlight w:val="none"/>
        </w:rPr>
        <w:drawing>
          <wp:anchor distT="0" distB="0" distL="114935" distR="114935" simplePos="0" relativeHeight="251651072" behindDoc="0" locked="0" layoutInCell="1" allowOverlap="1">
            <wp:simplePos x="0" y="0"/>
            <wp:positionH relativeFrom="column">
              <wp:posOffset>768350</wp:posOffset>
            </wp:positionH>
            <wp:positionV relativeFrom="paragraph">
              <wp:posOffset>100965</wp:posOffset>
            </wp:positionV>
            <wp:extent cx="3011805" cy="2351405"/>
            <wp:effectExtent l="9525" t="9525" r="26670" b="20320"/>
            <wp:wrapNone/>
            <wp:docPr id="9" name="图片 9" descr="156715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567153353"/>
                    <pic:cNvPicPr>
                      <a:picLocks noChangeAspect="1"/>
                    </pic:cNvPicPr>
                  </pic:nvPicPr>
                  <pic:blipFill>
                    <a:blip r:embed="rId75"/>
                    <a:stretch>
                      <a:fillRect/>
                    </a:stretch>
                  </pic:blipFill>
                  <pic:spPr>
                    <a:xfrm>
                      <a:off x="0" y="0"/>
                      <a:ext cx="3011805" cy="2351405"/>
                    </a:xfrm>
                    <a:prstGeom prst="rect">
                      <a:avLst/>
                    </a:prstGeom>
                    <a:ln>
                      <a:solidFill>
                        <a:schemeClr val="tx1"/>
                      </a:solidFill>
                    </a:ln>
                  </pic:spPr>
                </pic:pic>
              </a:graphicData>
            </a:graphic>
          </wp:anchor>
        </w:drawing>
      </w:r>
    </w:p>
    <w:p>
      <w:pPr>
        <w:ind w:firstLine="708" w:firstLineChars="294"/>
        <w:rPr>
          <w:b/>
          <w:color w:val="auto"/>
          <w:sz w:val="24"/>
          <w:highlight w:val="none"/>
        </w:rPr>
      </w:pPr>
    </w:p>
    <w:p>
      <w:pPr>
        <w:ind w:firstLine="708" w:firstLineChars="294"/>
        <w:rPr>
          <w:b/>
          <w:color w:val="auto"/>
          <w:sz w:val="24"/>
          <w:highlight w:val="none"/>
        </w:rPr>
      </w:pPr>
    </w:p>
    <w:p>
      <w:pPr>
        <w:ind w:firstLine="708" w:firstLineChars="294"/>
        <w:rPr>
          <w:b/>
          <w:color w:val="auto"/>
          <w:sz w:val="24"/>
          <w:highlight w:val="none"/>
        </w:rPr>
      </w:pPr>
    </w:p>
    <w:p>
      <w:pPr>
        <w:ind w:firstLine="708" w:firstLineChars="294"/>
        <w:rPr>
          <w:b/>
          <w:color w:val="auto"/>
          <w:sz w:val="24"/>
          <w:highlight w:val="none"/>
        </w:rPr>
      </w:pPr>
    </w:p>
    <w:p>
      <w:pPr>
        <w:ind w:firstLine="708" w:firstLineChars="294"/>
        <w:rPr>
          <w:b/>
          <w:color w:val="auto"/>
          <w:sz w:val="24"/>
          <w:highlight w:val="none"/>
        </w:rPr>
      </w:pPr>
    </w:p>
    <w:p>
      <w:pPr>
        <w:ind w:firstLine="708" w:firstLineChars="294"/>
        <w:rPr>
          <w:b/>
          <w:color w:val="auto"/>
          <w:sz w:val="24"/>
          <w:highlight w:val="none"/>
        </w:rPr>
      </w:pPr>
    </w:p>
    <w:p>
      <w:pPr>
        <w:ind w:firstLine="708" w:firstLineChars="294"/>
        <w:rPr>
          <w:b/>
          <w:color w:val="auto"/>
          <w:sz w:val="24"/>
          <w:highlight w:val="none"/>
        </w:rPr>
      </w:pPr>
    </w:p>
    <w:p>
      <w:pPr>
        <w:ind w:firstLine="708" w:firstLineChars="294"/>
        <w:rPr>
          <w:b/>
          <w:color w:val="auto"/>
          <w:sz w:val="24"/>
          <w:highlight w:val="none"/>
        </w:rPr>
      </w:pPr>
    </w:p>
    <w:p>
      <w:pPr>
        <w:ind w:firstLine="708" w:firstLineChars="294"/>
        <w:rPr>
          <w:b/>
          <w:color w:val="auto"/>
          <w:sz w:val="24"/>
          <w:highlight w:val="none"/>
        </w:rPr>
      </w:pPr>
    </w:p>
    <w:p>
      <w:pPr>
        <w:ind w:firstLine="708" w:firstLineChars="294"/>
        <w:rPr>
          <w:b/>
          <w:color w:val="auto"/>
          <w:sz w:val="24"/>
          <w:highlight w:val="none"/>
        </w:rPr>
      </w:pPr>
    </w:p>
    <w:p>
      <w:pPr>
        <w:ind w:firstLine="708" w:firstLineChars="294"/>
        <w:rPr>
          <w:b/>
          <w:color w:val="auto"/>
          <w:sz w:val="24"/>
          <w:highlight w:val="none"/>
        </w:rPr>
      </w:pPr>
    </w:p>
    <w:p>
      <w:pPr>
        <w:ind w:firstLine="964" w:firstLineChars="400"/>
        <w:rPr>
          <w:b/>
          <w:color w:val="auto"/>
          <w:sz w:val="24"/>
          <w:highlight w:val="none"/>
        </w:rPr>
      </w:pPr>
      <w:r>
        <w:rPr>
          <w:rFonts w:hint="eastAsia"/>
          <w:b/>
          <w:color w:val="auto"/>
          <w:sz w:val="24"/>
          <w:highlight w:val="none"/>
        </w:rPr>
        <w:t xml:space="preserve"> </w:t>
      </w:r>
      <w:r>
        <w:rPr>
          <w:b/>
          <w:color w:val="auto"/>
          <w:sz w:val="24"/>
          <w:highlight w:val="none"/>
        </w:rPr>
        <w:t xml:space="preserve">         </w:t>
      </w:r>
      <w:r>
        <w:rPr>
          <w:rFonts w:hint="eastAsia"/>
          <w:b/>
          <w:color w:val="auto"/>
          <w:sz w:val="24"/>
          <w:highlight w:val="none"/>
        </w:rPr>
        <w:t xml:space="preserve"> </w:t>
      </w:r>
    </w:p>
    <w:p>
      <w:pPr>
        <w:ind w:firstLine="2409" w:firstLineChars="1000"/>
        <w:rPr>
          <w:b/>
          <w:bCs/>
          <w:color w:val="auto"/>
          <w:sz w:val="24"/>
          <w:highlight w:val="none"/>
        </w:rPr>
      </w:pPr>
      <w:r>
        <w:rPr>
          <w:b/>
          <w:color w:val="auto"/>
          <w:sz w:val="24"/>
          <w:highlight w:val="none"/>
        </w:rPr>
        <w:t>项目西面</w:t>
      </w:r>
      <w:r>
        <w:rPr>
          <w:rFonts w:hint="eastAsia"/>
          <w:b/>
          <w:color w:val="auto"/>
          <w:sz w:val="24"/>
          <w:highlight w:val="none"/>
        </w:rPr>
        <w:t>合成钢材厂</w:t>
      </w:r>
      <w:r>
        <w:rPr>
          <w:b/>
          <w:color w:val="auto"/>
          <w:sz w:val="24"/>
          <w:highlight w:val="none"/>
        </w:rPr>
        <w:t xml:space="preserve">          </w:t>
      </w:r>
      <w:r>
        <w:rPr>
          <w:rFonts w:hint="eastAsia"/>
          <w:b/>
          <w:color w:val="auto"/>
          <w:sz w:val="24"/>
          <w:highlight w:val="none"/>
        </w:rPr>
        <w:t xml:space="preserve">                       </w:t>
      </w:r>
      <w:r>
        <w:rPr>
          <w:b/>
          <w:color w:val="auto"/>
          <w:sz w:val="24"/>
          <w:highlight w:val="none"/>
        </w:rPr>
        <w:t xml:space="preserve"> 项目北面</w:t>
      </w:r>
      <w:r>
        <w:rPr>
          <w:rFonts w:hint="eastAsia"/>
          <w:b/>
          <w:color w:val="auto"/>
          <w:sz w:val="24"/>
          <w:highlight w:val="none"/>
        </w:rPr>
        <w:t>佳华不锈钢管厂</w:t>
      </w:r>
    </w:p>
    <w:p>
      <w:pPr>
        <w:rPr>
          <w:color w:val="auto"/>
          <w:highlight w:val="none"/>
        </w:rPr>
      </w:pPr>
    </w:p>
    <w:p>
      <w:pPr>
        <w:pStyle w:val="38"/>
        <w:spacing w:before="0"/>
        <w:rPr>
          <w:rFonts w:ascii="Times New Roman" w:hAnsi="Times New Roman"/>
          <w:color w:val="auto"/>
          <w:sz w:val="24"/>
          <w:szCs w:val="24"/>
          <w:highlight w:val="none"/>
        </w:rPr>
        <w:sectPr>
          <w:pgSz w:w="16840" w:h="11907" w:orient="landscape"/>
          <w:pgMar w:top="1304" w:right="1418" w:bottom="1304" w:left="1418" w:header="851" w:footer="851" w:gutter="0"/>
          <w:cols w:space="425" w:num="1"/>
          <w:docGrid w:type="lines" w:linePitch="312" w:charSpace="0"/>
        </w:sectPr>
      </w:pPr>
      <w:r>
        <w:rPr>
          <w:rFonts w:ascii="Times New Roman" w:hAnsi="Times New Roman"/>
          <w:color w:val="auto"/>
          <w:sz w:val="24"/>
          <w:szCs w:val="24"/>
          <w:highlight w:val="none"/>
        </w:rPr>
        <w:t>附图</w:t>
      </w:r>
      <w:r>
        <w:rPr>
          <w:rFonts w:hint="eastAsia" w:ascii="Times New Roman" w:hAnsi="Times New Roman"/>
          <w:color w:val="auto"/>
          <w:sz w:val="24"/>
          <w:szCs w:val="24"/>
          <w:highlight w:val="none"/>
        </w:rPr>
        <w:t>5</w:t>
      </w:r>
      <w:r>
        <w:rPr>
          <w:rFonts w:ascii="Times New Roman" w:hAnsi="Times New Roman"/>
          <w:color w:val="auto"/>
          <w:sz w:val="24"/>
          <w:szCs w:val="24"/>
          <w:highlight w:val="none"/>
        </w:rPr>
        <w:t xml:space="preserve"> 项目四至情况布置图</w:t>
      </w:r>
    </w:p>
    <w:p>
      <w:pPr>
        <w:jc w:val="center"/>
        <w:rPr>
          <w:color w:val="auto"/>
          <w:highlight w:val="none"/>
        </w:rPr>
      </w:pPr>
      <w:r>
        <w:rPr>
          <w:color w:val="auto"/>
          <w:highlight w:val="none"/>
        </w:rPr>
        <w:pict>
          <v:shape id="_x0000_s1249" o:spid="_x0000_s1249" o:spt="61" type="#_x0000_t61" style="position:absolute;left:0pt;margin-left:312.05pt;margin-top:30.2pt;height:24pt;width:87pt;z-index:251673600;mso-width-relative:page;mso-height-relative:page;" stroked="t" coordsize="21600,21600" adj="-7240,45895">
            <v:path/>
            <v:fill focussize="0,0"/>
            <v:stroke color="#FF0000" joinstyle="miter"/>
            <v:imagedata o:title=""/>
            <o:lock v:ext="edit"/>
            <v:textbox>
              <w:txbxContent>
                <w:p>
                  <w:pPr>
                    <w:rPr>
                      <w:sz w:val="24"/>
                    </w:rPr>
                  </w:pPr>
                  <w:r>
                    <w:rPr>
                      <w:rFonts w:hint="eastAsia"/>
                      <w:sz w:val="24"/>
                    </w:rPr>
                    <w:t>本项目位置</w:t>
                  </w:r>
                </w:p>
              </w:txbxContent>
            </v:textbox>
          </v:shape>
        </w:pict>
      </w:r>
      <w:r>
        <w:rPr>
          <w:color w:val="auto"/>
          <w:highlight w:val="none"/>
        </w:rPr>
        <w:pict>
          <v:shape id="_x0000_s1250" o:spid="_x0000_s1250" o:spt="12" type="#_x0000_t12" style="position:absolute;left:0pt;margin-left:276.15pt;margin-top:79.95pt;height:8pt;width:8pt;z-index:251674624;mso-width-relative:page;mso-height-relative:page;" fillcolor="#FF0000" filled="t" stroked="t" coordsize="21600,21600">
            <v:path/>
            <v:fill on="t" focussize="0,0"/>
            <v:stroke color="#FF0000" joinstyle="miter"/>
            <v:imagedata o:title=""/>
            <o:lock v:ext="edit"/>
          </v:shape>
        </w:pict>
      </w:r>
      <w:r>
        <w:rPr>
          <w:color w:val="auto"/>
          <w:highlight w:val="none"/>
        </w:rPr>
        <w:drawing>
          <wp:anchor distT="0" distB="0" distL="114300" distR="114300" simplePos="0" relativeHeight="251658240" behindDoc="0" locked="0" layoutInCell="1" allowOverlap="1">
            <wp:simplePos x="0" y="0"/>
            <wp:positionH relativeFrom="column">
              <wp:posOffset>8065770</wp:posOffset>
            </wp:positionH>
            <wp:positionV relativeFrom="paragraph">
              <wp:posOffset>75565</wp:posOffset>
            </wp:positionV>
            <wp:extent cx="406400" cy="914400"/>
            <wp:effectExtent l="0" t="0" r="12700" b="0"/>
            <wp:wrapNone/>
            <wp:docPr id="29"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77"/>
                    <pic:cNvPicPr>
                      <a:picLocks noChangeAspect="1"/>
                    </pic:cNvPicPr>
                  </pic:nvPicPr>
                  <pic:blipFill>
                    <a:blip r:embed="rId67"/>
                    <a:stretch>
                      <a:fillRect/>
                    </a:stretch>
                  </pic:blipFill>
                  <pic:spPr>
                    <a:xfrm>
                      <a:off x="0" y="0"/>
                      <a:ext cx="406400" cy="914400"/>
                    </a:xfrm>
                    <a:prstGeom prst="rect">
                      <a:avLst/>
                    </a:prstGeom>
                    <a:noFill/>
                    <a:ln>
                      <a:noFill/>
                    </a:ln>
                  </pic:spPr>
                </pic:pic>
              </a:graphicData>
            </a:graphic>
          </wp:anchor>
        </w:drawing>
      </w:r>
      <w:r>
        <w:rPr>
          <w:color w:val="auto"/>
          <w:highlight w:val="none"/>
        </w:rPr>
        <w:pict>
          <v:shape id="_x0000_s1247" o:spid="_x0000_s1247" o:spt="61" type="#_x0000_t61" style="position:absolute;left:0pt;margin-left:557.45pt;margin-top:284.95pt;height:24pt;width:101.3pt;z-index:251675648;mso-width-relative:page;mso-height-relative:page;" stroked="t" coordsize="21600,21600" adj="682,66915">
            <v:path/>
            <v:fill focussize="0,0"/>
            <v:stroke color="#FF0000" joinstyle="miter"/>
            <v:imagedata o:title=""/>
            <o:lock v:ext="edit"/>
            <v:textbox>
              <w:txbxContent>
                <w:p>
                  <w:pPr>
                    <w:rPr>
                      <w:sz w:val="24"/>
                    </w:rPr>
                  </w:pPr>
                  <w:r>
                    <w:rPr>
                      <w:rFonts w:hint="eastAsia"/>
                      <w:sz w:val="24"/>
                    </w:rPr>
                    <w:t>水口污水处理厂</w:t>
                  </w:r>
                </w:p>
              </w:txbxContent>
            </v:textbox>
          </v:shape>
        </w:pict>
      </w:r>
      <w:r>
        <w:rPr>
          <w:color w:val="auto"/>
          <w:highlight w:val="none"/>
        </w:rPr>
        <w:pict>
          <v:shape id="_x0000_s1248" o:spid="_x0000_s1248" o:spt="12" type="#_x0000_t12" style="position:absolute;left:0pt;margin-left:554.8pt;margin-top:359.1pt;height:8pt;width:8pt;z-index:251676672;mso-width-relative:page;mso-height-relative:page;" fillcolor="#FF0000" filled="t" stroked="t" coordsize="21600,21600">
            <v:path/>
            <v:fill on="t" focussize="0,0"/>
            <v:stroke color="#FF0000" joinstyle="miter"/>
            <v:imagedata o:title=""/>
            <o:lock v:ext="edit"/>
          </v:shape>
        </w:pict>
      </w:r>
      <w:r>
        <w:rPr>
          <w:rFonts w:hint="eastAsia"/>
          <w:color w:val="auto"/>
          <w:highlight w:val="none"/>
        </w:rPr>
        <w:drawing>
          <wp:inline distT="0" distB="0" distL="114300" distR="114300">
            <wp:extent cx="8060690" cy="5380355"/>
            <wp:effectExtent l="12700" t="12700" r="22860" b="17145"/>
            <wp:docPr id="19" name="图片 19" descr="cfc7c2970eabe6eda6382911b0986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fc7c2970eabe6eda6382911b0986b2"/>
                    <pic:cNvPicPr>
                      <a:picLocks noChangeAspect="1"/>
                    </pic:cNvPicPr>
                  </pic:nvPicPr>
                  <pic:blipFill>
                    <a:blip r:embed="rId76"/>
                    <a:srcRect/>
                    <a:stretch>
                      <a:fillRect/>
                    </a:stretch>
                  </pic:blipFill>
                  <pic:spPr>
                    <a:xfrm>
                      <a:off x="0" y="0"/>
                      <a:ext cx="8060690" cy="5380355"/>
                    </a:xfrm>
                    <a:prstGeom prst="rect">
                      <a:avLst/>
                    </a:prstGeom>
                    <a:ln w="12700" cmpd="sng">
                      <a:solidFill>
                        <a:schemeClr val="tx1"/>
                      </a:solidFill>
                      <a:prstDash val="solid"/>
                    </a:ln>
                  </pic:spPr>
                </pic:pic>
              </a:graphicData>
            </a:graphic>
          </wp:inline>
        </w:drawing>
      </w:r>
    </w:p>
    <w:p>
      <w:pPr>
        <w:pStyle w:val="38"/>
        <w:spacing w:before="0"/>
        <w:rPr>
          <w:rFonts w:ascii="Times New Roman" w:hAnsi="Times New Roman"/>
          <w:color w:val="auto"/>
          <w:sz w:val="24"/>
          <w:szCs w:val="24"/>
          <w:highlight w:val="none"/>
        </w:rPr>
        <w:sectPr>
          <w:headerReference r:id="rId22" w:type="default"/>
          <w:footerReference r:id="rId23" w:type="default"/>
          <w:pgSz w:w="16840" w:h="11907" w:orient="landscape"/>
          <w:pgMar w:top="1304" w:right="1418" w:bottom="1304" w:left="1418" w:header="851" w:footer="851" w:gutter="0"/>
          <w:cols w:space="425" w:num="1"/>
          <w:docGrid w:type="lines" w:linePitch="312" w:charSpace="0"/>
        </w:sectPr>
      </w:pPr>
      <w:r>
        <w:rPr>
          <w:rFonts w:ascii="Times New Roman" w:hAnsi="Times New Roman"/>
          <w:color w:val="auto"/>
          <w:sz w:val="24"/>
          <w:szCs w:val="24"/>
          <w:highlight w:val="none"/>
        </w:rPr>
        <w:t>附图</w:t>
      </w:r>
      <w:r>
        <w:rPr>
          <w:rFonts w:hint="eastAsia" w:ascii="Times New Roman" w:hAnsi="Times New Roman"/>
          <w:color w:val="auto"/>
          <w:sz w:val="24"/>
          <w:szCs w:val="24"/>
          <w:highlight w:val="none"/>
          <w:lang w:val="en-US" w:eastAsia="zh-CN"/>
        </w:rPr>
        <w:t>6</w:t>
      </w:r>
      <w:r>
        <w:rPr>
          <w:rFonts w:ascii="Times New Roman" w:hAnsi="Times New Roman"/>
          <w:color w:val="auto"/>
          <w:sz w:val="24"/>
          <w:szCs w:val="24"/>
          <w:highlight w:val="none"/>
        </w:rPr>
        <w:t xml:space="preserve"> </w:t>
      </w:r>
      <w:r>
        <w:rPr>
          <w:rFonts w:hint="eastAsia" w:ascii="Times New Roman" w:hAnsi="Times New Roman"/>
          <w:color w:val="auto"/>
          <w:sz w:val="24"/>
          <w:szCs w:val="24"/>
          <w:highlight w:val="none"/>
        </w:rPr>
        <w:t>开平市水口污水处理厂污水管网布置图</w:t>
      </w:r>
    </w:p>
    <w:p>
      <w:pPr>
        <w:pStyle w:val="47"/>
        <w:rPr>
          <w:rFonts w:ascii="Times New Roman" w:cs="Times New Roman"/>
          <w:color w:val="auto"/>
          <w:highlight w:val="none"/>
        </w:rPr>
      </w:pPr>
      <w:r>
        <w:rPr>
          <w:rFonts w:ascii="Times New Roman" w:cs="Times New Roman"/>
          <w:color w:val="auto"/>
          <w:highlight w:val="none"/>
        </w:rPr>
        <w:pict>
          <v:shape id="圆角矩形标注 85" o:spid="_x0000_s1251" o:spt="62" type="#_x0000_t62" style="position:absolute;left:0pt;margin-left:273.55pt;margin-top:75.5pt;height:24.7pt;width:90pt;z-index:497401856;mso-width-relative:page;mso-height-relative:page;" fillcolor="#FFFFFF" filled="t" stroked="t" coordsize="21600,21600" o:gfxdata="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VhkQ11wAAAAsBAAAPAAAAAAAAAAEAIAAAACIAAABk&#10;cnMvZG93bnJldi54bWxQSwECFAAUAAAACACHTuJAwqvDZnkCAADQBAAADgAAAAAAAAABACAAAAAm&#10;AQAAZHJzL2Uyb0RvYy54bWxQSwUGAAAAAAYABgBZAQAAEQYAAAAA&#10;" adj="-2434,52819,14400">
            <v:path/>
            <v:fill on="t" focussize="0,0"/>
            <v:stroke color="#000000" miterlimit="8" joinstyle="miter"/>
            <v:imagedata o:title=""/>
            <o:lock v:ext="edit" aspectratio="f"/>
            <v:textbox>
              <w:txbxContent>
                <w:p>
                  <w:r>
                    <w:rPr>
                      <w:rFonts w:hint="eastAsia"/>
                    </w:rPr>
                    <w:t>建设项目：二类</w:t>
                  </w:r>
                </w:p>
              </w:txbxContent>
            </v:textbox>
          </v:shape>
        </w:pict>
      </w:r>
      <w:r>
        <w:rPr>
          <w:rFonts w:ascii="Times New Roman" w:cs="Times New Roman"/>
          <w:color w:val="auto"/>
          <w:highlight w:val="none"/>
        </w:rPr>
        <w:pict>
          <v:shape id="五角星 87" o:spid="_x0000_s1252" style="position:absolute;left:0pt;margin-left:258.55pt;margin-top:134.25pt;height:8pt;width:7.45pt;z-index:497402880;mso-width-relative:page;mso-height-relative:page;" fillcolor="#FF0000" filled="t" stroked="t" coordsize="94615,101600" o:gfxdata="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xe&#10;HZnaAAAACwEAAA8AAAAAAAAAAQAgAAAAIgAAAGRycy9kb3ducmV2LnhtbFBLAQIUABQAAAAIAIdO&#10;4kBv7bLVIQIAADMEAAAOAAAAAAAAAAEAIAAAACkBAABkcnMvZTJvRG9jLnhtbFBLBQYAAAAABgAG&#10;AFkBAAC8BQAAAAA=&#10;" path="m0,38807l36139,38807,47307,0,58475,38807,94614,38807,65377,62791,76545,101599,47307,77614,18069,101599,29237,62791xe">
            <v:path o:connectlocs="47307,0;0,38807;18069,101599;76545,101599;94614,38807" o:connectangles="247,164,82,82,0"/>
            <v:fill on="t" focussize="0,0"/>
            <v:stroke color="#FF0000" miterlimit="8" joinstyle="miter"/>
            <v:imagedata o:title=""/>
            <o:lock v:ext="edit" aspectratio="f"/>
          </v:shape>
        </w:pict>
      </w:r>
      <w:r>
        <w:rPr>
          <w:rFonts w:ascii="Times New Roman" w:cs="Times New Roman"/>
          <w:color w:val="auto"/>
          <w:highlight w:val="none"/>
        </w:rPr>
        <w:drawing>
          <wp:inline distT="0" distB="0" distL="114300" distR="114300">
            <wp:extent cx="5540375" cy="5752465"/>
            <wp:effectExtent l="12700" t="12700" r="28575" b="26035"/>
            <wp:docPr id="86" name="图片 3" descr="江门市环境空气质量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 descr="江门市环境空气质量功能区划图"/>
                    <pic:cNvPicPr>
                      <a:picLocks noChangeAspect="1"/>
                    </pic:cNvPicPr>
                  </pic:nvPicPr>
                  <pic:blipFill>
                    <a:blip r:embed="rId77"/>
                    <a:stretch>
                      <a:fillRect/>
                    </a:stretch>
                  </pic:blipFill>
                  <pic:spPr>
                    <a:xfrm>
                      <a:off x="0" y="0"/>
                      <a:ext cx="5540375" cy="5752465"/>
                    </a:xfrm>
                    <a:prstGeom prst="rect">
                      <a:avLst/>
                    </a:prstGeom>
                    <a:noFill/>
                    <a:ln w="12700" cap="flat" cmpd="sng">
                      <a:solidFill>
                        <a:srgbClr val="000000"/>
                      </a:solidFill>
                      <a:prstDash val="solid"/>
                      <a:round/>
                      <a:headEnd type="none" w="med" len="med"/>
                      <a:tailEnd type="none" w="med" len="med"/>
                    </a:ln>
                  </pic:spPr>
                </pic:pic>
              </a:graphicData>
            </a:graphic>
          </wp:inline>
        </w:drawing>
      </w:r>
    </w:p>
    <w:p>
      <w:pPr>
        <w:pStyle w:val="38"/>
        <w:spacing w:before="0"/>
        <w:rPr>
          <w:rFonts w:hint="eastAsia" w:ascii="Times New Roman" w:hAnsi="Times New Roman" w:eastAsia="宋体"/>
          <w:color w:val="auto"/>
          <w:sz w:val="24"/>
          <w:szCs w:val="24"/>
          <w:highlight w:val="none"/>
          <w:lang w:eastAsia="zh-CN"/>
        </w:rPr>
        <w:sectPr>
          <w:pgSz w:w="11906" w:h="16838"/>
          <w:pgMar w:top="1361" w:right="1418" w:bottom="1361" w:left="1418" w:header="851" w:footer="992" w:gutter="0"/>
          <w:pgBorders>
            <w:top w:val="none" w:sz="0" w:space="0"/>
            <w:left w:val="none" w:sz="0" w:space="0"/>
            <w:bottom w:val="none" w:sz="0" w:space="0"/>
            <w:right w:val="none" w:sz="0" w:space="0"/>
          </w:pgBorders>
          <w:cols w:space="720" w:num="1"/>
          <w:docGrid w:type="linesAndChars" w:linePitch="312" w:charSpace="0"/>
        </w:sectPr>
      </w:pPr>
      <w:r>
        <w:rPr>
          <w:rFonts w:ascii="Times New Roman" w:hAnsi="Times New Roman"/>
          <w:color w:val="auto"/>
          <w:sz w:val="24"/>
          <w:szCs w:val="24"/>
          <w:highlight w:val="none"/>
        </w:rPr>
        <w:t>附图</w:t>
      </w:r>
      <w:r>
        <w:rPr>
          <w:rFonts w:hint="eastAsia" w:ascii="Times New Roman" w:hAnsi="Times New Roman"/>
          <w:color w:val="auto"/>
          <w:sz w:val="24"/>
          <w:szCs w:val="24"/>
          <w:highlight w:val="none"/>
          <w:lang w:val="en-US" w:eastAsia="zh-CN"/>
        </w:rPr>
        <w:t>7</w:t>
      </w:r>
      <w:r>
        <w:rPr>
          <w:rFonts w:ascii="Times New Roman" w:hAnsi="Times New Roman"/>
          <w:color w:val="auto"/>
          <w:sz w:val="24"/>
          <w:szCs w:val="24"/>
          <w:highlight w:val="none"/>
        </w:rPr>
        <w:t xml:space="preserve"> 项目大气环境区划图</w:t>
      </w:r>
    </w:p>
    <w:p>
      <w:pPr>
        <w:pStyle w:val="47"/>
        <w:jc w:val="both"/>
        <w:rPr>
          <w:rFonts w:hint="eastAsia" w:ascii="Times New Roman" w:eastAsia="宋体" w:cs="Times New Roman"/>
          <w:b/>
          <w:bCs/>
          <w:color w:val="auto"/>
          <w:sz w:val="21"/>
          <w:szCs w:val="21"/>
          <w:highlight w:val="none"/>
          <w:lang w:eastAsia="zh-CN"/>
        </w:rPr>
      </w:pPr>
      <w:r>
        <w:rPr>
          <w:rFonts w:ascii="Times New Roman" w:cs="Times New Roman"/>
          <w:color w:val="auto"/>
          <w:highlight w:val="none"/>
        </w:rPr>
        <w:pict>
          <v:shape id="圆角矩形标注 89" o:spid="_x0000_s1253" o:spt="62" type="#_x0000_t62" style="position:absolute;left:0pt;margin-left:262.35pt;margin-top:78.65pt;height:24.7pt;width:92.85pt;z-index:497403904;mso-width-relative:page;mso-height-relative:page;" fillcolor="#FFFFFF" filled="t" stroked="t" coordsize="21600,21600" o:gfxdata="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1jtfx2QAAAAoBAAAPAAAAAAAAAAEAIAAAACIAAABkcnMvZG93&#10;bnJldi54bWxQSwECFAAUAAAACACHTuJAKnSNw3ECAADQBAAADgAAAAAAAAABACAAAAAoAQAAZHJz&#10;L2Uyb0RvYy54bWxQSwUGAAAAAAYABgBZAQAACwYAAAAA&#10;" adj="-2108,53475">
            <v:path/>
            <v:fill on="t" color2="#FFFFFF" focussize="0,0"/>
            <v:stroke color="#000000" miterlimit="8" joinstyle="miter"/>
            <v:imagedata o:title=""/>
            <o:lock v:ext="edit" aspectratio="f"/>
            <v:textbox>
              <w:txbxContent>
                <w:p>
                  <w:pPr>
                    <w:rPr>
                      <w:szCs w:val="21"/>
                    </w:rPr>
                  </w:pPr>
                  <w:r>
                    <w:rPr>
                      <w:rFonts w:hint="eastAsia"/>
                      <w:szCs w:val="21"/>
                    </w:rPr>
                    <w:t>项目位置：</w:t>
                  </w:r>
                  <w:r>
                    <w:t>Ⅱ类</w:t>
                  </w:r>
                </w:p>
              </w:txbxContent>
            </v:textbox>
          </v:shape>
        </w:pict>
      </w:r>
      <w:r>
        <w:rPr>
          <w:rFonts w:ascii="Times New Roman" w:cs="Times New Roman"/>
          <w:color w:val="auto"/>
          <w:highlight w:val="none"/>
        </w:rPr>
        <w:pict>
          <v:shape id="五角星 94" o:spid="_x0000_s1254" style="position:absolute;left:0pt;margin-left:246.9pt;margin-top:138.35pt;height:8pt;width:7.45pt;z-index:497404928;mso-width-relative:page;mso-height-relative:page;" fillcolor="#FF0000" filled="t" stroked="t" coordsize="94615,101600" o:gfxdata="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d&#10;vxDU2wAAAAsBAAAPAAAAAAAAAAEAIAAAACIAAABkcnMvZG93bnJldi54bWxQSwECFAAUAAAACACH&#10;TuJAWw4KBCECAAAzBAAADgAAAAAAAAABACAAAAAqAQAAZHJzL2Uyb0RvYy54bWxQSwUGAAAAAAYA&#10;BgBZAQAAvQUAAAAA&#10;" path="m0,38807l36139,38807,47307,0,58475,38807,94614,38807,65377,62791,76545,101599,47307,77614,18069,101599,29237,62791xe">
            <v:path o:connectlocs="47307,0;0,38807;18069,101599;76545,101599;94614,38807" o:connectangles="247,164,82,82,0"/>
            <v:fill on="t" focussize="0,0"/>
            <v:stroke color="#FF0000" miterlimit="8" joinstyle="miter"/>
            <v:imagedata o:title=""/>
            <o:lock v:ext="edit" aspectratio="f"/>
          </v:shape>
        </w:pict>
      </w:r>
      <w:r>
        <w:rPr>
          <w:rFonts w:hint="eastAsia" w:ascii="Times New Roman" w:hAnsi="Times New Roman" w:eastAsia="宋体"/>
          <w:color w:val="auto"/>
          <w:sz w:val="24"/>
          <w:szCs w:val="24"/>
          <w:highlight w:val="none"/>
          <w:lang w:eastAsia="zh-CN"/>
        </w:rPr>
        <w:drawing>
          <wp:anchor distT="0" distB="0" distL="114935" distR="114935" simplePos="0" relativeHeight="742589440" behindDoc="0" locked="0" layoutInCell="1" allowOverlap="1">
            <wp:simplePos x="0" y="0"/>
            <wp:positionH relativeFrom="column">
              <wp:posOffset>3411855</wp:posOffset>
            </wp:positionH>
            <wp:positionV relativeFrom="paragraph">
              <wp:posOffset>3617595</wp:posOffset>
            </wp:positionV>
            <wp:extent cx="1614805" cy="1572260"/>
            <wp:effectExtent l="0" t="0" r="4445" b="8890"/>
            <wp:wrapNone/>
            <wp:docPr id="64" name="图片 64" descr="1572921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572921510(1)"/>
                    <pic:cNvPicPr>
                      <a:picLocks noChangeAspect="1"/>
                    </pic:cNvPicPr>
                  </pic:nvPicPr>
                  <pic:blipFill>
                    <a:blip r:embed="rId78"/>
                    <a:stretch>
                      <a:fillRect/>
                    </a:stretch>
                  </pic:blipFill>
                  <pic:spPr>
                    <a:xfrm>
                      <a:off x="0" y="0"/>
                      <a:ext cx="1614805" cy="1572260"/>
                    </a:xfrm>
                    <a:prstGeom prst="rect">
                      <a:avLst/>
                    </a:prstGeom>
                  </pic:spPr>
                </pic:pic>
              </a:graphicData>
            </a:graphic>
          </wp:anchor>
        </w:drawing>
      </w:r>
      <w:r>
        <w:rPr>
          <w:rFonts w:hint="eastAsia" w:ascii="Times New Roman" w:eastAsia="宋体" w:cs="Times New Roman"/>
          <w:b/>
          <w:bCs/>
          <w:color w:val="auto"/>
          <w:sz w:val="21"/>
          <w:szCs w:val="21"/>
          <w:highlight w:val="none"/>
          <w:lang w:eastAsia="zh-CN"/>
        </w:rPr>
        <w:drawing>
          <wp:inline distT="0" distB="0" distL="114300" distR="114300">
            <wp:extent cx="7589520" cy="5368925"/>
            <wp:effectExtent l="0" t="0" r="11430" b="3175"/>
            <wp:docPr id="65" name="图片 65" descr="10江门市水环境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10江门市水环境功能区划图"/>
                    <pic:cNvPicPr>
                      <a:picLocks noChangeAspect="1"/>
                    </pic:cNvPicPr>
                  </pic:nvPicPr>
                  <pic:blipFill>
                    <a:blip r:embed="rId79"/>
                    <a:stretch>
                      <a:fillRect/>
                    </a:stretch>
                  </pic:blipFill>
                  <pic:spPr>
                    <a:xfrm>
                      <a:off x="0" y="0"/>
                      <a:ext cx="7589520" cy="5368925"/>
                    </a:xfrm>
                    <a:prstGeom prst="rect">
                      <a:avLst/>
                    </a:prstGeom>
                  </pic:spPr>
                </pic:pic>
              </a:graphicData>
            </a:graphic>
          </wp:inline>
        </w:drawing>
      </w:r>
    </w:p>
    <w:p>
      <w:pPr>
        <w:pStyle w:val="38"/>
        <w:spacing w:before="0"/>
        <w:rPr>
          <w:rFonts w:ascii="Times New Roman" w:hAnsi="Times New Roman"/>
          <w:color w:val="auto"/>
          <w:sz w:val="24"/>
          <w:szCs w:val="24"/>
          <w:highlight w:val="none"/>
        </w:rPr>
        <w:sectPr>
          <w:footerReference r:id="rId25" w:type="first"/>
          <w:footerReference r:id="rId24" w:type="default"/>
          <w:pgSz w:w="16783" w:h="11850" w:orient="landscape"/>
          <w:pgMar w:top="1418" w:right="1417" w:bottom="1418" w:left="1417" w:header="851" w:footer="992" w:gutter="0"/>
          <w:pgBorders>
            <w:top w:val="none" w:sz="0" w:space="0"/>
            <w:left w:val="none" w:sz="0" w:space="0"/>
            <w:bottom w:val="none" w:sz="0" w:space="0"/>
            <w:right w:val="none" w:sz="0" w:space="0"/>
          </w:pgBorders>
          <w:pgNumType w:fmt="numberInDash"/>
          <w:cols w:space="720" w:num="1"/>
          <w:titlePg/>
          <w:docGrid w:type="lines" w:linePitch="318" w:charSpace="0"/>
        </w:sectPr>
      </w:pPr>
      <w:r>
        <w:rPr>
          <w:rFonts w:ascii="Times New Roman" w:hAnsi="Times New Roman"/>
          <w:color w:val="auto"/>
          <w:sz w:val="24"/>
          <w:szCs w:val="24"/>
          <w:highlight w:val="none"/>
        </w:rPr>
        <w:t>附图</w:t>
      </w:r>
      <w:r>
        <w:rPr>
          <w:rFonts w:hint="eastAsia" w:ascii="Times New Roman" w:hAnsi="Times New Roman"/>
          <w:color w:val="auto"/>
          <w:sz w:val="24"/>
          <w:szCs w:val="24"/>
          <w:highlight w:val="none"/>
          <w:lang w:val="en-US" w:eastAsia="zh-CN"/>
        </w:rPr>
        <w:t>8</w:t>
      </w:r>
      <w:r>
        <w:rPr>
          <w:rFonts w:ascii="Times New Roman" w:hAnsi="Times New Roman"/>
          <w:color w:val="auto"/>
          <w:sz w:val="24"/>
          <w:szCs w:val="24"/>
          <w:highlight w:val="none"/>
        </w:rPr>
        <w:t xml:space="preserve"> 项目水环境功能区划图</w:t>
      </w:r>
    </w:p>
    <w:p>
      <w:pPr>
        <w:pStyle w:val="47"/>
        <w:jc w:val="both"/>
        <w:rPr>
          <w:rFonts w:ascii="Times New Roman" w:cs="Times New Roman"/>
          <w:color w:val="auto"/>
          <w:highlight w:val="none"/>
        </w:rPr>
      </w:pPr>
      <w:r>
        <w:rPr>
          <w:rFonts w:ascii="Times New Roman" w:cs="Times New Roman"/>
          <w:color w:val="auto"/>
          <w:highlight w:val="none"/>
        </w:rPr>
        <w:pict>
          <v:shape id="五角星 91" o:spid="_x0000_s1255" style="position:absolute;left:0pt;margin-left:302.6pt;margin-top:164.55pt;height:8pt;width:7.45pt;z-index:497406976;mso-width-relative:page;mso-height-relative:page;" fillcolor="#FF0000" filled="t" stroked="t" coordsize="94615,101600" o:gfxdata="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L8c7adsAAAALAQAADwAAAAAAAAABACAAAAAiAAAAZHJzL2Rvd25yZXYueG1sUEsBAhQAFAAAAAgA&#10;h07iQEkWMEoiAgAAMwQAAA4AAAAAAAAAAQAgAAAAKgEAAGRycy9lMm9Eb2MueG1sUEsFBgAAAAAG&#10;AAYAWQEAAL4FAAAAAA==&#10;" path="m0,38807l36139,38807,47307,0,58475,38807,94614,38807,65377,62791,76545,101599,47307,77614,18069,101599,29237,62791xe">
            <v:path o:connectlocs="47307,0;0,38807;18069,101599;76545,101599;94614,38807" o:connectangles="247,164,82,82,0"/>
            <v:fill on="t" focussize="0,0"/>
            <v:stroke color="#FF0000" miterlimit="8" joinstyle="miter"/>
            <v:imagedata o:title=""/>
            <o:lock v:ext="edit" aspectratio="f"/>
          </v:shape>
        </w:pict>
      </w:r>
      <w:r>
        <w:rPr>
          <w:rFonts w:ascii="Times New Roman" w:cs="Times New Roman"/>
          <w:color w:val="auto"/>
          <w:highlight w:val="none"/>
        </w:rPr>
        <w:pict>
          <v:shape id="圆角矩形标注 90" o:spid="_x0000_s1256" o:spt="62" type="#_x0000_t62" style="position:absolute;left:0pt;margin-left:324.5pt;margin-top:84.4pt;height:41.15pt;width:92.2pt;z-index:497405952;mso-width-relative:page;mso-height-relative:page;" fillcolor="#FFFFFF" filled="t" stroked="t" coordsize="21600,21600" o:gfxdata="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KzMC0dgAAAALAQAADwAAAAAAAAABACAAAAAiAAAAZHJzL2Rvd25y&#10;ZXYueG1sUEsBAhQAFAAAAAgAh07iQLDLYQhwAgAA0AQAAA4AAAAAAAAAAQAgAAAAJwEAAGRycy9l&#10;Mm9Eb2MueG1sUEsFBgAAAAAGAAYAWQEAAAkGAAAAAA==&#10;" adj="-3297,41835">
            <v:path/>
            <v:fill on="t" color2="#FFFFFF" focussize="0,0"/>
            <v:stroke color="#000000" miterlimit="8" joinstyle="miter"/>
            <v:imagedata o:title=""/>
            <o:lock v:ext="edit" aspectratio="f"/>
            <v:textbox>
              <w:txbxContent>
                <w:p>
                  <w:pPr>
                    <w:rPr>
                      <w:rFonts w:hint="eastAsia" w:eastAsia="宋体"/>
                      <w:szCs w:val="21"/>
                      <w:lang w:eastAsia="zh-CN"/>
                    </w:rPr>
                  </w:pPr>
                  <w:r>
                    <w:rPr>
                      <w:rFonts w:hint="eastAsia"/>
                      <w:szCs w:val="21"/>
                    </w:rPr>
                    <w:t>建设项目：</w:t>
                  </w:r>
                  <w:r>
                    <w:rPr>
                      <w:rFonts w:hint="eastAsia"/>
                      <w:szCs w:val="21"/>
                      <w:lang w:eastAsia="zh-CN"/>
                    </w:rPr>
                    <w:t>分散式开发利用区</w:t>
                  </w:r>
                </w:p>
              </w:txbxContent>
            </v:textbox>
          </v:shape>
        </w:pict>
      </w:r>
      <w:r>
        <w:rPr>
          <w:rFonts w:hint="eastAsia" w:ascii="Times New Roman" w:hAnsi="Times New Roman" w:eastAsia="宋体"/>
          <w:color w:val="auto"/>
          <w:sz w:val="24"/>
          <w:szCs w:val="24"/>
          <w:highlight w:val="none"/>
          <w:lang w:eastAsia="zh-CN"/>
        </w:rPr>
        <w:drawing>
          <wp:anchor distT="0" distB="0" distL="114935" distR="114935" simplePos="0" relativeHeight="742590464" behindDoc="0" locked="0" layoutInCell="1" allowOverlap="1">
            <wp:simplePos x="0" y="0"/>
            <wp:positionH relativeFrom="column">
              <wp:posOffset>4933315</wp:posOffset>
            </wp:positionH>
            <wp:positionV relativeFrom="paragraph">
              <wp:posOffset>3131820</wp:posOffset>
            </wp:positionV>
            <wp:extent cx="1610360" cy="2087245"/>
            <wp:effectExtent l="9525" t="9525" r="18415" b="17780"/>
            <wp:wrapNone/>
            <wp:docPr id="12" name="图片 12" descr="15729217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572921700(1)"/>
                    <pic:cNvPicPr>
                      <a:picLocks noChangeAspect="1"/>
                    </pic:cNvPicPr>
                  </pic:nvPicPr>
                  <pic:blipFill>
                    <a:blip r:embed="rId80"/>
                    <a:stretch>
                      <a:fillRect/>
                    </a:stretch>
                  </pic:blipFill>
                  <pic:spPr>
                    <a:xfrm>
                      <a:off x="0" y="0"/>
                      <a:ext cx="1610360" cy="2087245"/>
                    </a:xfrm>
                    <a:prstGeom prst="rect">
                      <a:avLst/>
                    </a:prstGeom>
                    <a:ln>
                      <a:solidFill>
                        <a:schemeClr val="tx1"/>
                      </a:solidFill>
                    </a:ln>
                  </pic:spPr>
                </pic:pic>
              </a:graphicData>
            </a:graphic>
          </wp:anchor>
        </w:drawing>
      </w:r>
      <w:r>
        <w:rPr>
          <w:rFonts w:ascii="Times New Roman" w:cs="Times New Roman"/>
          <w:color w:val="auto"/>
          <w:highlight w:val="none"/>
        </w:rPr>
        <w:drawing>
          <wp:inline distT="0" distB="0" distL="114300" distR="114300">
            <wp:extent cx="7479665" cy="5485765"/>
            <wp:effectExtent l="0" t="0" r="6985" b="635"/>
            <wp:docPr id="92" name="图片 5" descr="页面提取自－广州及深圳等地下水功能区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 descr="页面提取自－广州及深圳等地下水功能区划"/>
                    <pic:cNvPicPr>
                      <a:picLocks noChangeAspect="1"/>
                    </pic:cNvPicPr>
                  </pic:nvPicPr>
                  <pic:blipFill>
                    <a:blip r:embed="rId81"/>
                    <a:stretch>
                      <a:fillRect/>
                    </a:stretch>
                  </pic:blipFill>
                  <pic:spPr>
                    <a:xfrm>
                      <a:off x="0" y="0"/>
                      <a:ext cx="7479665" cy="5485765"/>
                    </a:xfrm>
                    <a:prstGeom prst="rect">
                      <a:avLst/>
                    </a:prstGeom>
                    <a:noFill/>
                    <a:ln w="12700">
                      <a:noFill/>
                    </a:ln>
                  </pic:spPr>
                </pic:pic>
              </a:graphicData>
            </a:graphic>
          </wp:inline>
        </w:drawing>
      </w:r>
    </w:p>
    <w:p>
      <w:pPr>
        <w:pStyle w:val="38"/>
        <w:spacing w:before="0"/>
        <w:rPr>
          <w:rFonts w:hint="eastAsia" w:ascii="Times New Roman" w:hAnsi="Times New Roman" w:eastAsia="宋体"/>
          <w:color w:val="auto"/>
          <w:sz w:val="24"/>
          <w:szCs w:val="24"/>
          <w:highlight w:val="none"/>
          <w:lang w:eastAsia="zh-CN"/>
        </w:rPr>
        <w:sectPr>
          <w:footerReference r:id="rId26" w:type="default"/>
          <w:pgSz w:w="16838" w:h="11906" w:orient="landscape"/>
          <w:pgMar w:top="1418" w:right="1361" w:bottom="1418" w:left="1361" w:header="851" w:footer="992" w:gutter="0"/>
          <w:pgBorders>
            <w:top w:val="none" w:sz="0" w:space="0"/>
            <w:left w:val="none" w:sz="0" w:space="0"/>
            <w:bottom w:val="none" w:sz="0" w:space="0"/>
            <w:right w:val="none" w:sz="0" w:space="0"/>
          </w:pgBorders>
          <w:cols w:space="720" w:num="1"/>
          <w:docGrid w:type="linesAndChars" w:linePitch="312" w:charSpace="0"/>
        </w:sectPr>
      </w:pPr>
      <w:r>
        <w:rPr>
          <w:rFonts w:ascii="Times New Roman" w:hAnsi="Times New Roman"/>
          <w:color w:val="auto"/>
          <w:sz w:val="24"/>
          <w:szCs w:val="24"/>
          <w:highlight w:val="none"/>
        </w:rPr>
        <w:t>附图</w:t>
      </w:r>
      <w:r>
        <w:rPr>
          <w:rFonts w:hint="eastAsia" w:ascii="Times New Roman" w:hAnsi="Times New Roman"/>
          <w:color w:val="auto"/>
          <w:sz w:val="24"/>
          <w:szCs w:val="24"/>
          <w:highlight w:val="none"/>
          <w:lang w:val="en-US" w:eastAsia="zh-CN"/>
        </w:rPr>
        <w:t>9</w:t>
      </w:r>
      <w:r>
        <w:rPr>
          <w:rFonts w:ascii="Times New Roman" w:hAnsi="Times New Roman"/>
          <w:color w:val="auto"/>
          <w:sz w:val="24"/>
          <w:szCs w:val="24"/>
          <w:highlight w:val="none"/>
        </w:rPr>
        <w:t xml:space="preserve"> 项目地下水功能区划图</w:t>
      </w:r>
    </w:p>
    <w:p>
      <w:pPr>
        <w:rPr>
          <w:rFonts w:hint="eastAsia" w:eastAsia="宋体"/>
          <w:color w:val="auto"/>
          <w:highlight w:val="none"/>
          <w:lang w:eastAsia="zh-CN"/>
        </w:rPr>
      </w:pPr>
      <w:r>
        <w:rPr>
          <w:color w:val="auto"/>
          <w:highlight w:val="none"/>
        </w:rPr>
        <w:pict>
          <v:shape id="圆角矩形标注 28" o:spid="_x0000_s1258" o:spt="62" type="#_x0000_t62" style="position:absolute;left:0pt;margin-left:299.05pt;margin-top:133.25pt;height:44.95pt;width:77.2pt;z-index:497437696;mso-width-relative:page;mso-height-relative:page;" fillcolor="#FFFFFF" filled="t" stroked="t" coordsize="21600,21600" o:gfxdata="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V/0aJ2gAAAAsBAAAPAAAAAAAAAAEAIAAAACIAAABkcnMvZG93bnJl&#10;di54bWxQSwECFAAUAAAACACHTuJAgc46F20CAADPBAAADgAAAAAAAAABACAAAAApAQAAZHJzL2Uy&#10;b0RvYy54bWxQSwUGAAAAAAYABgBZAQAACAYAAAAA&#10;" adj="-4840,39788,14400">
            <v:path/>
            <v:fill on="t" focussize="0,0"/>
            <v:stroke color="#000000" miterlimit="8" joinstyle="miter"/>
            <v:imagedata o:title=""/>
            <o:lock v:ext="edit" aspectratio="f"/>
            <v:textbox>
              <w:txbxContent>
                <w:p>
                  <w:pPr>
                    <w:rPr>
                      <w:szCs w:val="21"/>
                    </w:rPr>
                  </w:pPr>
                  <w:r>
                    <w:rPr>
                      <w:rFonts w:hint="eastAsia"/>
                      <w:szCs w:val="21"/>
                    </w:rPr>
                    <w:t>项目位置：</w:t>
                  </w:r>
                </w:p>
                <w:p>
                  <w:pPr>
                    <w:rPr>
                      <w:szCs w:val="21"/>
                    </w:rPr>
                  </w:pPr>
                  <w:r>
                    <w:rPr>
                      <w:rFonts w:hint="eastAsia"/>
                      <w:szCs w:val="21"/>
                      <w:lang w:eastAsia="zh-CN"/>
                    </w:rPr>
                    <w:t>重点开发</w:t>
                  </w:r>
                  <w:r>
                    <w:rPr>
                      <w:rFonts w:hint="eastAsia"/>
                      <w:szCs w:val="21"/>
                    </w:rPr>
                    <w:t>区</w:t>
                  </w:r>
                </w:p>
              </w:txbxContent>
            </v:textbox>
          </v:shape>
        </w:pict>
      </w:r>
      <w:r>
        <w:rPr>
          <w:color w:val="auto"/>
          <w:highlight w:val="none"/>
        </w:rPr>
        <w:pict>
          <v:shape id="五角星 148" o:spid="_x0000_s1257" style="position:absolute;left:0pt;margin-left:275.35pt;margin-top:213.95pt;height:8pt;width:7.45pt;z-index:497438720;mso-width-relative:page;mso-height-relative:page;" fillcolor="#FF0000" filled="t" stroked="t" coordsize="94615,101600" o:gfxdata="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N&#10;yrdC2wAAAAsBAAAPAAAAAAAAAAEAIAAAACIAAABkcnMvZG93bnJldi54bWxQSwECFAAUAAAACACH&#10;TuJAjsQFnyECAAA1BAAADgAAAAAAAAABACAAAAAqAQAAZHJzL2Uyb0RvYy54bWxQSwUGAAAAAAYA&#10;BgBZAQAAvQUAAAAA&#10;" path="m0,38807l36139,38807,47307,0,58475,38807,94614,38807,65377,62791,76545,101599,47307,77614,18069,101599,29237,62791xe">
            <v:path o:connectlocs="47307,0;0,38807;18069,101599;76545,101599;94614,38807" o:connectangles="247,164,82,82,0"/>
            <v:fill on="t" focussize="0,0"/>
            <v:stroke color="#FF0000" miterlimit="8" joinstyle="miter"/>
            <v:imagedata o:title=""/>
            <o:lock v:ext="edit" aspectratio="f"/>
          </v:shape>
        </w:pict>
      </w:r>
      <w:r>
        <w:rPr>
          <w:rFonts w:hint="eastAsia" w:eastAsia="宋体"/>
          <w:color w:val="auto"/>
          <w:highlight w:val="none"/>
          <w:lang w:eastAsia="zh-CN"/>
        </w:rPr>
        <w:drawing>
          <wp:inline distT="0" distB="0" distL="114300" distR="114300">
            <wp:extent cx="5861685" cy="8288020"/>
            <wp:effectExtent l="0" t="0" r="5715" b="17780"/>
            <wp:docPr id="66" name="图片 66" descr="01主体功能区划分总图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01主体功能区划分总图0127"/>
                    <pic:cNvPicPr>
                      <a:picLocks noChangeAspect="1"/>
                    </pic:cNvPicPr>
                  </pic:nvPicPr>
                  <pic:blipFill>
                    <a:blip r:embed="rId82"/>
                    <a:stretch>
                      <a:fillRect/>
                    </a:stretch>
                  </pic:blipFill>
                  <pic:spPr>
                    <a:xfrm>
                      <a:off x="0" y="0"/>
                      <a:ext cx="5861685" cy="8288020"/>
                    </a:xfrm>
                    <a:prstGeom prst="rect">
                      <a:avLst/>
                    </a:prstGeom>
                  </pic:spPr>
                </pic:pic>
              </a:graphicData>
            </a:graphic>
          </wp:inline>
        </w:drawing>
      </w:r>
    </w:p>
    <w:p>
      <w:pPr>
        <w:pStyle w:val="38"/>
        <w:spacing w:before="0"/>
        <w:rPr>
          <w:b/>
          <w:bCs/>
          <w:color w:val="auto"/>
          <w:sz w:val="21"/>
          <w:szCs w:val="21"/>
          <w:highlight w:val="none"/>
        </w:rPr>
      </w:pPr>
      <w:r>
        <w:rPr>
          <w:rFonts w:ascii="Times New Roman" w:hAnsi="Times New Roman"/>
          <w:color w:val="auto"/>
          <w:sz w:val="24"/>
          <w:szCs w:val="24"/>
          <w:highlight w:val="none"/>
        </w:rPr>
        <w:t>附图</w:t>
      </w:r>
      <w:r>
        <w:rPr>
          <w:rFonts w:hint="eastAsia" w:ascii="Times New Roman" w:hAnsi="Times New Roman"/>
          <w:color w:val="auto"/>
          <w:sz w:val="24"/>
          <w:szCs w:val="24"/>
          <w:highlight w:val="none"/>
          <w:lang w:val="en-US" w:eastAsia="zh-CN"/>
        </w:rPr>
        <w:t>10</w:t>
      </w:r>
      <w:r>
        <w:rPr>
          <w:rFonts w:ascii="Times New Roman" w:hAnsi="Times New Roman"/>
          <w:color w:val="auto"/>
          <w:sz w:val="24"/>
          <w:szCs w:val="24"/>
          <w:highlight w:val="none"/>
        </w:rPr>
        <w:t xml:space="preserve"> </w:t>
      </w:r>
      <w:r>
        <w:rPr>
          <w:rFonts w:hint="eastAsia" w:ascii="Times New Roman" w:hAnsi="Times New Roman"/>
          <w:color w:val="auto"/>
          <w:sz w:val="24"/>
          <w:szCs w:val="24"/>
          <w:highlight w:val="none"/>
        </w:rPr>
        <w:t>江门市主体功能</w:t>
      </w:r>
      <w:r>
        <w:rPr>
          <w:rFonts w:ascii="Times New Roman" w:hAnsi="Times New Roman"/>
          <w:color w:val="auto"/>
          <w:sz w:val="24"/>
          <w:szCs w:val="24"/>
          <w:highlight w:val="none"/>
        </w:rPr>
        <w:t>区划图</w:t>
      </w:r>
    </w:p>
    <w:sectPr>
      <w:headerReference r:id="rId27" w:type="default"/>
      <w:footerReference r:id="rId28" w:type="default"/>
      <w:pgSz w:w="11907" w:h="16840"/>
      <w:pgMar w:top="1440" w:right="1134" w:bottom="1134" w:left="136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楷体_GB2312">
    <w:altName w:val="楷体"/>
    <w:panose1 w:val="00000000000000000000"/>
    <w:charset w:val="86"/>
    <w:family w:val="modern"/>
    <w:pitch w:val="default"/>
    <w:sig w:usb0="00000000" w:usb1="00000000" w:usb2="00000000" w:usb3="00000000" w:csb0="00040000" w:csb1="00000000"/>
  </w:font>
  <w:font w:name="Impact">
    <w:panose1 w:val="020B0806030902050204"/>
    <w:charset w:val="00"/>
    <w:family w:val="swiss"/>
    <w:pitch w:val="default"/>
    <w:sig w:usb0="00000287" w:usb1="00000000" w:usb2="00000000" w:usb3="00000000" w:csb0="2000009F" w:csb1="DFD70000"/>
  </w:font>
  <w:font w:name="隶书">
    <w:panose1 w:val="02010509060101010101"/>
    <w:charset w:val="86"/>
    <w:family w:val="modern"/>
    <w:pitch w:val="default"/>
    <w:sig w:usb0="00000001" w:usb1="080E0000" w:usb2="00000000" w:usb3="00000000" w:csb0="00040000"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E00002FF" w:usb1="400004FF" w:usb2="00000000" w:usb3="00000000" w:csb0="2000019F" w:csb1="00000000"/>
  </w:font>
  <w:font w:name="仿宋体">
    <w:altName w:val="仿宋"/>
    <w:panose1 w:val="00000000000000000000"/>
    <w:charset w:val="86"/>
    <w:family w:val="swiss"/>
    <w:pitch w:val="default"/>
    <w:sig w:usb0="00000000" w:usb1="00000000" w:usb2="00000010" w:usb3="00000000" w:csb0="00040000" w:csb1="00000000"/>
  </w:font>
  <w:font w:name="ˎ̥">
    <w:altName w:val="Times New Roman"/>
    <w:panose1 w:val="00000000000000000000"/>
    <w:charset w:val="00"/>
    <w:family w:val="auto"/>
    <w:pitch w:val="default"/>
    <w:sig w:usb0="00000000" w:usb1="00000000" w:usb2="00000000" w:usb3="00000000" w:csb0="00040001" w:csb1="00000000"/>
  </w:font>
  <w:font w:name="仿宋_GB2312">
    <w:altName w:val="仿宋"/>
    <w:panose1 w:val="00000000000000000000"/>
    <w:charset w:val="86"/>
    <w:family w:val="auto"/>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方正仿宋_GBK">
    <w:altName w:val="SimSun-ExtB"/>
    <w:panose1 w:val="00000000000000000000"/>
    <w:charset w:val="86"/>
    <w:family w:val="script"/>
    <w:pitch w:val="default"/>
    <w:sig w:usb0="00000000" w:usb1="00000000" w:usb2="00000010" w:usb3="00000000" w:csb0="003C0040" w:csb1="00000000"/>
  </w:font>
  <w:font w:name="Noto Sans CJK JP Regular">
    <w:altName w:val="Segoe Print"/>
    <w:panose1 w:val="00000000000000000000"/>
    <w:charset w:val="00"/>
    <w:family w:val="swiss"/>
    <w:pitch w:val="default"/>
    <w:sig w:usb0="00000000" w:usb1="00000000" w:usb2="00000000" w:usb3="00000000" w:csb0="00000000" w:csb1="00000000"/>
  </w:font>
  <w:font w:name="TimesNewRomanPSMT">
    <w:altName w:val="Malgun Gothic"/>
    <w:panose1 w:val="00000000000000000000"/>
    <w:charset w:val="81"/>
    <w:family w:val="auto"/>
    <w:pitch w:val="default"/>
    <w:sig w:usb0="00000000" w:usb1="00000000" w:usb2="00000000" w:usb3="00000000" w:csb0="00080000" w:csb1="00000000"/>
  </w:font>
  <w:font w:name="等线">
    <w:altName w:val="Arial Unicode MS"/>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 w:name="Malgun Gothic">
    <w:panose1 w:val="020B0503020000020004"/>
    <w:charset w:val="81"/>
    <w:family w:val="auto"/>
    <w:pitch w:val="default"/>
    <w:sig w:usb0="900002AF" w:usb1="01D77CFB" w:usb2="00000012" w:usb3="00000000" w:csb0="00080001" w:csb1="00000000"/>
  </w:font>
  <w:font w:name="SimSun-ExtB">
    <w:panose1 w:val="02010609060101010101"/>
    <w:charset w:val="86"/>
    <w:family w:val="auto"/>
    <w:pitch w:val="default"/>
    <w:sig w:usb0="00000001" w:usb1="02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44"/>
      </w:rPr>
    </w:pPr>
    <w:r>
      <w:rPr>
        <w:rStyle w:val="44"/>
      </w:rPr>
      <w:fldChar w:fldCharType="begin"/>
    </w:r>
    <w:r>
      <w:rPr>
        <w:rStyle w:val="44"/>
      </w:rPr>
      <w:instrText xml:space="preserve">PAGE  </w:instrText>
    </w:r>
    <w:r>
      <w:rPr>
        <w:rStyle w:val="44"/>
      </w:rPr>
      <w:fldChar w:fldCharType="end"/>
    </w:r>
  </w:p>
  <w:p>
    <w:pPr>
      <w:pStyle w:val="31"/>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jc w:val="center"/>
    </w:pPr>
    <w:r>
      <w:fldChar w:fldCharType="begin"/>
    </w:r>
    <w:r>
      <w:instrText xml:space="preserve"> PAGE   \* MERGEFORMAT </w:instrText>
    </w:r>
    <w:r>
      <w:fldChar w:fldCharType="separate"/>
    </w:r>
    <w:r>
      <w:rPr>
        <w:lang w:val="zh-CN"/>
      </w:rPr>
      <w:t>46</w:t>
    </w:r>
    <w:r>
      <w:rPr>
        <w:lang w:val="zh-CN"/>
      </w:rPr>
      <w:fldChar w:fldCharType="end"/>
    </w:r>
  </w:p>
  <w:p>
    <w:pPr>
      <w:pStyle w:val="31"/>
      <w:rPr>
        <w:szCs w:val="28"/>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ind w:firstLine="560" w:firstLineChars="200"/>
      <w:jc w:val="both"/>
      <w:rPr>
        <w:rFonts w:ascii="仿宋_GB2312" w:eastAsia="仿宋_GB2312"/>
        <w:sz w:val="28"/>
        <w:szCs w:val="28"/>
      </w:rPr>
    </w:pPr>
    <w:r>
      <w:rPr>
        <w:rFonts w:hint="eastAsia" w:ascii="仿宋_GB2312" w:eastAsia="仿宋_GB2312"/>
        <w:sz w:val="28"/>
        <w:szCs w:val="28"/>
      </w:rPr>
      <w:t>—</w:t>
    </w:r>
    <w:r>
      <w:rPr>
        <w:rStyle w:val="44"/>
        <w:rFonts w:hint="eastAsia" w:ascii="仿宋_GB2312" w:eastAsia="仿宋_GB2312"/>
        <w:sz w:val="28"/>
        <w:szCs w:val="28"/>
      </w:rPr>
      <w:fldChar w:fldCharType="begin"/>
    </w:r>
    <w:r>
      <w:rPr>
        <w:rStyle w:val="44"/>
        <w:rFonts w:hint="eastAsia" w:ascii="仿宋_GB2312" w:eastAsia="仿宋_GB2312"/>
        <w:sz w:val="28"/>
        <w:szCs w:val="28"/>
      </w:rPr>
      <w:instrText xml:space="preserve"> PAGE </w:instrText>
    </w:r>
    <w:r>
      <w:rPr>
        <w:rStyle w:val="44"/>
        <w:rFonts w:hint="eastAsia" w:ascii="仿宋_GB2312" w:eastAsia="仿宋_GB2312"/>
        <w:sz w:val="28"/>
        <w:szCs w:val="28"/>
      </w:rPr>
      <w:fldChar w:fldCharType="separate"/>
    </w:r>
    <w:r>
      <w:rPr>
        <w:rStyle w:val="44"/>
        <w:rFonts w:ascii="仿宋_GB2312" w:eastAsia="仿宋_GB2312"/>
        <w:sz w:val="28"/>
        <w:szCs w:val="28"/>
      </w:rPr>
      <w:t>2</w:t>
    </w:r>
    <w:r>
      <w:rPr>
        <w:rStyle w:val="44"/>
        <w:rFonts w:hint="eastAsia" w:ascii="仿宋_GB2312" w:eastAsia="仿宋_GB2312"/>
        <w:sz w:val="28"/>
        <w:szCs w:val="28"/>
      </w:rPr>
      <w:fldChar w:fldCharType="end"/>
    </w:r>
    <w:r>
      <w:rPr>
        <w:rFonts w:hint="eastAsia" w:ascii="仿宋_GB2312" w:eastAsia="仿宋_GB2312"/>
        <w:sz w:val="28"/>
        <w:szCs w:val="28"/>
      </w:rPr>
      <w:t>—</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rPr>
        <w:szCs w:val="28"/>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rPr>
        <w:szCs w:val="28"/>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rPr>
        <w:szCs w:val="28"/>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rPr>
        <w:szCs w:val="28"/>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rPr>
        <w:szCs w:val="28"/>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rPr>
        <w:szCs w:val="2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jc w:val="center"/>
    </w:pPr>
    <w:r>
      <w:fldChar w:fldCharType="begin"/>
    </w:r>
    <w:r>
      <w:instrText xml:space="preserve"> PAGE   \* MERGEFORMAT </w:instrText>
    </w:r>
    <w:r>
      <w:fldChar w:fldCharType="separate"/>
    </w:r>
    <w:r>
      <w:rPr>
        <w:lang w:val="zh-CN"/>
      </w:rPr>
      <w:t>7</w:t>
    </w:r>
    <w:r>
      <w:rPr>
        <w:lang w:val="zh-CN"/>
      </w:rPr>
      <w:fldChar w:fldCharType="end"/>
    </w:r>
  </w:p>
  <w:p>
    <w:pPr>
      <w:pStyle w:val="3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jc w:val="center"/>
    </w:pPr>
    <w:r>
      <w:fldChar w:fldCharType="begin"/>
    </w:r>
    <w:r>
      <w:instrText xml:space="preserve"> PAGE   \* MERGEFORMAT </w:instrText>
    </w:r>
    <w:r>
      <w:fldChar w:fldCharType="separate"/>
    </w:r>
    <w:r>
      <w:rPr>
        <w:lang w:val="zh-CN"/>
      </w:rPr>
      <w:t>2</w:t>
    </w:r>
    <w:r>
      <w:rPr>
        <w:lang w:val="zh-CN"/>
      </w:rPr>
      <w:fldChar w:fldCharType="end"/>
    </w:r>
  </w:p>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44"/>
      </w:rPr>
    </w:pPr>
    <w:r>
      <w:rPr>
        <w:rStyle w:val="44"/>
      </w:rPr>
      <w:fldChar w:fldCharType="begin"/>
    </w:r>
    <w:r>
      <w:rPr>
        <w:rStyle w:val="44"/>
      </w:rPr>
      <w:instrText xml:space="preserve">PAGE  </w:instrText>
    </w:r>
    <w:r>
      <w:rPr>
        <w:rStyle w:val="44"/>
      </w:rPr>
      <w:fldChar w:fldCharType="separate"/>
    </w:r>
    <w:r>
      <w:rPr>
        <w:rStyle w:val="44"/>
      </w:rPr>
      <w:t>9</w:t>
    </w:r>
    <w:r>
      <w:rPr>
        <w:rStyle w:val="44"/>
      </w:rPr>
      <w:fldChar w:fldCharType="end"/>
    </w:r>
  </w:p>
  <w:p>
    <w: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44"/>
      </w:rPr>
    </w:pPr>
    <w:r>
      <w:rPr>
        <w:rStyle w:val="44"/>
      </w:rPr>
      <w:fldChar w:fldCharType="begin"/>
    </w:r>
    <w:r>
      <w:rPr>
        <w:rStyle w:val="44"/>
      </w:rPr>
      <w:instrText xml:space="preserve">PAGE  </w:instrText>
    </w:r>
    <w:r>
      <w:rPr>
        <w:rStyle w:val="44"/>
      </w:rPr>
      <w:fldChar w:fldCharType="separate"/>
    </w:r>
    <w:r>
      <w:rPr>
        <w:rStyle w:val="44"/>
      </w:rPr>
      <w:t>16</w:t>
    </w:r>
    <w:r>
      <w:rPr>
        <w:rStyle w:val="44"/>
      </w:rPr>
      <w:fldChar w:fldCharType="end"/>
    </w:r>
  </w:p>
  <w:p>
    <w:r>
      <w:rPr>
        <w:rStyle w:val="44"/>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44"/>
      </w:rPr>
    </w:pPr>
    <w:r>
      <w:rPr>
        <w:rStyle w:val="44"/>
      </w:rPr>
      <w:fldChar w:fldCharType="begin"/>
    </w:r>
    <w:r>
      <w:rPr>
        <w:rStyle w:val="44"/>
      </w:rPr>
      <w:instrText xml:space="preserve">PAGE  </w:instrText>
    </w:r>
    <w:r>
      <w:rPr>
        <w:rStyle w:val="44"/>
      </w:rPr>
      <w:fldChar w:fldCharType="separate"/>
    </w:r>
    <w:r>
      <w:rPr>
        <w:rStyle w:val="44"/>
      </w:rPr>
      <w:t>18</w:t>
    </w:r>
    <w:r>
      <w:rPr>
        <w:rStyle w:val="44"/>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44"/>
      </w:rPr>
    </w:pPr>
    <w:r>
      <w:rPr>
        <w:rStyle w:val="44"/>
      </w:rPr>
      <w:fldChar w:fldCharType="begin"/>
    </w:r>
    <w:r>
      <w:rPr>
        <w:rStyle w:val="44"/>
      </w:rPr>
      <w:instrText xml:space="preserve">PAGE  </w:instrText>
    </w:r>
    <w:r>
      <w:rPr>
        <w:rStyle w:val="44"/>
      </w:rPr>
      <w:fldChar w:fldCharType="separate"/>
    </w:r>
    <w:r>
      <w:rPr>
        <w:rStyle w:val="44"/>
      </w:rPr>
      <w:t>21</w:t>
    </w:r>
    <w:r>
      <w:rPr>
        <w:rStyle w:val="44"/>
      </w:rPr>
      <w:fldChar w:fldCharType="end"/>
    </w:r>
  </w:p>
  <w:p>
    <w:r>
      <w:rPr>
        <w:rStyle w:val="44"/>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44"/>
      </w:rPr>
    </w:pPr>
    <w:r>
      <w:rPr>
        <w:rStyle w:val="44"/>
      </w:rPr>
      <w:fldChar w:fldCharType="begin"/>
    </w:r>
    <w:r>
      <w:rPr>
        <w:rStyle w:val="44"/>
      </w:rPr>
      <w:instrText xml:space="preserve">PAGE  </w:instrText>
    </w:r>
    <w:r>
      <w:rPr>
        <w:rStyle w:val="44"/>
      </w:rPr>
      <w:fldChar w:fldCharType="separate"/>
    </w:r>
    <w:r>
      <w:rPr>
        <w:rStyle w:val="44"/>
      </w:rPr>
      <w:t>22</w:t>
    </w:r>
    <w:r>
      <w:rPr>
        <w:rStyle w:val="44"/>
      </w:rPr>
      <w:fldChar w:fldCharType="end"/>
    </w:r>
  </w:p>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pPr>
    <w:r>
      <w:rPr>
        <w:rFonts w:hint="eastAsia"/>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pPr>
    <w:r>
      <w:rPr>
        <w:rFonts w:hint="eastAsia"/>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pPr>
    <w:r>
      <w:rPr>
        <w:rFonts w:hint="eastAsia"/>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FF5CB8E"/>
    <w:multiLevelType w:val="singleLevel"/>
    <w:tmpl w:val="9FF5CB8E"/>
    <w:lvl w:ilvl="0" w:tentative="0">
      <w:start w:val="1"/>
      <w:numFmt w:val="bullet"/>
      <w:pStyle w:val="17"/>
      <w:lvlText w:val=""/>
      <w:lvlJc w:val="left"/>
      <w:pPr>
        <w:tabs>
          <w:tab w:val="left" w:pos="780"/>
        </w:tabs>
        <w:ind w:left="780" w:hanging="360"/>
      </w:pPr>
      <w:rPr>
        <w:rFonts w:hint="default" w:ascii="Wingdings" w:hAnsi="Wingdings"/>
      </w:rPr>
    </w:lvl>
  </w:abstractNum>
  <w:abstractNum w:abstractNumId="1">
    <w:nsid w:val="AEBE4352"/>
    <w:multiLevelType w:val="singleLevel"/>
    <w:tmpl w:val="AEBE4352"/>
    <w:lvl w:ilvl="0" w:tentative="0">
      <w:start w:val="6"/>
      <w:numFmt w:val="decimal"/>
      <w:suff w:val="nothing"/>
      <w:lvlText w:val="%1、"/>
      <w:lvlJc w:val="left"/>
    </w:lvl>
  </w:abstractNum>
  <w:abstractNum w:abstractNumId="2">
    <w:nsid w:val="FFF6BD2C"/>
    <w:multiLevelType w:val="singleLevel"/>
    <w:tmpl w:val="FFF6BD2C"/>
    <w:lvl w:ilvl="0" w:tentative="0">
      <w:start w:val="6"/>
      <w:numFmt w:val="chineseCounting"/>
      <w:suff w:val="nothing"/>
      <w:lvlText w:val="%1、"/>
      <w:lvlJc w:val="left"/>
      <w:rPr>
        <w:rFonts w:hint="eastAsia"/>
      </w:rPr>
    </w:lvl>
  </w:abstractNum>
  <w:abstractNum w:abstractNumId="3">
    <w:nsid w:val="01567D9A"/>
    <w:multiLevelType w:val="singleLevel"/>
    <w:tmpl w:val="01567D9A"/>
    <w:lvl w:ilvl="0" w:tentative="0">
      <w:start w:val="1"/>
      <w:numFmt w:val="decimal"/>
      <w:lvlText w:val="%1."/>
      <w:lvlJc w:val="left"/>
      <w:pPr>
        <w:tabs>
          <w:tab w:val="left" w:pos="312"/>
        </w:tabs>
      </w:pPr>
    </w:lvl>
  </w:abstractNum>
  <w:abstractNum w:abstractNumId="4">
    <w:nsid w:val="1AFC7BAF"/>
    <w:multiLevelType w:val="multilevel"/>
    <w:tmpl w:val="1AFC7BAF"/>
    <w:lvl w:ilvl="0" w:tentative="0">
      <w:start w:val="1"/>
      <w:numFmt w:val="decimal"/>
      <w:lvlText w:val="表 %1 "/>
      <w:lvlJc w:val="left"/>
      <w:pPr>
        <w:ind w:left="420" w:hanging="420"/>
      </w:pPr>
      <w:rPr>
        <w:rFonts w:hint="eastAsia"/>
        <w:b/>
        <w:lang w:val="en-US"/>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5">
    <w:nsid w:val="47AB34A2"/>
    <w:multiLevelType w:val="multilevel"/>
    <w:tmpl w:val="47AB34A2"/>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486806FE"/>
    <w:multiLevelType w:val="multilevel"/>
    <w:tmpl w:val="486806FE"/>
    <w:lvl w:ilvl="0" w:tentative="0">
      <w:start w:val="1"/>
      <w:numFmt w:val="decimal"/>
      <w:lvlText w:val="%1."/>
      <w:lvlJc w:val="left"/>
      <w:pPr>
        <w:tabs>
          <w:tab w:val="left" w:pos="420"/>
        </w:tabs>
        <w:ind w:left="420" w:hanging="420"/>
      </w:pPr>
      <w:rPr>
        <w:color w:val="auto"/>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6100038B"/>
    <w:multiLevelType w:val="multilevel"/>
    <w:tmpl w:val="6100038B"/>
    <w:lvl w:ilvl="0" w:tentative="0">
      <w:start w:val="1"/>
      <w:numFmt w:val="decimal"/>
      <w:pStyle w:val="117"/>
      <w:lvlText w:val="表 %1 "/>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69F76C17"/>
    <w:multiLevelType w:val="multilevel"/>
    <w:tmpl w:val="69F76C17"/>
    <w:lvl w:ilvl="0" w:tentative="0">
      <w:start w:val="1"/>
      <w:numFmt w:val="chineseCountingThousand"/>
      <w:suff w:val="space"/>
      <w:lvlText w:val="第%1章"/>
      <w:lvlJc w:val="left"/>
      <w:pPr>
        <w:ind w:left="0" w:firstLine="0"/>
      </w:pPr>
      <w:rPr>
        <w:rFonts w:hint="eastAsia" w:ascii="隶书" w:eastAsia="隶书"/>
        <w:b/>
        <w:i w:val="0"/>
        <w:outline w:val="0"/>
        <w:shadow/>
        <w:emboss w:val="0"/>
        <w:imprint w:val="0"/>
        <w:sz w:val="36"/>
      </w:rPr>
    </w:lvl>
    <w:lvl w:ilvl="1" w:tentative="0">
      <w:start w:val="1"/>
      <w:numFmt w:val="chineseCountingThousand"/>
      <w:suff w:val="nothing"/>
      <w:lvlText w:val="%2."/>
      <w:lvlJc w:val="left"/>
      <w:pPr>
        <w:ind w:left="425" w:hanging="425"/>
      </w:pPr>
      <w:rPr>
        <w:rFonts w:hint="eastAsia"/>
      </w:rPr>
    </w:lvl>
    <w:lvl w:ilvl="2" w:tentative="0">
      <w:start w:val="1"/>
      <w:numFmt w:val="chineseCountingThousand"/>
      <w:suff w:val="nothing"/>
      <w:lvlText w:val="(%3)."/>
      <w:lvlJc w:val="left"/>
      <w:pPr>
        <w:ind w:left="0" w:firstLine="0"/>
      </w:pPr>
      <w:rPr>
        <w:rFonts w:hint="eastAsia" w:ascii="楷体_GB2312" w:eastAsia="楷体_GB2312"/>
      </w:rPr>
    </w:lvl>
    <w:lvl w:ilvl="3" w:tentative="0">
      <w:start w:val="1"/>
      <w:numFmt w:val="decimal"/>
      <w:pStyle w:val="5"/>
      <w:suff w:val="nothing"/>
      <w:lvlText w:val="%4."/>
      <w:lvlJc w:val="left"/>
      <w:pPr>
        <w:ind w:left="0" w:firstLine="0"/>
      </w:pPr>
      <w:rPr>
        <w:rFonts w:hint="eastAsia" w:ascii="宋体" w:eastAsia="宋体"/>
      </w:rPr>
    </w:lvl>
    <w:lvl w:ilvl="4" w:tentative="0">
      <w:start w:val="1"/>
      <w:numFmt w:val="decimal"/>
      <w:pStyle w:val="6"/>
      <w:suff w:val="nothing"/>
      <w:lvlText w:val="(%5)."/>
      <w:lvlJc w:val="left"/>
      <w:pPr>
        <w:ind w:left="0" w:firstLine="0"/>
      </w:pPr>
      <w:rPr>
        <w:rFonts w:hint="eastAsia" w:ascii="宋体" w:eastAsia="宋体"/>
      </w:rPr>
    </w:lvl>
    <w:lvl w:ilvl="5" w:tentative="0">
      <w:start w:val="1"/>
      <w:numFmt w:val="upperLetter"/>
      <w:pStyle w:val="8"/>
      <w:lvlText w:val="%6."/>
      <w:lvlJc w:val="left"/>
      <w:pPr>
        <w:tabs>
          <w:tab w:val="left" w:pos="0"/>
        </w:tabs>
        <w:ind w:left="0" w:firstLine="0"/>
      </w:pPr>
      <w:rPr>
        <w:rFonts w:hint="eastAsia" w:ascii="宋体" w:eastAsia="宋体"/>
      </w:rPr>
    </w:lvl>
    <w:lvl w:ilvl="6" w:tentative="0">
      <w:start w:val="1"/>
      <w:numFmt w:val="decimal"/>
      <w:pStyle w:val="9"/>
      <w:lvlText w:val="%7"/>
      <w:lvlJc w:val="left"/>
      <w:pPr>
        <w:tabs>
          <w:tab w:val="left" w:pos="0"/>
        </w:tabs>
        <w:ind w:left="0" w:firstLine="0"/>
      </w:pPr>
      <w:rPr>
        <w:rFonts w:hint="default" w:ascii="Times New Roman" w:hAnsi="Times New Roman"/>
      </w:rPr>
    </w:lvl>
    <w:lvl w:ilvl="7" w:tentative="0">
      <w:start w:val="1"/>
      <w:numFmt w:val="decimal"/>
      <w:pStyle w:val="10"/>
      <w:lvlText w:val="%8"/>
      <w:lvlJc w:val="left"/>
      <w:pPr>
        <w:tabs>
          <w:tab w:val="left" w:pos="0"/>
        </w:tabs>
        <w:ind w:left="0" w:firstLine="0"/>
      </w:pPr>
      <w:rPr>
        <w:rFonts w:hint="default" w:ascii="Times New Roman" w:hAnsi="Times New Roman"/>
      </w:rPr>
    </w:lvl>
    <w:lvl w:ilvl="8" w:tentative="0">
      <w:start w:val="1"/>
      <w:numFmt w:val="decimal"/>
      <w:pStyle w:val="11"/>
      <w:lvlText w:val="%9"/>
      <w:lvlJc w:val="left"/>
      <w:pPr>
        <w:tabs>
          <w:tab w:val="left" w:pos="0"/>
        </w:tabs>
        <w:ind w:left="0" w:firstLine="0"/>
      </w:pPr>
      <w:rPr>
        <w:rFonts w:hint="default" w:ascii="Times New Roman" w:hAnsi="Times New Roman"/>
      </w:rPr>
    </w:lvl>
  </w:abstractNum>
  <w:abstractNum w:abstractNumId="9">
    <w:nsid w:val="72F9ECC9"/>
    <w:multiLevelType w:val="singleLevel"/>
    <w:tmpl w:val="72F9ECC9"/>
    <w:lvl w:ilvl="0" w:tentative="0">
      <w:start w:val="1"/>
      <w:numFmt w:val="chineseCounting"/>
      <w:suff w:val="nothing"/>
      <w:lvlText w:val="%1、"/>
      <w:lvlJc w:val="left"/>
      <w:rPr>
        <w:rFonts w:hint="eastAsia"/>
      </w:rPr>
    </w:lvl>
  </w:abstractNum>
  <w:abstractNum w:abstractNumId="10">
    <w:nsid w:val="742505C2"/>
    <w:multiLevelType w:val="multilevel"/>
    <w:tmpl w:val="742505C2"/>
    <w:lvl w:ilvl="0" w:tentative="0">
      <w:start w:val="1"/>
      <w:numFmt w:val="decimal"/>
      <w:lvlText w:val="%1、"/>
      <w:lvlJc w:val="left"/>
      <w:pPr>
        <w:tabs>
          <w:tab w:val="left" w:pos="360"/>
        </w:tabs>
        <w:ind w:left="36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1">
    <w:nsid w:val="76B1C044"/>
    <w:multiLevelType w:val="singleLevel"/>
    <w:tmpl w:val="76B1C044"/>
    <w:lvl w:ilvl="0" w:tentative="0">
      <w:start w:val="2"/>
      <w:numFmt w:val="decimal"/>
      <w:suff w:val="nothing"/>
      <w:lvlText w:val="（%1）"/>
      <w:lvlJc w:val="left"/>
    </w:lvl>
  </w:abstractNum>
  <w:num w:numId="1">
    <w:abstractNumId w:val="8"/>
  </w:num>
  <w:num w:numId="2">
    <w:abstractNumId w:val="0"/>
  </w:num>
  <w:num w:numId="3">
    <w:abstractNumId w:val="7"/>
  </w:num>
  <w:num w:numId="4">
    <w:abstractNumId w:val="10"/>
  </w:num>
  <w:num w:numId="5">
    <w:abstractNumId w:val="4"/>
  </w:num>
  <w:num w:numId="6">
    <w:abstractNumId w:val="9"/>
  </w:num>
  <w:num w:numId="7">
    <w:abstractNumId w:val="3"/>
  </w:num>
  <w:num w:numId="8">
    <w:abstractNumId w:val="6"/>
  </w:num>
  <w:num w:numId="9">
    <w:abstractNumId w:val="5"/>
  </w:num>
  <w:num w:numId="10">
    <w:abstractNumId w:val="2"/>
  </w:num>
  <w:num w:numId="11">
    <w:abstractNumId w:val="11"/>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172A27"/>
    <w:rsid w:val="0000195F"/>
    <w:rsid w:val="000042AF"/>
    <w:rsid w:val="0000492E"/>
    <w:rsid w:val="000058C5"/>
    <w:rsid w:val="0000650E"/>
    <w:rsid w:val="00006513"/>
    <w:rsid w:val="00007E25"/>
    <w:rsid w:val="00010684"/>
    <w:rsid w:val="000108D7"/>
    <w:rsid w:val="000111F7"/>
    <w:rsid w:val="00011E59"/>
    <w:rsid w:val="00012105"/>
    <w:rsid w:val="00012968"/>
    <w:rsid w:val="0001361A"/>
    <w:rsid w:val="000136F3"/>
    <w:rsid w:val="00013FA1"/>
    <w:rsid w:val="000164D2"/>
    <w:rsid w:val="000173DA"/>
    <w:rsid w:val="000223F8"/>
    <w:rsid w:val="00025E6A"/>
    <w:rsid w:val="00026D6F"/>
    <w:rsid w:val="00030336"/>
    <w:rsid w:val="000304F6"/>
    <w:rsid w:val="000309F2"/>
    <w:rsid w:val="00031AD2"/>
    <w:rsid w:val="000340B6"/>
    <w:rsid w:val="00035BC0"/>
    <w:rsid w:val="00040106"/>
    <w:rsid w:val="00040582"/>
    <w:rsid w:val="00041E72"/>
    <w:rsid w:val="000427F3"/>
    <w:rsid w:val="00044113"/>
    <w:rsid w:val="00047128"/>
    <w:rsid w:val="00047EA3"/>
    <w:rsid w:val="00047EB1"/>
    <w:rsid w:val="0005037F"/>
    <w:rsid w:val="00051131"/>
    <w:rsid w:val="000547D6"/>
    <w:rsid w:val="0006002D"/>
    <w:rsid w:val="00060C98"/>
    <w:rsid w:val="00061774"/>
    <w:rsid w:val="00061BF3"/>
    <w:rsid w:val="00063A4C"/>
    <w:rsid w:val="00063E8A"/>
    <w:rsid w:val="00064DC0"/>
    <w:rsid w:val="00065735"/>
    <w:rsid w:val="000664A3"/>
    <w:rsid w:val="00066D98"/>
    <w:rsid w:val="00066ED0"/>
    <w:rsid w:val="000701C8"/>
    <w:rsid w:val="00070525"/>
    <w:rsid w:val="00071834"/>
    <w:rsid w:val="00072C66"/>
    <w:rsid w:val="000746B1"/>
    <w:rsid w:val="000753BF"/>
    <w:rsid w:val="0007605E"/>
    <w:rsid w:val="00076591"/>
    <w:rsid w:val="00080739"/>
    <w:rsid w:val="00081180"/>
    <w:rsid w:val="000830C9"/>
    <w:rsid w:val="00083543"/>
    <w:rsid w:val="000837D7"/>
    <w:rsid w:val="000846E0"/>
    <w:rsid w:val="00084D05"/>
    <w:rsid w:val="00086C38"/>
    <w:rsid w:val="00090D87"/>
    <w:rsid w:val="00092027"/>
    <w:rsid w:val="00092CC9"/>
    <w:rsid w:val="000947F0"/>
    <w:rsid w:val="00095643"/>
    <w:rsid w:val="00095DDF"/>
    <w:rsid w:val="00097D95"/>
    <w:rsid w:val="00097DDB"/>
    <w:rsid w:val="000A0015"/>
    <w:rsid w:val="000A0372"/>
    <w:rsid w:val="000A07CF"/>
    <w:rsid w:val="000A0FDA"/>
    <w:rsid w:val="000A1F04"/>
    <w:rsid w:val="000A2741"/>
    <w:rsid w:val="000A2B1D"/>
    <w:rsid w:val="000A2BC4"/>
    <w:rsid w:val="000A30EB"/>
    <w:rsid w:val="000A4481"/>
    <w:rsid w:val="000A44FD"/>
    <w:rsid w:val="000A56F2"/>
    <w:rsid w:val="000A5786"/>
    <w:rsid w:val="000A5CC1"/>
    <w:rsid w:val="000A6483"/>
    <w:rsid w:val="000A721D"/>
    <w:rsid w:val="000B2544"/>
    <w:rsid w:val="000B395F"/>
    <w:rsid w:val="000B475A"/>
    <w:rsid w:val="000B4F95"/>
    <w:rsid w:val="000B4FB5"/>
    <w:rsid w:val="000B5751"/>
    <w:rsid w:val="000B5BA7"/>
    <w:rsid w:val="000B5D3D"/>
    <w:rsid w:val="000C0519"/>
    <w:rsid w:val="000C06F4"/>
    <w:rsid w:val="000C1F36"/>
    <w:rsid w:val="000C251E"/>
    <w:rsid w:val="000C2892"/>
    <w:rsid w:val="000C2D25"/>
    <w:rsid w:val="000C2F48"/>
    <w:rsid w:val="000C2F9B"/>
    <w:rsid w:val="000C396D"/>
    <w:rsid w:val="000C7E73"/>
    <w:rsid w:val="000C7FF7"/>
    <w:rsid w:val="000D215E"/>
    <w:rsid w:val="000D23BE"/>
    <w:rsid w:val="000D3E52"/>
    <w:rsid w:val="000D538F"/>
    <w:rsid w:val="000D53DC"/>
    <w:rsid w:val="000D5984"/>
    <w:rsid w:val="000D6C43"/>
    <w:rsid w:val="000D7136"/>
    <w:rsid w:val="000E05DF"/>
    <w:rsid w:val="000E1E3B"/>
    <w:rsid w:val="000E22FA"/>
    <w:rsid w:val="000E3370"/>
    <w:rsid w:val="000E5900"/>
    <w:rsid w:val="000E5C81"/>
    <w:rsid w:val="000E67FD"/>
    <w:rsid w:val="000F0A25"/>
    <w:rsid w:val="000F1BDC"/>
    <w:rsid w:val="000F1DFE"/>
    <w:rsid w:val="000F1FD5"/>
    <w:rsid w:val="000F249A"/>
    <w:rsid w:val="000F2A07"/>
    <w:rsid w:val="000F3FD3"/>
    <w:rsid w:val="000F493B"/>
    <w:rsid w:val="000F5CB8"/>
    <w:rsid w:val="000F6750"/>
    <w:rsid w:val="00100254"/>
    <w:rsid w:val="001011CB"/>
    <w:rsid w:val="0010178A"/>
    <w:rsid w:val="00101D81"/>
    <w:rsid w:val="001033CE"/>
    <w:rsid w:val="001036A9"/>
    <w:rsid w:val="00105A2C"/>
    <w:rsid w:val="00106949"/>
    <w:rsid w:val="00107214"/>
    <w:rsid w:val="001076E6"/>
    <w:rsid w:val="00107705"/>
    <w:rsid w:val="0010790B"/>
    <w:rsid w:val="0011018F"/>
    <w:rsid w:val="0011147C"/>
    <w:rsid w:val="00111E0F"/>
    <w:rsid w:val="00112514"/>
    <w:rsid w:val="00113455"/>
    <w:rsid w:val="001152F8"/>
    <w:rsid w:val="0011662C"/>
    <w:rsid w:val="00116C99"/>
    <w:rsid w:val="00120264"/>
    <w:rsid w:val="00122646"/>
    <w:rsid w:val="001239A7"/>
    <w:rsid w:val="00123D91"/>
    <w:rsid w:val="001254D4"/>
    <w:rsid w:val="00125BAD"/>
    <w:rsid w:val="00125FC5"/>
    <w:rsid w:val="0012603A"/>
    <w:rsid w:val="00126B52"/>
    <w:rsid w:val="00127235"/>
    <w:rsid w:val="0013210F"/>
    <w:rsid w:val="001328C2"/>
    <w:rsid w:val="001335AD"/>
    <w:rsid w:val="00133734"/>
    <w:rsid w:val="00134552"/>
    <w:rsid w:val="00134888"/>
    <w:rsid w:val="00134CBC"/>
    <w:rsid w:val="00135173"/>
    <w:rsid w:val="00135598"/>
    <w:rsid w:val="00135C5C"/>
    <w:rsid w:val="00136BB3"/>
    <w:rsid w:val="00136CC8"/>
    <w:rsid w:val="00140234"/>
    <w:rsid w:val="00141C0B"/>
    <w:rsid w:val="00142CF0"/>
    <w:rsid w:val="00142FD7"/>
    <w:rsid w:val="0014360B"/>
    <w:rsid w:val="00145021"/>
    <w:rsid w:val="001453FA"/>
    <w:rsid w:val="00145ED0"/>
    <w:rsid w:val="00146AD5"/>
    <w:rsid w:val="00146DB2"/>
    <w:rsid w:val="0014718A"/>
    <w:rsid w:val="0014781E"/>
    <w:rsid w:val="001478CF"/>
    <w:rsid w:val="00147FC0"/>
    <w:rsid w:val="00151BD0"/>
    <w:rsid w:val="00152AD8"/>
    <w:rsid w:val="00155BDA"/>
    <w:rsid w:val="00156B91"/>
    <w:rsid w:val="001572C8"/>
    <w:rsid w:val="00160025"/>
    <w:rsid w:val="00160D3D"/>
    <w:rsid w:val="00161EBA"/>
    <w:rsid w:val="00162985"/>
    <w:rsid w:val="001631CB"/>
    <w:rsid w:val="001633FF"/>
    <w:rsid w:val="00163565"/>
    <w:rsid w:val="00164423"/>
    <w:rsid w:val="001645E3"/>
    <w:rsid w:val="00165735"/>
    <w:rsid w:val="00165A36"/>
    <w:rsid w:val="00166DD4"/>
    <w:rsid w:val="00170789"/>
    <w:rsid w:val="00170C11"/>
    <w:rsid w:val="00171EB2"/>
    <w:rsid w:val="00171F57"/>
    <w:rsid w:val="00172635"/>
    <w:rsid w:val="00172A27"/>
    <w:rsid w:val="00173DB3"/>
    <w:rsid w:val="00182C86"/>
    <w:rsid w:val="00183007"/>
    <w:rsid w:val="0018426D"/>
    <w:rsid w:val="00184619"/>
    <w:rsid w:val="0019016A"/>
    <w:rsid w:val="00191852"/>
    <w:rsid w:val="00191FFB"/>
    <w:rsid w:val="00192A24"/>
    <w:rsid w:val="00193504"/>
    <w:rsid w:val="00194D1E"/>
    <w:rsid w:val="00195429"/>
    <w:rsid w:val="00195B1D"/>
    <w:rsid w:val="0019614F"/>
    <w:rsid w:val="00196662"/>
    <w:rsid w:val="00197126"/>
    <w:rsid w:val="00197920"/>
    <w:rsid w:val="00197DA0"/>
    <w:rsid w:val="00197E6A"/>
    <w:rsid w:val="001A13C3"/>
    <w:rsid w:val="001A2436"/>
    <w:rsid w:val="001A2CB9"/>
    <w:rsid w:val="001A3AC6"/>
    <w:rsid w:val="001A3EE5"/>
    <w:rsid w:val="001A6B92"/>
    <w:rsid w:val="001A782C"/>
    <w:rsid w:val="001B026D"/>
    <w:rsid w:val="001B0D8A"/>
    <w:rsid w:val="001B4136"/>
    <w:rsid w:val="001B417C"/>
    <w:rsid w:val="001B452E"/>
    <w:rsid w:val="001B613C"/>
    <w:rsid w:val="001B62FB"/>
    <w:rsid w:val="001B74F8"/>
    <w:rsid w:val="001C0764"/>
    <w:rsid w:val="001C0971"/>
    <w:rsid w:val="001C13C6"/>
    <w:rsid w:val="001C1B18"/>
    <w:rsid w:val="001C3A6C"/>
    <w:rsid w:val="001C5821"/>
    <w:rsid w:val="001C5C4A"/>
    <w:rsid w:val="001C62AF"/>
    <w:rsid w:val="001C6C2B"/>
    <w:rsid w:val="001D0370"/>
    <w:rsid w:val="001D13DB"/>
    <w:rsid w:val="001D1501"/>
    <w:rsid w:val="001D45FB"/>
    <w:rsid w:val="001D4BB6"/>
    <w:rsid w:val="001D5AF3"/>
    <w:rsid w:val="001D654C"/>
    <w:rsid w:val="001D69FA"/>
    <w:rsid w:val="001D7427"/>
    <w:rsid w:val="001E2121"/>
    <w:rsid w:val="001E4849"/>
    <w:rsid w:val="001F0DF6"/>
    <w:rsid w:val="001F1877"/>
    <w:rsid w:val="001F4702"/>
    <w:rsid w:val="001F4781"/>
    <w:rsid w:val="001F4A2F"/>
    <w:rsid w:val="001F6104"/>
    <w:rsid w:val="001F6769"/>
    <w:rsid w:val="001F7959"/>
    <w:rsid w:val="001F7C1E"/>
    <w:rsid w:val="0020053E"/>
    <w:rsid w:val="00202223"/>
    <w:rsid w:val="00202596"/>
    <w:rsid w:val="00204481"/>
    <w:rsid w:val="0020471F"/>
    <w:rsid w:val="00204837"/>
    <w:rsid w:val="00205433"/>
    <w:rsid w:val="00207D49"/>
    <w:rsid w:val="00207F22"/>
    <w:rsid w:val="00211430"/>
    <w:rsid w:val="00211B27"/>
    <w:rsid w:val="0021231B"/>
    <w:rsid w:val="0021292D"/>
    <w:rsid w:val="00214073"/>
    <w:rsid w:val="002164F3"/>
    <w:rsid w:val="002173A4"/>
    <w:rsid w:val="0021742E"/>
    <w:rsid w:val="002175FC"/>
    <w:rsid w:val="00217E4F"/>
    <w:rsid w:val="00220BA3"/>
    <w:rsid w:val="00221EA5"/>
    <w:rsid w:val="0022361B"/>
    <w:rsid w:val="002236A6"/>
    <w:rsid w:val="002238BB"/>
    <w:rsid w:val="0022459A"/>
    <w:rsid w:val="0022508D"/>
    <w:rsid w:val="002257C6"/>
    <w:rsid w:val="00225BD1"/>
    <w:rsid w:val="00225DD7"/>
    <w:rsid w:val="00226483"/>
    <w:rsid w:val="002264B5"/>
    <w:rsid w:val="002311D5"/>
    <w:rsid w:val="002316AF"/>
    <w:rsid w:val="00232B68"/>
    <w:rsid w:val="00233F1C"/>
    <w:rsid w:val="00237165"/>
    <w:rsid w:val="00237EE6"/>
    <w:rsid w:val="00237F86"/>
    <w:rsid w:val="00240111"/>
    <w:rsid w:val="00240165"/>
    <w:rsid w:val="00240692"/>
    <w:rsid w:val="00241DE0"/>
    <w:rsid w:val="00241DF4"/>
    <w:rsid w:val="00242F8A"/>
    <w:rsid w:val="00243367"/>
    <w:rsid w:val="00244457"/>
    <w:rsid w:val="00244CCA"/>
    <w:rsid w:val="00245579"/>
    <w:rsid w:val="0024649F"/>
    <w:rsid w:val="002479EC"/>
    <w:rsid w:val="00251090"/>
    <w:rsid w:val="002546E8"/>
    <w:rsid w:val="002560D0"/>
    <w:rsid w:val="0025714E"/>
    <w:rsid w:val="002607B8"/>
    <w:rsid w:val="00260A50"/>
    <w:rsid w:val="00263A4C"/>
    <w:rsid w:val="00264847"/>
    <w:rsid w:val="00266195"/>
    <w:rsid w:val="0026657A"/>
    <w:rsid w:val="00266F9A"/>
    <w:rsid w:val="00267497"/>
    <w:rsid w:val="00267A52"/>
    <w:rsid w:val="00270A72"/>
    <w:rsid w:val="00271248"/>
    <w:rsid w:val="00271255"/>
    <w:rsid w:val="00271F2F"/>
    <w:rsid w:val="002737ED"/>
    <w:rsid w:val="00274723"/>
    <w:rsid w:val="00274D69"/>
    <w:rsid w:val="0027581D"/>
    <w:rsid w:val="002774D7"/>
    <w:rsid w:val="00277552"/>
    <w:rsid w:val="00282590"/>
    <w:rsid w:val="0028259F"/>
    <w:rsid w:val="0028460E"/>
    <w:rsid w:val="00284B15"/>
    <w:rsid w:val="00285188"/>
    <w:rsid w:val="00285BEC"/>
    <w:rsid w:val="00286A22"/>
    <w:rsid w:val="0029004A"/>
    <w:rsid w:val="00290258"/>
    <w:rsid w:val="002905BB"/>
    <w:rsid w:val="002905BF"/>
    <w:rsid w:val="00291308"/>
    <w:rsid w:val="00291E21"/>
    <w:rsid w:val="00292E3C"/>
    <w:rsid w:val="002963E7"/>
    <w:rsid w:val="002A02B8"/>
    <w:rsid w:val="002A330A"/>
    <w:rsid w:val="002A44A2"/>
    <w:rsid w:val="002A49F7"/>
    <w:rsid w:val="002A7513"/>
    <w:rsid w:val="002A78C0"/>
    <w:rsid w:val="002A7E34"/>
    <w:rsid w:val="002B0B7A"/>
    <w:rsid w:val="002B1222"/>
    <w:rsid w:val="002B20FA"/>
    <w:rsid w:val="002B2C46"/>
    <w:rsid w:val="002B3FA1"/>
    <w:rsid w:val="002B6009"/>
    <w:rsid w:val="002B62AC"/>
    <w:rsid w:val="002B7883"/>
    <w:rsid w:val="002C11B3"/>
    <w:rsid w:val="002C398D"/>
    <w:rsid w:val="002C4267"/>
    <w:rsid w:val="002C7F74"/>
    <w:rsid w:val="002D0DF0"/>
    <w:rsid w:val="002D0E25"/>
    <w:rsid w:val="002D1BE6"/>
    <w:rsid w:val="002D1E8A"/>
    <w:rsid w:val="002D2F9A"/>
    <w:rsid w:val="002D34E3"/>
    <w:rsid w:val="002D4528"/>
    <w:rsid w:val="002D51C0"/>
    <w:rsid w:val="002D5C99"/>
    <w:rsid w:val="002D63F9"/>
    <w:rsid w:val="002D666B"/>
    <w:rsid w:val="002D7082"/>
    <w:rsid w:val="002E0225"/>
    <w:rsid w:val="002E04E3"/>
    <w:rsid w:val="002E0855"/>
    <w:rsid w:val="002E174D"/>
    <w:rsid w:val="002E2336"/>
    <w:rsid w:val="002E2880"/>
    <w:rsid w:val="002E43D0"/>
    <w:rsid w:val="002E4634"/>
    <w:rsid w:val="002E4FA5"/>
    <w:rsid w:val="002E51A6"/>
    <w:rsid w:val="002E6684"/>
    <w:rsid w:val="002E73E8"/>
    <w:rsid w:val="002E78D4"/>
    <w:rsid w:val="002F0CD2"/>
    <w:rsid w:val="002F0EEB"/>
    <w:rsid w:val="002F28BC"/>
    <w:rsid w:val="002F3220"/>
    <w:rsid w:val="002F4771"/>
    <w:rsid w:val="002F51C1"/>
    <w:rsid w:val="002F54C1"/>
    <w:rsid w:val="002F74C0"/>
    <w:rsid w:val="00300DF3"/>
    <w:rsid w:val="0030307B"/>
    <w:rsid w:val="003035E9"/>
    <w:rsid w:val="00305075"/>
    <w:rsid w:val="00305B32"/>
    <w:rsid w:val="00307A1A"/>
    <w:rsid w:val="003102DD"/>
    <w:rsid w:val="00312CFF"/>
    <w:rsid w:val="0031333F"/>
    <w:rsid w:val="003133C8"/>
    <w:rsid w:val="00315229"/>
    <w:rsid w:val="00315558"/>
    <w:rsid w:val="00315C8E"/>
    <w:rsid w:val="0031629E"/>
    <w:rsid w:val="00323278"/>
    <w:rsid w:val="00323A30"/>
    <w:rsid w:val="003242CC"/>
    <w:rsid w:val="00324B43"/>
    <w:rsid w:val="003271F6"/>
    <w:rsid w:val="00327E99"/>
    <w:rsid w:val="003315B1"/>
    <w:rsid w:val="00332098"/>
    <w:rsid w:val="00332148"/>
    <w:rsid w:val="00337B4B"/>
    <w:rsid w:val="003405BC"/>
    <w:rsid w:val="003417D2"/>
    <w:rsid w:val="00342006"/>
    <w:rsid w:val="003422EA"/>
    <w:rsid w:val="00344E5D"/>
    <w:rsid w:val="003476B2"/>
    <w:rsid w:val="00350AD3"/>
    <w:rsid w:val="00351EB8"/>
    <w:rsid w:val="003529F3"/>
    <w:rsid w:val="00353589"/>
    <w:rsid w:val="003537F2"/>
    <w:rsid w:val="0035446D"/>
    <w:rsid w:val="00355021"/>
    <w:rsid w:val="00355D51"/>
    <w:rsid w:val="003560C6"/>
    <w:rsid w:val="003656FF"/>
    <w:rsid w:val="00365A5A"/>
    <w:rsid w:val="00366153"/>
    <w:rsid w:val="003661A8"/>
    <w:rsid w:val="00367189"/>
    <w:rsid w:val="00367B5E"/>
    <w:rsid w:val="00372F10"/>
    <w:rsid w:val="003736BB"/>
    <w:rsid w:val="003742E5"/>
    <w:rsid w:val="003743E6"/>
    <w:rsid w:val="00374B0C"/>
    <w:rsid w:val="0037563E"/>
    <w:rsid w:val="003768F2"/>
    <w:rsid w:val="003778E5"/>
    <w:rsid w:val="003809AC"/>
    <w:rsid w:val="00380C47"/>
    <w:rsid w:val="00381792"/>
    <w:rsid w:val="00384292"/>
    <w:rsid w:val="003854F7"/>
    <w:rsid w:val="00386926"/>
    <w:rsid w:val="0038740C"/>
    <w:rsid w:val="0038780F"/>
    <w:rsid w:val="003908A0"/>
    <w:rsid w:val="00391C17"/>
    <w:rsid w:val="003927D9"/>
    <w:rsid w:val="0039294A"/>
    <w:rsid w:val="00396082"/>
    <w:rsid w:val="00396CB4"/>
    <w:rsid w:val="00397FB3"/>
    <w:rsid w:val="003A0E77"/>
    <w:rsid w:val="003A2508"/>
    <w:rsid w:val="003A2C48"/>
    <w:rsid w:val="003A3075"/>
    <w:rsid w:val="003A32EB"/>
    <w:rsid w:val="003A3CE5"/>
    <w:rsid w:val="003A49CD"/>
    <w:rsid w:val="003A4F79"/>
    <w:rsid w:val="003A509C"/>
    <w:rsid w:val="003A60FB"/>
    <w:rsid w:val="003B1C5F"/>
    <w:rsid w:val="003B2555"/>
    <w:rsid w:val="003B2CFB"/>
    <w:rsid w:val="003B49F8"/>
    <w:rsid w:val="003B4C61"/>
    <w:rsid w:val="003B4FE7"/>
    <w:rsid w:val="003B52A4"/>
    <w:rsid w:val="003B563C"/>
    <w:rsid w:val="003B77F0"/>
    <w:rsid w:val="003C2347"/>
    <w:rsid w:val="003C32AA"/>
    <w:rsid w:val="003C41DF"/>
    <w:rsid w:val="003C4325"/>
    <w:rsid w:val="003C4861"/>
    <w:rsid w:val="003C4D32"/>
    <w:rsid w:val="003C52C1"/>
    <w:rsid w:val="003C54B1"/>
    <w:rsid w:val="003C79AD"/>
    <w:rsid w:val="003C7D94"/>
    <w:rsid w:val="003D038F"/>
    <w:rsid w:val="003D14F7"/>
    <w:rsid w:val="003D2132"/>
    <w:rsid w:val="003D37A5"/>
    <w:rsid w:val="003D4557"/>
    <w:rsid w:val="003D4C1D"/>
    <w:rsid w:val="003D57CA"/>
    <w:rsid w:val="003D63B0"/>
    <w:rsid w:val="003D6ECE"/>
    <w:rsid w:val="003D6FB2"/>
    <w:rsid w:val="003D7AB2"/>
    <w:rsid w:val="003E01DF"/>
    <w:rsid w:val="003E05F2"/>
    <w:rsid w:val="003E0BC1"/>
    <w:rsid w:val="003E1A1D"/>
    <w:rsid w:val="003E2DA1"/>
    <w:rsid w:val="003E38C1"/>
    <w:rsid w:val="003E426A"/>
    <w:rsid w:val="003E43DC"/>
    <w:rsid w:val="003E49E8"/>
    <w:rsid w:val="003E5BE1"/>
    <w:rsid w:val="003E6D79"/>
    <w:rsid w:val="003E750B"/>
    <w:rsid w:val="003F1DBC"/>
    <w:rsid w:val="003F2659"/>
    <w:rsid w:val="003F2673"/>
    <w:rsid w:val="003F3CF3"/>
    <w:rsid w:val="003F6400"/>
    <w:rsid w:val="003F6D52"/>
    <w:rsid w:val="0040122F"/>
    <w:rsid w:val="0040170C"/>
    <w:rsid w:val="00401F73"/>
    <w:rsid w:val="00403DAE"/>
    <w:rsid w:val="004046D0"/>
    <w:rsid w:val="00405B8B"/>
    <w:rsid w:val="004060B7"/>
    <w:rsid w:val="00406600"/>
    <w:rsid w:val="004073C7"/>
    <w:rsid w:val="00407E48"/>
    <w:rsid w:val="0041025A"/>
    <w:rsid w:val="004132F1"/>
    <w:rsid w:val="00413437"/>
    <w:rsid w:val="004141A4"/>
    <w:rsid w:val="00415667"/>
    <w:rsid w:val="0041581B"/>
    <w:rsid w:val="0041584E"/>
    <w:rsid w:val="00415C14"/>
    <w:rsid w:val="004161C1"/>
    <w:rsid w:val="004165A9"/>
    <w:rsid w:val="00416822"/>
    <w:rsid w:val="00416E32"/>
    <w:rsid w:val="00417A7B"/>
    <w:rsid w:val="00420744"/>
    <w:rsid w:val="00420919"/>
    <w:rsid w:val="004210F7"/>
    <w:rsid w:val="00421E04"/>
    <w:rsid w:val="0042272A"/>
    <w:rsid w:val="00423042"/>
    <w:rsid w:val="00423059"/>
    <w:rsid w:val="00423181"/>
    <w:rsid w:val="0042530F"/>
    <w:rsid w:val="00426308"/>
    <w:rsid w:val="004265F6"/>
    <w:rsid w:val="00430A4D"/>
    <w:rsid w:val="00430E14"/>
    <w:rsid w:val="004310B0"/>
    <w:rsid w:val="00431287"/>
    <w:rsid w:val="0043273E"/>
    <w:rsid w:val="00433089"/>
    <w:rsid w:val="0043374F"/>
    <w:rsid w:val="00433CF7"/>
    <w:rsid w:val="00434BBE"/>
    <w:rsid w:val="00435E1F"/>
    <w:rsid w:val="004373D7"/>
    <w:rsid w:val="00440A73"/>
    <w:rsid w:val="00440CDB"/>
    <w:rsid w:val="0044161E"/>
    <w:rsid w:val="00443239"/>
    <w:rsid w:val="004434EC"/>
    <w:rsid w:val="0044440F"/>
    <w:rsid w:val="0044581E"/>
    <w:rsid w:val="00446A0A"/>
    <w:rsid w:val="00446C28"/>
    <w:rsid w:val="00450773"/>
    <w:rsid w:val="0045187D"/>
    <w:rsid w:val="0045384D"/>
    <w:rsid w:val="00454890"/>
    <w:rsid w:val="0045521D"/>
    <w:rsid w:val="0045610A"/>
    <w:rsid w:val="00457118"/>
    <w:rsid w:val="00457BBF"/>
    <w:rsid w:val="00460D80"/>
    <w:rsid w:val="00462549"/>
    <w:rsid w:val="00465696"/>
    <w:rsid w:val="00466143"/>
    <w:rsid w:val="0046631A"/>
    <w:rsid w:val="00467C1F"/>
    <w:rsid w:val="00470C29"/>
    <w:rsid w:val="004712CA"/>
    <w:rsid w:val="00471C7C"/>
    <w:rsid w:val="0047219E"/>
    <w:rsid w:val="004729E0"/>
    <w:rsid w:val="00472EA8"/>
    <w:rsid w:val="0047326E"/>
    <w:rsid w:val="00476CF6"/>
    <w:rsid w:val="00480635"/>
    <w:rsid w:val="00480CC2"/>
    <w:rsid w:val="00480DED"/>
    <w:rsid w:val="00481863"/>
    <w:rsid w:val="00482413"/>
    <w:rsid w:val="00482EB4"/>
    <w:rsid w:val="004832B6"/>
    <w:rsid w:val="00483751"/>
    <w:rsid w:val="0048375B"/>
    <w:rsid w:val="00483AC3"/>
    <w:rsid w:val="0048416C"/>
    <w:rsid w:val="00484555"/>
    <w:rsid w:val="00484D66"/>
    <w:rsid w:val="00486276"/>
    <w:rsid w:val="00487A0D"/>
    <w:rsid w:val="00487C48"/>
    <w:rsid w:val="00487F69"/>
    <w:rsid w:val="004913CC"/>
    <w:rsid w:val="00491987"/>
    <w:rsid w:val="00491A4F"/>
    <w:rsid w:val="00491B7D"/>
    <w:rsid w:val="00492455"/>
    <w:rsid w:val="004938AB"/>
    <w:rsid w:val="00494357"/>
    <w:rsid w:val="004946AC"/>
    <w:rsid w:val="00496580"/>
    <w:rsid w:val="004970B8"/>
    <w:rsid w:val="00497A18"/>
    <w:rsid w:val="004A38BA"/>
    <w:rsid w:val="004A4821"/>
    <w:rsid w:val="004A4F40"/>
    <w:rsid w:val="004B093E"/>
    <w:rsid w:val="004B204F"/>
    <w:rsid w:val="004B2B5C"/>
    <w:rsid w:val="004B2DFF"/>
    <w:rsid w:val="004B3E40"/>
    <w:rsid w:val="004B3F13"/>
    <w:rsid w:val="004B4267"/>
    <w:rsid w:val="004B43B7"/>
    <w:rsid w:val="004B43BC"/>
    <w:rsid w:val="004B4AB4"/>
    <w:rsid w:val="004B4F1D"/>
    <w:rsid w:val="004B650B"/>
    <w:rsid w:val="004B724D"/>
    <w:rsid w:val="004B7AE3"/>
    <w:rsid w:val="004C072D"/>
    <w:rsid w:val="004C0B7D"/>
    <w:rsid w:val="004C0C15"/>
    <w:rsid w:val="004C0C64"/>
    <w:rsid w:val="004C2B2D"/>
    <w:rsid w:val="004C3A89"/>
    <w:rsid w:val="004C596E"/>
    <w:rsid w:val="004C6B1C"/>
    <w:rsid w:val="004C6B2C"/>
    <w:rsid w:val="004C6FE6"/>
    <w:rsid w:val="004C7FE7"/>
    <w:rsid w:val="004D03D9"/>
    <w:rsid w:val="004D12EC"/>
    <w:rsid w:val="004D18E7"/>
    <w:rsid w:val="004D1A7D"/>
    <w:rsid w:val="004D2DF2"/>
    <w:rsid w:val="004D49C5"/>
    <w:rsid w:val="004D4BC8"/>
    <w:rsid w:val="004D4C67"/>
    <w:rsid w:val="004D62EB"/>
    <w:rsid w:val="004D7201"/>
    <w:rsid w:val="004E1551"/>
    <w:rsid w:val="004E1E31"/>
    <w:rsid w:val="004E28C2"/>
    <w:rsid w:val="004E3212"/>
    <w:rsid w:val="004E4274"/>
    <w:rsid w:val="004E5F8B"/>
    <w:rsid w:val="004E60A3"/>
    <w:rsid w:val="004E793C"/>
    <w:rsid w:val="004F0521"/>
    <w:rsid w:val="004F05A9"/>
    <w:rsid w:val="004F076E"/>
    <w:rsid w:val="004F3308"/>
    <w:rsid w:val="004F50B5"/>
    <w:rsid w:val="004F5C68"/>
    <w:rsid w:val="004F6929"/>
    <w:rsid w:val="004F7FE5"/>
    <w:rsid w:val="005003F5"/>
    <w:rsid w:val="00500E85"/>
    <w:rsid w:val="005016D0"/>
    <w:rsid w:val="00501A5F"/>
    <w:rsid w:val="00502B73"/>
    <w:rsid w:val="00507947"/>
    <w:rsid w:val="00511E2F"/>
    <w:rsid w:val="00512246"/>
    <w:rsid w:val="00512D20"/>
    <w:rsid w:val="00513DE7"/>
    <w:rsid w:val="00516DE2"/>
    <w:rsid w:val="005171DD"/>
    <w:rsid w:val="0052008C"/>
    <w:rsid w:val="00520C65"/>
    <w:rsid w:val="00522699"/>
    <w:rsid w:val="00522C53"/>
    <w:rsid w:val="00524BDE"/>
    <w:rsid w:val="00524C26"/>
    <w:rsid w:val="0052687A"/>
    <w:rsid w:val="00527050"/>
    <w:rsid w:val="00530518"/>
    <w:rsid w:val="00531724"/>
    <w:rsid w:val="00533770"/>
    <w:rsid w:val="00534336"/>
    <w:rsid w:val="0053466D"/>
    <w:rsid w:val="005352B4"/>
    <w:rsid w:val="005367F8"/>
    <w:rsid w:val="0054096C"/>
    <w:rsid w:val="00540D25"/>
    <w:rsid w:val="0054150D"/>
    <w:rsid w:val="0054195B"/>
    <w:rsid w:val="00541B6F"/>
    <w:rsid w:val="005429DF"/>
    <w:rsid w:val="00542BA1"/>
    <w:rsid w:val="005444A6"/>
    <w:rsid w:val="005453CD"/>
    <w:rsid w:val="005463DF"/>
    <w:rsid w:val="00546BB3"/>
    <w:rsid w:val="00546D3D"/>
    <w:rsid w:val="005471F8"/>
    <w:rsid w:val="00547676"/>
    <w:rsid w:val="00550ABC"/>
    <w:rsid w:val="005520F8"/>
    <w:rsid w:val="00553EFE"/>
    <w:rsid w:val="005549C1"/>
    <w:rsid w:val="0055535C"/>
    <w:rsid w:val="005554BF"/>
    <w:rsid w:val="00555DE3"/>
    <w:rsid w:val="005566AD"/>
    <w:rsid w:val="005600C0"/>
    <w:rsid w:val="0056264D"/>
    <w:rsid w:val="00563160"/>
    <w:rsid w:val="00564D52"/>
    <w:rsid w:val="0056597A"/>
    <w:rsid w:val="00570367"/>
    <w:rsid w:val="00573455"/>
    <w:rsid w:val="00573FA7"/>
    <w:rsid w:val="00574AEF"/>
    <w:rsid w:val="005753A7"/>
    <w:rsid w:val="00575AA4"/>
    <w:rsid w:val="0057625D"/>
    <w:rsid w:val="00576A40"/>
    <w:rsid w:val="00580BC2"/>
    <w:rsid w:val="00580E58"/>
    <w:rsid w:val="0058110C"/>
    <w:rsid w:val="005817E5"/>
    <w:rsid w:val="00582EDC"/>
    <w:rsid w:val="00583F66"/>
    <w:rsid w:val="00584DBC"/>
    <w:rsid w:val="0058524A"/>
    <w:rsid w:val="005867F9"/>
    <w:rsid w:val="00586973"/>
    <w:rsid w:val="00586A82"/>
    <w:rsid w:val="00587036"/>
    <w:rsid w:val="00587300"/>
    <w:rsid w:val="00587E08"/>
    <w:rsid w:val="005909D7"/>
    <w:rsid w:val="00590B9C"/>
    <w:rsid w:val="00591329"/>
    <w:rsid w:val="00591456"/>
    <w:rsid w:val="00591ADE"/>
    <w:rsid w:val="00591BD8"/>
    <w:rsid w:val="0059207B"/>
    <w:rsid w:val="00593F87"/>
    <w:rsid w:val="00594713"/>
    <w:rsid w:val="00594F15"/>
    <w:rsid w:val="0059501F"/>
    <w:rsid w:val="0059560C"/>
    <w:rsid w:val="0059590E"/>
    <w:rsid w:val="00595C65"/>
    <w:rsid w:val="00596831"/>
    <w:rsid w:val="00597626"/>
    <w:rsid w:val="005A07A6"/>
    <w:rsid w:val="005A13FA"/>
    <w:rsid w:val="005A187A"/>
    <w:rsid w:val="005A2B03"/>
    <w:rsid w:val="005A34F7"/>
    <w:rsid w:val="005A557E"/>
    <w:rsid w:val="005A68FC"/>
    <w:rsid w:val="005A7184"/>
    <w:rsid w:val="005A7CF6"/>
    <w:rsid w:val="005A7E78"/>
    <w:rsid w:val="005B1F92"/>
    <w:rsid w:val="005B41E4"/>
    <w:rsid w:val="005B4FCF"/>
    <w:rsid w:val="005B525F"/>
    <w:rsid w:val="005B6886"/>
    <w:rsid w:val="005C0A81"/>
    <w:rsid w:val="005C0B11"/>
    <w:rsid w:val="005C0DC7"/>
    <w:rsid w:val="005C224A"/>
    <w:rsid w:val="005C27AA"/>
    <w:rsid w:val="005C563C"/>
    <w:rsid w:val="005C58E8"/>
    <w:rsid w:val="005C5E4B"/>
    <w:rsid w:val="005C733B"/>
    <w:rsid w:val="005D14EC"/>
    <w:rsid w:val="005D1A62"/>
    <w:rsid w:val="005D1E8E"/>
    <w:rsid w:val="005D2D3A"/>
    <w:rsid w:val="005D3EF4"/>
    <w:rsid w:val="005D41EB"/>
    <w:rsid w:val="005D519F"/>
    <w:rsid w:val="005D64C4"/>
    <w:rsid w:val="005D6D73"/>
    <w:rsid w:val="005D7308"/>
    <w:rsid w:val="005E05E7"/>
    <w:rsid w:val="005E0F8D"/>
    <w:rsid w:val="005E254B"/>
    <w:rsid w:val="005E61AD"/>
    <w:rsid w:val="005E6B6B"/>
    <w:rsid w:val="005E7174"/>
    <w:rsid w:val="005E72C3"/>
    <w:rsid w:val="005E7D06"/>
    <w:rsid w:val="005F0A59"/>
    <w:rsid w:val="005F0ACB"/>
    <w:rsid w:val="005F0F47"/>
    <w:rsid w:val="005F10E3"/>
    <w:rsid w:val="005F1737"/>
    <w:rsid w:val="005F1767"/>
    <w:rsid w:val="005F2CD8"/>
    <w:rsid w:val="005F3B56"/>
    <w:rsid w:val="005F3DD0"/>
    <w:rsid w:val="005F4258"/>
    <w:rsid w:val="005F50F3"/>
    <w:rsid w:val="005F64E7"/>
    <w:rsid w:val="005F70C5"/>
    <w:rsid w:val="005F760F"/>
    <w:rsid w:val="005F7A8D"/>
    <w:rsid w:val="005F7CB7"/>
    <w:rsid w:val="00600699"/>
    <w:rsid w:val="006017BA"/>
    <w:rsid w:val="006032F6"/>
    <w:rsid w:val="00604FEE"/>
    <w:rsid w:val="006054CB"/>
    <w:rsid w:val="00605B0D"/>
    <w:rsid w:val="00605EA8"/>
    <w:rsid w:val="00606388"/>
    <w:rsid w:val="00606FA0"/>
    <w:rsid w:val="00606FFB"/>
    <w:rsid w:val="00607F87"/>
    <w:rsid w:val="00610A99"/>
    <w:rsid w:val="0061131D"/>
    <w:rsid w:val="0061153F"/>
    <w:rsid w:val="00615318"/>
    <w:rsid w:val="00615CE0"/>
    <w:rsid w:val="0061627E"/>
    <w:rsid w:val="00620F19"/>
    <w:rsid w:val="0062239D"/>
    <w:rsid w:val="006226C3"/>
    <w:rsid w:val="00622979"/>
    <w:rsid w:val="0062434B"/>
    <w:rsid w:val="006249FA"/>
    <w:rsid w:val="00625747"/>
    <w:rsid w:val="00625B3C"/>
    <w:rsid w:val="006261AF"/>
    <w:rsid w:val="00626434"/>
    <w:rsid w:val="00626D4F"/>
    <w:rsid w:val="00627AA1"/>
    <w:rsid w:val="00630CD4"/>
    <w:rsid w:val="006311BD"/>
    <w:rsid w:val="0063416F"/>
    <w:rsid w:val="00634401"/>
    <w:rsid w:val="00635F72"/>
    <w:rsid w:val="00641432"/>
    <w:rsid w:val="00642959"/>
    <w:rsid w:val="006431C6"/>
    <w:rsid w:val="006434B8"/>
    <w:rsid w:val="00645040"/>
    <w:rsid w:val="0064698A"/>
    <w:rsid w:val="00646D0C"/>
    <w:rsid w:val="00647011"/>
    <w:rsid w:val="006509DD"/>
    <w:rsid w:val="00650B6D"/>
    <w:rsid w:val="00650F02"/>
    <w:rsid w:val="006517B6"/>
    <w:rsid w:val="006538CE"/>
    <w:rsid w:val="00654811"/>
    <w:rsid w:val="00654DC0"/>
    <w:rsid w:val="006558A7"/>
    <w:rsid w:val="00656159"/>
    <w:rsid w:val="006609C7"/>
    <w:rsid w:val="006610CE"/>
    <w:rsid w:val="006611C7"/>
    <w:rsid w:val="0066183B"/>
    <w:rsid w:val="006619F3"/>
    <w:rsid w:val="006638E8"/>
    <w:rsid w:val="00665671"/>
    <w:rsid w:val="00665784"/>
    <w:rsid w:val="006664A2"/>
    <w:rsid w:val="0066736A"/>
    <w:rsid w:val="00674EED"/>
    <w:rsid w:val="0067530A"/>
    <w:rsid w:val="00675856"/>
    <w:rsid w:val="006766DD"/>
    <w:rsid w:val="00677483"/>
    <w:rsid w:val="00677D89"/>
    <w:rsid w:val="00682458"/>
    <w:rsid w:val="00684360"/>
    <w:rsid w:val="006847A3"/>
    <w:rsid w:val="006906D1"/>
    <w:rsid w:val="00692387"/>
    <w:rsid w:val="006925A6"/>
    <w:rsid w:val="0069359C"/>
    <w:rsid w:val="00695454"/>
    <w:rsid w:val="0069623B"/>
    <w:rsid w:val="0069757A"/>
    <w:rsid w:val="006A0A41"/>
    <w:rsid w:val="006A1906"/>
    <w:rsid w:val="006A1B87"/>
    <w:rsid w:val="006A1D17"/>
    <w:rsid w:val="006A2016"/>
    <w:rsid w:val="006A228B"/>
    <w:rsid w:val="006A38A6"/>
    <w:rsid w:val="006A3918"/>
    <w:rsid w:val="006A46D0"/>
    <w:rsid w:val="006A4D51"/>
    <w:rsid w:val="006A5854"/>
    <w:rsid w:val="006A5EBB"/>
    <w:rsid w:val="006A6399"/>
    <w:rsid w:val="006A6834"/>
    <w:rsid w:val="006A6BB0"/>
    <w:rsid w:val="006B2870"/>
    <w:rsid w:val="006B3432"/>
    <w:rsid w:val="006B383A"/>
    <w:rsid w:val="006B4101"/>
    <w:rsid w:val="006B5A1C"/>
    <w:rsid w:val="006B62EA"/>
    <w:rsid w:val="006B6BAA"/>
    <w:rsid w:val="006C1435"/>
    <w:rsid w:val="006C1631"/>
    <w:rsid w:val="006C1E1C"/>
    <w:rsid w:val="006C3198"/>
    <w:rsid w:val="006C3656"/>
    <w:rsid w:val="006C424D"/>
    <w:rsid w:val="006C4951"/>
    <w:rsid w:val="006C4B66"/>
    <w:rsid w:val="006C58C5"/>
    <w:rsid w:val="006C5C1B"/>
    <w:rsid w:val="006C69BA"/>
    <w:rsid w:val="006C7202"/>
    <w:rsid w:val="006C7B89"/>
    <w:rsid w:val="006D0921"/>
    <w:rsid w:val="006D0AB8"/>
    <w:rsid w:val="006D2796"/>
    <w:rsid w:val="006D36CF"/>
    <w:rsid w:val="006D3BE9"/>
    <w:rsid w:val="006D4C37"/>
    <w:rsid w:val="006D70E4"/>
    <w:rsid w:val="006E1EAB"/>
    <w:rsid w:val="006E3300"/>
    <w:rsid w:val="006E4E92"/>
    <w:rsid w:val="006E517B"/>
    <w:rsid w:val="006E6322"/>
    <w:rsid w:val="006E6C5B"/>
    <w:rsid w:val="006E74F2"/>
    <w:rsid w:val="006F053E"/>
    <w:rsid w:val="006F061E"/>
    <w:rsid w:val="006F13F0"/>
    <w:rsid w:val="006F1B97"/>
    <w:rsid w:val="006F1CAA"/>
    <w:rsid w:val="006F2EAE"/>
    <w:rsid w:val="006F499E"/>
    <w:rsid w:val="006F5612"/>
    <w:rsid w:val="007004B0"/>
    <w:rsid w:val="00701EBE"/>
    <w:rsid w:val="007036E4"/>
    <w:rsid w:val="00704571"/>
    <w:rsid w:val="00706EC5"/>
    <w:rsid w:val="007076F1"/>
    <w:rsid w:val="00710AF9"/>
    <w:rsid w:val="00712801"/>
    <w:rsid w:val="00712E7F"/>
    <w:rsid w:val="0071463C"/>
    <w:rsid w:val="00716989"/>
    <w:rsid w:val="00717568"/>
    <w:rsid w:val="00717783"/>
    <w:rsid w:val="0071789A"/>
    <w:rsid w:val="00717ED9"/>
    <w:rsid w:val="00721F86"/>
    <w:rsid w:val="007226DF"/>
    <w:rsid w:val="00722A49"/>
    <w:rsid w:val="00725EB1"/>
    <w:rsid w:val="007279FA"/>
    <w:rsid w:val="007300FE"/>
    <w:rsid w:val="00732078"/>
    <w:rsid w:val="0073215C"/>
    <w:rsid w:val="00732DD6"/>
    <w:rsid w:val="00733036"/>
    <w:rsid w:val="00734528"/>
    <w:rsid w:val="007350E6"/>
    <w:rsid w:val="0073545E"/>
    <w:rsid w:val="007356AC"/>
    <w:rsid w:val="00735710"/>
    <w:rsid w:val="0073647C"/>
    <w:rsid w:val="00737895"/>
    <w:rsid w:val="00740764"/>
    <w:rsid w:val="00740EC8"/>
    <w:rsid w:val="007414BD"/>
    <w:rsid w:val="0074182B"/>
    <w:rsid w:val="00742987"/>
    <w:rsid w:val="00742B29"/>
    <w:rsid w:val="007442AA"/>
    <w:rsid w:val="00745E7C"/>
    <w:rsid w:val="00747D04"/>
    <w:rsid w:val="00747F44"/>
    <w:rsid w:val="007510F1"/>
    <w:rsid w:val="007522AA"/>
    <w:rsid w:val="00752DFB"/>
    <w:rsid w:val="00755420"/>
    <w:rsid w:val="00755981"/>
    <w:rsid w:val="00755EAA"/>
    <w:rsid w:val="00756298"/>
    <w:rsid w:val="007562B7"/>
    <w:rsid w:val="007602A5"/>
    <w:rsid w:val="00761EBE"/>
    <w:rsid w:val="00763036"/>
    <w:rsid w:val="00763433"/>
    <w:rsid w:val="00763A91"/>
    <w:rsid w:val="00770D12"/>
    <w:rsid w:val="007745B8"/>
    <w:rsid w:val="007759B1"/>
    <w:rsid w:val="007759F6"/>
    <w:rsid w:val="00775EC3"/>
    <w:rsid w:val="00776811"/>
    <w:rsid w:val="00782CB2"/>
    <w:rsid w:val="0078345A"/>
    <w:rsid w:val="0078379E"/>
    <w:rsid w:val="00784E55"/>
    <w:rsid w:val="00784E8B"/>
    <w:rsid w:val="0078636F"/>
    <w:rsid w:val="00786E33"/>
    <w:rsid w:val="00787800"/>
    <w:rsid w:val="007903FE"/>
    <w:rsid w:val="007923EA"/>
    <w:rsid w:val="0079269D"/>
    <w:rsid w:val="00792A7D"/>
    <w:rsid w:val="00793BC2"/>
    <w:rsid w:val="00793C52"/>
    <w:rsid w:val="007943D1"/>
    <w:rsid w:val="00795BAB"/>
    <w:rsid w:val="007A0BCC"/>
    <w:rsid w:val="007A2264"/>
    <w:rsid w:val="007A331E"/>
    <w:rsid w:val="007A33A4"/>
    <w:rsid w:val="007A353F"/>
    <w:rsid w:val="007A3D19"/>
    <w:rsid w:val="007A5114"/>
    <w:rsid w:val="007A552D"/>
    <w:rsid w:val="007A65B8"/>
    <w:rsid w:val="007A6DDF"/>
    <w:rsid w:val="007B2362"/>
    <w:rsid w:val="007B2E0E"/>
    <w:rsid w:val="007B4144"/>
    <w:rsid w:val="007B5125"/>
    <w:rsid w:val="007B77F0"/>
    <w:rsid w:val="007B7A0D"/>
    <w:rsid w:val="007C1BF8"/>
    <w:rsid w:val="007C1D33"/>
    <w:rsid w:val="007C1D53"/>
    <w:rsid w:val="007C33E0"/>
    <w:rsid w:val="007C350B"/>
    <w:rsid w:val="007C411D"/>
    <w:rsid w:val="007C4483"/>
    <w:rsid w:val="007C6113"/>
    <w:rsid w:val="007C63FC"/>
    <w:rsid w:val="007D0498"/>
    <w:rsid w:val="007D268F"/>
    <w:rsid w:val="007D3B36"/>
    <w:rsid w:val="007D4A60"/>
    <w:rsid w:val="007D5690"/>
    <w:rsid w:val="007D56B1"/>
    <w:rsid w:val="007D6FA6"/>
    <w:rsid w:val="007D7AB0"/>
    <w:rsid w:val="007E08C2"/>
    <w:rsid w:val="007E171B"/>
    <w:rsid w:val="007E1ED0"/>
    <w:rsid w:val="007E2B2B"/>
    <w:rsid w:val="007E456C"/>
    <w:rsid w:val="007E479D"/>
    <w:rsid w:val="007E6D25"/>
    <w:rsid w:val="007F0EC3"/>
    <w:rsid w:val="007F1B8E"/>
    <w:rsid w:val="007F21CE"/>
    <w:rsid w:val="007F2609"/>
    <w:rsid w:val="007F362F"/>
    <w:rsid w:val="007F6929"/>
    <w:rsid w:val="007F7D5E"/>
    <w:rsid w:val="00800BFE"/>
    <w:rsid w:val="00802441"/>
    <w:rsid w:val="0080288F"/>
    <w:rsid w:val="008039A4"/>
    <w:rsid w:val="008047E7"/>
    <w:rsid w:val="00804906"/>
    <w:rsid w:val="00805003"/>
    <w:rsid w:val="0080502D"/>
    <w:rsid w:val="00805372"/>
    <w:rsid w:val="008061F7"/>
    <w:rsid w:val="00806816"/>
    <w:rsid w:val="00806D08"/>
    <w:rsid w:val="00807DC8"/>
    <w:rsid w:val="0081234F"/>
    <w:rsid w:val="00815C25"/>
    <w:rsid w:val="008167EE"/>
    <w:rsid w:val="00821318"/>
    <w:rsid w:val="00822FF6"/>
    <w:rsid w:val="00823F07"/>
    <w:rsid w:val="008251AF"/>
    <w:rsid w:val="00825C63"/>
    <w:rsid w:val="008261FC"/>
    <w:rsid w:val="00826F69"/>
    <w:rsid w:val="00832597"/>
    <w:rsid w:val="0083269A"/>
    <w:rsid w:val="00832F41"/>
    <w:rsid w:val="00833ECD"/>
    <w:rsid w:val="00843315"/>
    <w:rsid w:val="0084333A"/>
    <w:rsid w:val="00843952"/>
    <w:rsid w:val="00843EF6"/>
    <w:rsid w:val="00844549"/>
    <w:rsid w:val="008455EF"/>
    <w:rsid w:val="0084703D"/>
    <w:rsid w:val="008502D3"/>
    <w:rsid w:val="00850309"/>
    <w:rsid w:val="008505C8"/>
    <w:rsid w:val="00850FDF"/>
    <w:rsid w:val="008517A8"/>
    <w:rsid w:val="008529E1"/>
    <w:rsid w:val="008533D6"/>
    <w:rsid w:val="00854B55"/>
    <w:rsid w:val="008554BA"/>
    <w:rsid w:val="0085560C"/>
    <w:rsid w:val="008563E6"/>
    <w:rsid w:val="00857D53"/>
    <w:rsid w:val="00857E2A"/>
    <w:rsid w:val="00860737"/>
    <w:rsid w:val="00864EFA"/>
    <w:rsid w:val="008662A7"/>
    <w:rsid w:val="00867818"/>
    <w:rsid w:val="008708F4"/>
    <w:rsid w:val="00870986"/>
    <w:rsid w:val="008709CC"/>
    <w:rsid w:val="00871C33"/>
    <w:rsid w:val="00871E23"/>
    <w:rsid w:val="00874FE6"/>
    <w:rsid w:val="00875997"/>
    <w:rsid w:val="0087605B"/>
    <w:rsid w:val="00877069"/>
    <w:rsid w:val="00877070"/>
    <w:rsid w:val="00880019"/>
    <w:rsid w:val="00880C7F"/>
    <w:rsid w:val="00881236"/>
    <w:rsid w:val="008814FD"/>
    <w:rsid w:val="00882632"/>
    <w:rsid w:val="00882E3A"/>
    <w:rsid w:val="0088498C"/>
    <w:rsid w:val="00885344"/>
    <w:rsid w:val="00887868"/>
    <w:rsid w:val="008920CD"/>
    <w:rsid w:val="00892BE6"/>
    <w:rsid w:val="00892F29"/>
    <w:rsid w:val="008931CD"/>
    <w:rsid w:val="008935A1"/>
    <w:rsid w:val="00894901"/>
    <w:rsid w:val="00895EF9"/>
    <w:rsid w:val="008968F5"/>
    <w:rsid w:val="00896BC9"/>
    <w:rsid w:val="0089739F"/>
    <w:rsid w:val="008A05EF"/>
    <w:rsid w:val="008A0DCF"/>
    <w:rsid w:val="008A11DD"/>
    <w:rsid w:val="008A2672"/>
    <w:rsid w:val="008A313B"/>
    <w:rsid w:val="008A31C4"/>
    <w:rsid w:val="008A480A"/>
    <w:rsid w:val="008A5353"/>
    <w:rsid w:val="008A6B5E"/>
    <w:rsid w:val="008A771E"/>
    <w:rsid w:val="008B0149"/>
    <w:rsid w:val="008B12F6"/>
    <w:rsid w:val="008B3438"/>
    <w:rsid w:val="008B373D"/>
    <w:rsid w:val="008B5D2F"/>
    <w:rsid w:val="008C17DF"/>
    <w:rsid w:val="008C3A8A"/>
    <w:rsid w:val="008C517D"/>
    <w:rsid w:val="008C6087"/>
    <w:rsid w:val="008D0980"/>
    <w:rsid w:val="008D0DDA"/>
    <w:rsid w:val="008D18D3"/>
    <w:rsid w:val="008D4D6C"/>
    <w:rsid w:val="008D5DF2"/>
    <w:rsid w:val="008D6356"/>
    <w:rsid w:val="008D7A56"/>
    <w:rsid w:val="008D7CBE"/>
    <w:rsid w:val="008E018D"/>
    <w:rsid w:val="008E02E1"/>
    <w:rsid w:val="008E1BDD"/>
    <w:rsid w:val="008E20B0"/>
    <w:rsid w:val="008E23FE"/>
    <w:rsid w:val="008E2B6D"/>
    <w:rsid w:val="008E34FA"/>
    <w:rsid w:val="008E3A56"/>
    <w:rsid w:val="008E504E"/>
    <w:rsid w:val="008E6307"/>
    <w:rsid w:val="008E6967"/>
    <w:rsid w:val="008E6DB8"/>
    <w:rsid w:val="008E7990"/>
    <w:rsid w:val="008F0112"/>
    <w:rsid w:val="008F03AE"/>
    <w:rsid w:val="008F09E6"/>
    <w:rsid w:val="008F162D"/>
    <w:rsid w:val="008F2AFA"/>
    <w:rsid w:val="008F2C85"/>
    <w:rsid w:val="008F3D85"/>
    <w:rsid w:val="008F4A5F"/>
    <w:rsid w:val="008F5A61"/>
    <w:rsid w:val="008F6238"/>
    <w:rsid w:val="008F69F9"/>
    <w:rsid w:val="008F7F28"/>
    <w:rsid w:val="0090256A"/>
    <w:rsid w:val="009032C9"/>
    <w:rsid w:val="009039C1"/>
    <w:rsid w:val="00904367"/>
    <w:rsid w:val="00905193"/>
    <w:rsid w:val="00906DED"/>
    <w:rsid w:val="00907AB6"/>
    <w:rsid w:val="0091068F"/>
    <w:rsid w:val="009120E7"/>
    <w:rsid w:val="00913364"/>
    <w:rsid w:val="00913370"/>
    <w:rsid w:val="0091419E"/>
    <w:rsid w:val="009141C1"/>
    <w:rsid w:val="00915B93"/>
    <w:rsid w:val="0091656C"/>
    <w:rsid w:val="00920F0D"/>
    <w:rsid w:val="009228E5"/>
    <w:rsid w:val="00922A49"/>
    <w:rsid w:val="0092388B"/>
    <w:rsid w:val="00924AC2"/>
    <w:rsid w:val="00924CF8"/>
    <w:rsid w:val="00924D15"/>
    <w:rsid w:val="00925C99"/>
    <w:rsid w:val="00926F06"/>
    <w:rsid w:val="00926FA0"/>
    <w:rsid w:val="0092767C"/>
    <w:rsid w:val="00930566"/>
    <w:rsid w:val="00930638"/>
    <w:rsid w:val="0093077F"/>
    <w:rsid w:val="0093127A"/>
    <w:rsid w:val="00932C70"/>
    <w:rsid w:val="00933095"/>
    <w:rsid w:val="00933298"/>
    <w:rsid w:val="0093341F"/>
    <w:rsid w:val="0093419A"/>
    <w:rsid w:val="00934B20"/>
    <w:rsid w:val="0093540C"/>
    <w:rsid w:val="00936456"/>
    <w:rsid w:val="00936B65"/>
    <w:rsid w:val="00936D7A"/>
    <w:rsid w:val="00936FC6"/>
    <w:rsid w:val="009412F6"/>
    <w:rsid w:val="00942150"/>
    <w:rsid w:val="0094283C"/>
    <w:rsid w:val="009433AB"/>
    <w:rsid w:val="00943B78"/>
    <w:rsid w:val="0094494E"/>
    <w:rsid w:val="00945911"/>
    <w:rsid w:val="00945C96"/>
    <w:rsid w:val="00945CEF"/>
    <w:rsid w:val="00945D98"/>
    <w:rsid w:val="0094704C"/>
    <w:rsid w:val="00947A8B"/>
    <w:rsid w:val="00947C41"/>
    <w:rsid w:val="00950F18"/>
    <w:rsid w:val="009517D4"/>
    <w:rsid w:val="00951920"/>
    <w:rsid w:val="00952E14"/>
    <w:rsid w:val="00953C4A"/>
    <w:rsid w:val="00953E84"/>
    <w:rsid w:val="00954AE0"/>
    <w:rsid w:val="009557C0"/>
    <w:rsid w:val="00955D82"/>
    <w:rsid w:val="00955FE0"/>
    <w:rsid w:val="0096059D"/>
    <w:rsid w:val="00960C86"/>
    <w:rsid w:val="00961317"/>
    <w:rsid w:val="009617D1"/>
    <w:rsid w:val="00962A4C"/>
    <w:rsid w:val="00963D4F"/>
    <w:rsid w:val="00965157"/>
    <w:rsid w:val="00965E61"/>
    <w:rsid w:val="00967806"/>
    <w:rsid w:val="0097086D"/>
    <w:rsid w:val="00971B91"/>
    <w:rsid w:val="009722C6"/>
    <w:rsid w:val="00972F1A"/>
    <w:rsid w:val="0097666E"/>
    <w:rsid w:val="00976CB5"/>
    <w:rsid w:val="00977227"/>
    <w:rsid w:val="00977AB7"/>
    <w:rsid w:val="0098193B"/>
    <w:rsid w:val="00982989"/>
    <w:rsid w:val="00982E18"/>
    <w:rsid w:val="009834F3"/>
    <w:rsid w:val="00983B2E"/>
    <w:rsid w:val="00983D9B"/>
    <w:rsid w:val="00986136"/>
    <w:rsid w:val="009864D8"/>
    <w:rsid w:val="0099092B"/>
    <w:rsid w:val="00990C5C"/>
    <w:rsid w:val="00991097"/>
    <w:rsid w:val="009910ED"/>
    <w:rsid w:val="009917B9"/>
    <w:rsid w:val="00991B5E"/>
    <w:rsid w:val="00994708"/>
    <w:rsid w:val="0099470A"/>
    <w:rsid w:val="00994B26"/>
    <w:rsid w:val="00996259"/>
    <w:rsid w:val="009974C0"/>
    <w:rsid w:val="00997507"/>
    <w:rsid w:val="009A02CB"/>
    <w:rsid w:val="009A03FE"/>
    <w:rsid w:val="009A055B"/>
    <w:rsid w:val="009A207E"/>
    <w:rsid w:val="009A274F"/>
    <w:rsid w:val="009A283F"/>
    <w:rsid w:val="009A4A3A"/>
    <w:rsid w:val="009A6C29"/>
    <w:rsid w:val="009A751E"/>
    <w:rsid w:val="009B2778"/>
    <w:rsid w:val="009B33F5"/>
    <w:rsid w:val="009B3603"/>
    <w:rsid w:val="009B3D2F"/>
    <w:rsid w:val="009B482C"/>
    <w:rsid w:val="009C0C90"/>
    <w:rsid w:val="009C1629"/>
    <w:rsid w:val="009C1EA1"/>
    <w:rsid w:val="009C29A2"/>
    <w:rsid w:val="009C2A62"/>
    <w:rsid w:val="009C4E14"/>
    <w:rsid w:val="009C4EC1"/>
    <w:rsid w:val="009C5AB2"/>
    <w:rsid w:val="009C5E82"/>
    <w:rsid w:val="009C69AD"/>
    <w:rsid w:val="009C7929"/>
    <w:rsid w:val="009C7D07"/>
    <w:rsid w:val="009D0F9B"/>
    <w:rsid w:val="009D1C76"/>
    <w:rsid w:val="009D1ECC"/>
    <w:rsid w:val="009D2EEC"/>
    <w:rsid w:val="009D42ED"/>
    <w:rsid w:val="009D5BAA"/>
    <w:rsid w:val="009D6223"/>
    <w:rsid w:val="009D70DF"/>
    <w:rsid w:val="009D7DA0"/>
    <w:rsid w:val="009E10AE"/>
    <w:rsid w:val="009E3FE5"/>
    <w:rsid w:val="009E4A17"/>
    <w:rsid w:val="009E79F9"/>
    <w:rsid w:val="009F00D5"/>
    <w:rsid w:val="009F06B7"/>
    <w:rsid w:val="009F113B"/>
    <w:rsid w:val="009F12A9"/>
    <w:rsid w:val="009F29B3"/>
    <w:rsid w:val="009F2B9A"/>
    <w:rsid w:val="009F3079"/>
    <w:rsid w:val="009F31CC"/>
    <w:rsid w:val="009F5B9A"/>
    <w:rsid w:val="009F64F9"/>
    <w:rsid w:val="009F689D"/>
    <w:rsid w:val="009F6975"/>
    <w:rsid w:val="009F6B33"/>
    <w:rsid w:val="00A001F7"/>
    <w:rsid w:val="00A01768"/>
    <w:rsid w:val="00A01FAC"/>
    <w:rsid w:val="00A0307B"/>
    <w:rsid w:val="00A03DFD"/>
    <w:rsid w:val="00A05F95"/>
    <w:rsid w:val="00A06676"/>
    <w:rsid w:val="00A070C2"/>
    <w:rsid w:val="00A07AAC"/>
    <w:rsid w:val="00A07F1D"/>
    <w:rsid w:val="00A10070"/>
    <w:rsid w:val="00A101B9"/>
    <w:rsid w:val="00A10500"/>
    <w:rsid w:val="00A115A5"/>
    <w:rsid w:val="00A13107"/>
    <w:rsid w:val="00A17133"/>
    <w:rsid w:val="00A17690"/>
    <w:rsid w:val="00A21224"/>
    <w:rsid w:val="00A21609"/>
    <w:rsid w:val="00A2180C"/>
    <w:rsid w:val="00A21E95"/>
    <w:rsid w:val="00A232A6"/>
    <w:rsid w:val="00A2593B"/>
    <w:rsid w:val="00A30524"/>
    <w:rsid w:val="00A30DE2"/>
    <w:rsid w:val="00A3212E"/>
    <w:rsid w:val="00A33834"/>
    <w:rsid w:val="00A34392"/>
    <w:rsid w:val="00A345C2"/>
    <w:rsid w:val="00A34835"/>
    <w:rsid w:val="00A4038B"/>
    <w:rsid w:val="00A4266F"/>
    <w:rsid w:val="00A42BE7"/>
    <w:rsid w:val="00A4391B"/>
    <w:rsid w:val="00A448C7"/>
    <w:rsid w:val="00A44ABD"/>
    <w:rsid w:val="00A4606C"/>
    <w:rsid w:val="00A467F7"/>
    <w:rsid w:val="00A46CA7"/>
    <w:rsid w:val="00A4734E"/>
    <w:rsid w:val="00A517E8"/>
    <w:rsid w:val="00A51C3B"/>
    <w:rsid w:val="00A52F8F"/>
    <w:rsid w:val="00A54842"/>
    <w:rsid w:val="00A54D6D"/>
    <w:rsid w:val="00A5637A"/>
    <w:rsid w:val="00A61551"/>
    <w:rsid w:val="00A6162E"/>
    <w:rsid w:val="00A61FC0"/>
    <w:rsid w:val="00A62B00"/>
    <w:rsid w:val="00A6621D"/>
    <w:rsid w:val="00A677E9"/>
    <w:rsid w:val="00A710BD"/>
    <w:rsid w:val="00A71496"/>
    <w:rsid w:val="00A72524"/>
    <w:rsid w:val="00A73F3A"/>
    <w:rsid w:val="00A75315"/>
    <w:rsid w:val="00A7619F"/>
    <w:rsid w:val="00A76A14"/>
    <w:rsid w:val="00A775AA"/>
    <w:rsid w:val="00A81239"/>
    <w:rsid w:val="00A84667"/>
    <w:rsid w:val="00A84966"/>
    <w:rsid w:val="00A84AF2"/>
    <w:rsid w:val="00A8521F"/>
    <w:rsid w:val="00A8653B"/>
    <w:rsid w:val="00A86D39"/>
    <w:rsid w:val="00A878A2"/>
    <w:rsid w:val="00A87DDB"/>
    <w:rsid w:val="00A94192"/>
    <w:rsid w:val="00A9610B"/>
    <w:rsid w:val="00AA1095"/>
    <w:rsid w:val="00AA1BF5"/>
    <w:rsid w:val="00AA2D5A"/>
    <w:rsid w:val="00AA31A9"/>
    <w:rsid w:val="00AA3B8F"/>
    <w:rsid w:val="00AA540E"/>
    <w:rsid w:val="00AA58C2"/>
    <w:rsid w:val="00AA71E4"/>
    <w:rsid w:val="00AA7F85"/>
    <w:rsid w:val="00AB115A"/>
    <w:rsid w:val="00AB28AD"/>
    <w:rsid w:val="00AB3957"/>
    <w:rsid w:val="00AB4C87"/>
    <w:rsid w:val="00AB736B"/>
    <w:rsid w:val="00AB761E"/>
    <w:rsid w:val="00AC2A37"/>
    <w:rsid w:val="00AC2E56"/>
    <w:rsid w:val="00AC3338"/>
    <w:rsid w:val="00AC5180"/>
    <w:rsid w:val="00AC5835"/>
    <w:rsid w:val="00AC60A4"/>
    <w:rsid w:val="00AC70BA"/>
    <w:rsid w:val="00AC70DA"/>
    <w:rsid w:val="00AC7AA8"/>
    <w:rsid w:val="00AD1531"/>
    <w:rsid w:val="00AD19BA"/>
    <w:rsid w:val="00AD2A71"/>
    <w:rsid w:val="00AD2B91"/>
    <w:rsid w:val="00AD2EFE"/>
    <w:rsid w:val="00AD37DD"/>
    <w:rsid w:val="00AD6A10"/>
    <w:rsid w:val="00AE0151"/>
    <w:rsid w:val="00AE0682"/>
    <w:rsid w:val="00AE0861"/>
    <w:rsid w:val="00AE0C28"/>
    <w:rsid w:val="00AE1CAF"/>
    <w:rsid w:val="00AE3E41"/>
    <w:rsid w:val="00AE43E7"/>
    <w:rsid w:val="00AE4531"/>
    <w:rsid w:val="00AE7720"/>
    <w:rsid w:val="00AE79CD"/>
    <w:rsid w:val="00AE7FF7"/>
    <w:rsid w:val="00AF02D6"/>
    <w:rsid w:val="00AF09A8"/>
    <w:rsid w:val="00AF3748"/>
    <w:rsid w:val="00AF3EC8"/>
    <w:rsid w:val="00AF45BB"/>
    <w:rsid w:val="00AF63E3"/>
    <w:rsid w:val="00B00E0F"/>
    <w:rsid w:val="00B03BF9"/>
    <w:rsid w:val="00B03E02"/>
    <w:rsid w:val="00B041D1"/>
    <w:rsid w:val="00B04BE0"/>
    <w:rsid w:val="00B05D42"/>
    <w:rsid w:val="00B07299"/>
    <w:rsid w:val="00B07759"/>
    <w:rsid w:val="00B10972"/>
    <w:rsid w:val="00B10C39"/>
    <w:rsid w:val="00B10D85"/>
    <w:rsid w:val="00B118C5"/>
    <w:rsid w:val="00B11DC2"/>
    <w:rsid w:val="00B13848"/>
    <w:rsid w:val="00B16283"/>
    <w:rsid w:val="00B173A4"/>
    <w:rsid w:val="00B204FC"/>
    <w:rsid w:val="00B22CAD"/>
    <w:rsid w:val="00B238DF"/>
    <w:rsid w:val="00B24087"/>
    <w:rsid w:val="00B243FE"/>
    <w:rsid w:val="00B251BA"/>
    <w:rsid w:val="00B25388"/>
    <w:rsid w:val="00B25CDF"/>
    <w:rsid w:val="00B2624F"/>
    <w:rsid w:val="00B26521"/>
    <w:rsid w:val="00B30934"/>
    <w:rsid w:val="00B351D1"/>
    <w:rsid w:val="00B355C3"/>
    <w:rsid w:val="00B35B6A"/>
    <w:rsid w:val="00B35BF9"/>
    <w:rsid w:val="00B4156F"/>
    <w:rsid w:val="00B421A4"/>
    <w:rsid w:val="00B431EA"/>
    <w:rsid w:val="00B43A86"/>
    <w:rsid w:val="00B44201"/>
    <w:rsid w:val="00B44FFA"/>
    <w:rsid w:val="00B47210"/>
    <w:rsid w:val="00B47666"/>
    <w:rsid w:val="00B5158F"/>
    <w:rsid w:val="00B52FC0"/>
    <w:rsid w:val="00B54FF7"/>
    <w:rsid w:val="00B5546D"/>
    <w:rsid w:val="00B5664B"/>
    <w:rsid w:val="00B56750"/>
    <w:rsid w:val="00B56DA3"/>
    <w:rsid w:val="00B5768F"/>
    <w:rsid w:val="00B60780"/>
    <w:rsid w:val="00B622CF"/>
    <w:rsid w:val="00B662F2"/>
    <w:rsid w:val="00B6759F"/>
    <w:rsid w:val="00B67CF8"/>
    <w:rsid w:val="00B707F4"/>
    <w:rsid w:val="00B707F9"/>
    <w:rsid w:val="00B718DF"/>
    <w:rsid w:val="00B71A51"/>
    <w:rsid w:val="00B71B84"/>
    <w:rsid w:val="00B77660"/>
    <w:rsid w:val="00B77736"/>
    <w:rsid w:val="00B77751"/>
    <w:rsid w:val="00B80B46"/>
    <w:rsid w:val="00B827AE"/>
    <w:rsid w:val="00B82AD0"/>
    <w:rsid w:val="00B82BA6"/>
    <w:rsid w:val="00B82C45"/>
    <w:rsid w:val="00B86ACA"/>
    <w:rsid w:val="00B87A02"/>
    <w:rsid w:val="00B90C4D"/>
    <w:rsid w:val="00B91399"/>
    <w:rsid w:val="00B93299"/>
    <w:rsid w:val="00B93FA9"/>
    <w:rsid w:val="00B96E18"/>
    <w:rsid w:val="00BA0DCE"/>
    <w:rsid w:val="00BA129E"/>
    <w:rsid w:val="00BA23A1"/>
    <w:rsid w:val="00BA2998"/>
    <w:rsid w:val="00BA389B"/>
    <w:rsid w:val="00BA721D"/>
    <w:rsid w:val="00BA73FD"/>
    <w:rsid w:val="00BA7790"/>
    <w:rsid w:val="00BB01AA"/>
    <w:rsid w:val="00BB1C95"/>
    <w:rsid w:val="00BB44A8"/>
    <w:rsid w:val="00BB4F6C"/>
    <w:rsid w:val="00BB5767"/>
    <w:rsid w:val="00BB6972"/>
    <w:rsid w:val="00BB6F35"/>
    <w:rsid w:val="00BB7039"/>
    <w:rsid w:val="00BB7A99"/>
    <w:rsid w:val="00BC0578"/>
    <w:rsid w:val="00BC4227"/>
    <w:rsid w:val="00BC4957"/>
    <w:rsid w:val="00BC4D68"/>
    <w:rsid w:val="00BC6A78"/>
    <w:rsid w:val="00BD031F"/>
    <w:rsid w:val="00BD0E5F"/>
    <w:rsid w:val="00BD1B09"/>
    <w:rsid w:val="00BD1E07"/>
    <w:rsid w:val="00BD247C"/>
    <w:rsid w:val="00BD3168"/>
    <w:rsid w:val="00BD36EB"/>
    <w:rsid w:val="00BD6074"/>
    <w:rsid w:val="00BD6E0A"/>
    <w:rsid w:val="00BD7E0F"/>
    <w:rsid w:val="00BE0259"/>
    <w:rsid w:val="00BE06CE"/>
    <w:rsid w:val="00BE191D"/>
    <w:rsid w:val="00BE2D16"/>
    <w:rsid w:val="00BE2E94"/>
    <w:rsid w:val="00BE30C3"/>
    <w:rsid w:val="00BE44E2"/>
    <w:rsid w:val="00BE4A32"/>
    <w:rsid w:val="00BE6327"/>
    <w:rsid w:val="00BE6462"/>
    <w:rsid w:val="00BE7555"/>
    <w:rsid w:val="00BE77B2"/>
    <w:rsid w:val="00BE7D59"/>
    <w:rsid w:val="00BF024E"/>
    <w:rsid w:val="00BF0563"/>
    <w:rsid w:val="00BF06B5"/>
    <w:rsid w:val="00BF08D1"/>
    <w:rsid w:val="00BF11E6"/>
    <w:rsid w:val="00BF2E1F"/>
    <w:rsid w:val="00BF507A"/>
    <w:rsid w:val="00BF5A0F"/>
    <w:rsid w:val="00BF7444"/>
    <w:rsid w:val="00C015CE"/>
    <w:rsid w:val="00C02C92"/>
    <w:rsid w:val="00C048A3"/>
    <w:rsid w:val="00C0584D"/>
    <w:rsid w:val="00C07BAB"/>
    <w:rsid w:val="00C1336D"/>
    <w:rsid w:val="00C151F5"/>
    <w:rsid w:val="00C17301"/>
    <w:rsid w:val="00C2078C"/>
    <w:rsid w:val="00C212F6"/>
    <w:rsid w:val="00C21501"/>
    <w:rsid w:val="00C21F96"/>
    <w:rsid w:val="00C22AA2"/>
    <w:rsid w:val="00C22EB1"/>
    <w:rsid w:val="00C22FC7"/>
    <w:rsid w:val="00C2471F"/>
    <w:rsid w:val="00C26796"/>
    <w:rsid w:val="00C2701D"/>
    <w:rsid w:val="00C3068C"/>
    <w:rsid w:val="00C307DA"/>
    <w:rsid w:val="00C31245"/>
    <w:rsid w:val="00C32AF9"/>
    <w:rsid w:val="00C334BE"/>
    <w:rsid w:val="00C33B42"/>
    <w:rsid w:val="00C3425F"/>
    <w:rsid w:val="00C343EE"/>
    <w:rsid w:val="00C35092"/>
    <w:rsid w:val="00C350A7"/>
    <w:rsid w:val="00C35EDD"/>
    <w:rsid w:val="00C362BA"/>
    <w:rsid w:val="00C3738B"/>
    <w:rsid w:val="00C40682"/>
    <w:rsid w:val="00C40E6F"/>
    <w:rsid w:val="00C42772"/>
    <w:rsid w:val="00C42AFE"/>
    <w:rsid w:val="00C43B5D"/>
    <w:rsid w:val="00C443A4"/>
    <w:rsid w:val="00C45152"/>
    <w:rsid w:val="00C456FF"/>
    <w:rsid w:val="00C47207"/>
    <w:rsid w:val="00C51424"/>
    <w:rsid w:val="00C515D8"/>
    <w:rsid w:val="00C52C1C"/>
    <w:rsid w:val="00C5601D"/>
    <w:rsid w:val="00C56902"/>
    <w:rsid w:val="00C5769D"/>
    <w:rsid w:val="00C57A9C"/>
    <w:rsid w:val="00C57FF7"/>
    <w:rsid w:val="00C629F8"/>
    <w:rsid w:val="00C62FAA"/>
    <w:rsid w:val="00C63878"/>
    <w:rsid w:val="00C63AD0"/>
    <w:rsid w:val="00C656B7"/>
    <w:rsid w:val="00C65960"/>
    <w:rsid w:val="00C6606E"/>
    <w:rsid w:val="00C66647"/>
    <w:rsid w:val="00C67792"/>
    <w:rsid w:val="00C71B20"/>
    <w:rsid w:val="00C71C7E"/>
    <w:rsid w:val="00C71ED4"/>
    <w:rsid w:val="00C74D26"/>
    <w:rsid w:val="00C75739"/>
    <w:rsid w:val="00C77FDC"/>
    <w:rsid w:val="00C81050"/>
    <w:rsid w:val="00C82918"/>
    <w:rsid w:val="00C859CC"/>
    <w:rsid w:val="00C9009D"/>
    <w:rsid w:val="00C903C5"/>
    <w:rsid w:val="00C911F6"/>
    <w:rsid w:val="00C913D9"/>
    <w:rsid w:val="00C9188E"/>
    <w:rsid w:val="00C920AA"/>
    <w:rsid w:val="00C9266C"/>
    <w:rsid w:val="00C93093"/>
    <w:rsid w:val="00C939B6"/>
    <w:rsid w:val="00C94550"/>
    <w:rsid w:val="00C9552A"/>
    <w:rsid w:val="00C9645A"/>
    <w:rsid w:val="00C9766C"/>
    <w:rsid w:val="00C9768A"/>
    <w:rsid w:val="00CA0555"/>
    <w:rsid w:val="00CA08CB"/>
    <w:rsid w:val="00CA301E"/>
    <w:rsid w:val="00CA3585"/>
    <w:rsid w:val="00CA4205"/>
    <w:rsid w:val="00CA455E"/>
    <w:rsid w:val="00CB03A7"/>
    <w:rsid w:val="00CB1291"/>
    <w:rsid w:val="00CB4BC5"/>
    <w:rsid w:val="00CB5FFE"/>
    <w:rsid w:val="00CB6549"/>
    <w:rsid w:val="00CB6579"/>
    <w:rsid w:val="00CC0419"/>
    <w:rsid w:val="00CC177E"/>
    <w:rsid w:val="00CC27AB"/>
    <w:rsid w:val="00CC3A7B"/>
    <w:rsid w:val="00CC5285"/>
    <w:rsid w:val="00CC773C"/>
    <w:rsid w:val="00CC7A1C"/>
    <w:rsid w:val="00CD1863"/>
    <w:rsid w:val="00CD1E24"/>
    <w:rsid w:val="00CD34E7"/>
    <w:rsid w:val="00CD4EE8"/>
    <w:rsid w:val="00CD62F5"/>
    <w:rsid w:val="00CD6E0B"/>
    <w:rsid w:val="00CD730D"/>
    <w:rsid w:val="00CD7FBE"/>
    <w:rsid w:val="00CE11D1"/>
    <w:rsid w:val="00CE16AA"/>
    <w:rsid w:val="00CE2876"/>
    <w:rsid w:val="00CE3EB0"/>
    <w:rsid w:val="00CE55F5"/>
    <w:rsid w:val="00CE78B1"/>
    <w:rsid w:val="00CF0FBB"/>
    <w:rsid w:val="00CF283B"/>
    <w:rsid w:val="00CF32C3"/>
    <w:rsid w:val="00CF3ED9"/>
    <w:rsid w:val="00CF404F"/>
    <w:rsid w:val="00CF448B"/>
    <w:rsid w:val="00CF53C9"/>
    <w:rsid w:val="00CF5D73"/>
    <w:rsid w:val="00CF612F"/>
    <w:rsid w:val="00CF6462"/>
    <w:rsid w:val="00CF6BA4"/>
    <w:rsid w:val="00CF7329"/>
    <w:rsid w:val="00CF74D0"/>
    <w:rsid w:val="00CF7C9A"/>
    <w:rsid w:val="00CF7CEC"/>
    <w:rsid w:val="00D00ED7"/>
    <w:rsid w:val="00D0133D"/>
    <w:rsid w:val="00D027B4"/>
    <w:rsid w:val="00D028C2"/>
    <w:rsid w:val="00D0326A"/>
    <w:rsid w:val="00D03676"/>
    <w:rsid w:val="00D03AF8"/>
    <w:rsid w:val="00D0561B"/>
    <w:rsid w:val="00D05739"/>
    <w:rsid w:val="00D076C3"/>
    <w:rsid w:val="00D1066F"/>
    <w:rsid w:val="00D117EF"/>
    <w:rsid w:val="00D12E22"/>
    <w:rsid w:val="00D14161"/>
    <w:rsid w:val="00D168C1"/>
    <w:rsid w:val="00D16B82"/>
    <w:rsid w:val="00D1736E"/>
    <w:rsid w:val="00D2022C"/>
    <w:rsid w:val="00D221FC"/>
    <w:rsid w:val="00D22462"/>
    <w:rsid w:val="00D247DE"/>
    <w:rsid w:val="00D26014"/>
    <w:rsid w:val="00D304F9"/>
    <w:rsid w:val="00D30901"/>
    <w:rsid w:val="00D32374"/>
    <w:rsid w:val="00D32737"/>
    <w:rsid w:val="00D33633"/>
    <w:rsid w:val="00D41D58"/>
    <w:rsid w:val="00D42FC8"/>
    <w:rsid w:val="00D448CE"/>
    <w:rsid w:val="00D44926"/>
    <w:rsid w:val="00D4542B"/>
    <w:rsid w:val="00D46FA8"/>
    <w:rsid w:val="00D47264"/>
    <w:rsid w:val="00D51784"/>
    <w:rsid w:val="00D51D1B"/>
    <w:rsid w:val="00D52AFE"/>
    <w:rsid w:val="00D531DC"/>
    <w:rsid w:val="00D53562"/>
    <w:rsid w:val="00D53782"/>
    <w:rsid w:val="00D54D7F"/>
    <w:rsid w:val="00D5514E"/>
    <w:rsid w:val="00D55E5D"/>
    <w:rsid w:val="00D60426"/>
    <w:rsid w:val="00D609EE"/>
    <w:rsid w:val="00D60FC5"/>
    <w:rsid w:val="00D6122D"/>
    <w:rsid w:val="00D62295"/>
    <w:rsid w:val="00D6249B"/>
    <w:rsid w:val="00D629F1"/>
    <w:rsid w:val="00D62D07"/>
    <w:rsid w:val="00D64140"/>
    <w:rsid w:val="00D6447D"/>
    <w:rsid w:val="00D64ADA"/>
    <w:rsid w:val="00D64CA3"/>
    <w:rsid w:val="00D658FD"/>
    <w:rsid w:val="00D65979"/>
    <w:rsid w:val="00D65C04"/>
    <w:rsid w:val="00D66FF3"/>
    <w:rsid w:val="00D67CEA"/>
    <w:rsid w:val="00D7140B"/>
    <w:rsid w:val="00D71698"/>
    <w:rsid w:val="00D71D4C"/>
    <w:rsid w:val="00D72019"/>
    <w:rsid w:val="00D7498A"/>
    <w:rsid w:val="00D75FE7"/>
    <w:rsid w:val="00D76AE3"/>
    <w:rsid w:val="00D77E37"/>
    <w:rsid w:val="00D80C86"/>
    <w:rsid w:val="00D816A3"/>
    <w:rsid w:val="00D82151"/>
    <w:rsid w:val="00D83501"/>
    <w:rsid w:val="00D83C6D"/>
    <w:rsid w:val="00D856A7"/>
    <w:rsid w:val="00D856D4"/>
    <w:rsid w:val="00D87226"/>
    <w:rsid w:val="00D87A94"/>
    <w:rsid w:val="00D87DE9"/>
    <w:rsid w:val="00D92AEA"/>
    <w:rsid w:val="00D941A2"/>
    <w:rsid w:val="00D95FC9"/>
    <w:rsid w:val="00D965F8"/>
    <w:rsid w:val="00D972AE"/>
    <w:rsid w:val="00D973CB"/>
    <w:rsid w:val="00D97599"/>
    <w:rsid w:val="00DA03E0"/>
    <w:rsid w:val="00DA12E8"/>
    <w:rsid w:val="00DA1B41"/>
    <w:rsid w:val="00DA22DF"/>
    <w:rsid w:val="00DA2387"/>
    <w:rsid w:val="00DA3747"/>
    <w:rsid w:val="00DA3A60"/>
    <w:rsid w:val="00DA44EC"/>
    <w:rsid w:val="00DA45BC"/>
    <w:rsid w:val="00DA512D"/>
    <w:rsid w:val="00DA601D"/>
    <w:rsid w:val="00DB08CB"/>
    <w:rsid w:val="00DB2D08"/>
    <w:rsid w:val="00DB3C42"/>
    <w:rsid w:val="00DB4282"/>
    <w:rsid w:val="00DB4B17"/>
    <w:rsid w:val="00DB680B"/>
    <w:rsid w:val="00DB6856"/>
    <w:rsid w:val="00DB7802"/>
    <w:rsid w:val="00DB7CFB"/>
    <w:rsid w:val="00DC0DA3"/>
    <w:rsid w:val="00DC0E83"/>
    <w:rsid w:val="00DC2817"/>
    <w:rsid w:val="00DC2DF6"/>
    <w:rsid w:val="00DC4000"/>
    <w:rsid w:val="00DC58F3"/>
    <w:rsid w:val="00DC7F5B"/>
    <w:rsid w:val="00DD0DF6"/>
    <w:rsid w:val="00DD403A"/>
    <w:rsid w:val="00DD64A7"/>
    <w:rsid w:val="00DD67EB"/>
    <w:rsid w:val="00DD6D7B"/>
    <w:rsid w:val="00DD7288"/>
    <w:rsid w:val="00DD72BD"/>
    <w:rsid w:val="00DE13F4"/>
    <w:rsid w:val="00DE1C0F"/>
    <w:rsid w:val="00DE2137"/>
    <w:rsid w:val="00DE3416"/>
    <w:rsid w:val="00DE3D5A"/>
    <w:rsid w:val="00DE5D06"/>
    <w:rsid w:val="00DE5FE2"/>
    <w:rsid w:val="00DE6E46"/>
    <w:rsid w:val="00DE702C"/>
    <w:rsid w:val="00DE70F9"/>
    <w:rsid w:val="00DE73F7"/>
    <w:rsid w:val="00DF158B"/>
    <w:rsid w:val="00DF1881"/>
    <w:rsid w:val="00DF384F"/>
    <w:rsid w:val="00DF6A97"/>
    <w:rsid w:val="00DF6AB9"/>
    <w:rsid w:val="00DF7D5E"/>
    <w:rsid w:val="00DF7FEB"/>
    <w:rsid w:val="00E005D8"/>
    <w:rsid w:val="00E01D97"/>
    <w:rsid w:val="00E01DB8"/>
    <w:rsid w:val="00E01E2C"/>
    <w:rsid w:val="00E020E1"/>
    <w:rsid w:val="00E0245E"/>
    <w:rsid w:val="00E02A0B"/>
    <w:rsid w:val="00E03C2D"/>
    <w:rsid w:val="00E03CCA"/>
    <w:rsid w:val="00E0682F"/>
    <w:rsid w:val="00E06AFA"/>
    <w:rsid w:val="00E077BE"/>
    <w:rsid w:val="00E10A32"/>
    <w:rsid w:val="00E111C7"/>
    <w:rsid w:val="00E11664"/>
    <w:rsid w:val="00E11B7D"/>
    <w:rsid w:val="00E121CB"/>
    <w:rsid w:val="00E14568"/>
    <w:rsid w:val="00E15918"/>
    <w:rsid w:val="00E160A8"/>
    <w:rsid w:val="00E164E6"/>
    <w:rsid w:val="00E16F61"/>
    <w:rsid w:val="00E2055E"/>
    <w:rsid w:val="00E218C3"/>
    <w:rsid w:val="00E220BA"/>
    <w:rsid w:val="00E222BB"/>
    <w:rsid w:val="00E23A14"/>
    <w:rsid w:val="00E23CB5"/>
    <w:rsid w:val="00E244A8"/>
    <w:rsid w:val="00E24E0A"/>
    <w:rsid w:val="00E2546C"/>
    <w:rsid w:val="00E25471"/>
    <w:rsid w:val="00E303F6"/>
    <w:rsid w:val="00E31BCD"/>
    <w:rsid w:val="00E338F6"/>
    <w:rsid w:val="00E3398F"/>
    <w:rsid w:val="00E33C02"/>
    <w:rsid w:val="00E34CFB"/>
    <w:rsid w:val="00E362CD"/>
    <w:rsid w:val="00E3640B"/>
    <w:rsid w:val="00E45959"/>
    <w:rsid w:val="00E46BCA"/>
    <w:rsid w:val="00E5079A"/>
    <w:rsid w:val="00E50822"/>
    <w:rsid w:val="00E5118C"/>
    <w:rsid w:val="00E517D3"/>
    <w:rsid w:val="00E518A6"/>
    <w:rsid w:val="00E519EE"/>
    <w:rsid w:val="00E557DC"/>
    <w:rsid w:val="00E561FC"/>
    <w:rsid w:val="00E56953"/>
    <w:rsid w:val="00E57C45"/>
    <w:rsid w:val="00E603F8"/>
    <w:rsid w:val="00E60622"/>
    <w:rsid w:val="00E62B75"/>
    <w:rsid w:val="00E63B28"/>
    <w:rsid w:val="00E63D63"/>
    <w:rsid w:val="00E63DB1"/>
    <w:rsid w:val="00E64F19"/>
    <w:rsid w:val="00E663D3"/>
    <w:rsid w:val="00E67828"/>
    <w:rsid w:val="00E7038C"/>
    <w:rsid w:val="00E715D5"/>
    <w:rsid w:val="00E71DA2"/>
    <w:rsid w:val="00E72480"/>
    <w:rsid w:val="00E724A2"/>
    <w:rsid w:val="00E72FC9"/>
    <w:rsid w:val="00E73466"/>
    <w:rsid w:val="00E73ED5"/>
    <w:rsid w:val="00E7511B"/>
    <w:rsid w:val="00E75EDD"/>
    <w:rsid w:val="00E7669D"/>
    <w:rsid w:val="00E767A5"/>
    <w:rsid w:val="00E772AF"/>
    <w:rsid w:val="00E778FE"/>
    <w:rsid w:val="00E8134A"/>
    <w:rsid w:val="00E824FA"/>
    <w:rsid w:val="00E84FC2"/>
    <w:rsid w:val="00E85A86"/>
    <w:rsid w:val="00E85E80"/>
    <w:rsid w:val="00E907E8"/>
    <w:rsid w:val="00E90BF2"/>
    <w:rsid w:val="00E91ECE"/>
    <w:rsid w:val="00E92361"/>
    <w:rsid w:val="00E923BC"/>
    <w:rsid w:val="00E92E53"/>
    <w:rsid w:val="00E947D4"/>
    <w:rsid w:val="00E94AF7"/>
    <w:rsid w:val="00E952EC"/>
    <w:rsid w:val="00E95B51"/>
    <w:rsid w:val="00E9679B"/>
    <w:rsid w:val="00EA2020"/>
    <w:rsid w:val="00EA2285"/>
    <w:rsid w:val="00EA2653"/>
    <w:rsid w:val="00EA3151"/>
    <w:rsid w:val="00EA3476"/>
    <w:rsid w:val="00EA3B13"/>
    <w:rsid w:val="00EA3D5C"/>
    <w:rsid w:val="00EA3EAB"/>
    <w:rsid w:val="00EA723B"/>
    <w:rsid w:val="00EB1026"/>
    <w:rsid w:val="00EB10DC"/>
    <w:rsid w:val="00EB11BD"/>
    <w:rsid w:val="00EB4B06"/>
    <w:rsid w:val="00EB5AA1"/>
    <w:rsid w:val="00EB5E4C"/>
    <w:rsid w:val="00EB66E8"/>
    <w:rsid w:val="00EB748C"/>
    <w:rsid w:val="00EC0592"/>
    <w:rsid w:val="00EC2849"/>
    <w:rsid w:val="00EC2B32"/>
    <w:rsid w:val="00EC3BB7"/>
    <w:rsid w:val="00EC45A9"/>
    <w:rsid w:val="00EC4911"/>
    <w:rsid w:val="00EC4A0F"/>
    <w:rsid w:val="00EC4A50"/>
    <w:rsid w:val="00EC4AAA"/>
    <w:rsid w:val="00EC63FD"/>
    <w:rsid w:val="00EC6E4C"/>
    <w:rsid w:val="00EC70E1"/>
    <w:rsid w:val="00EC7641"/>
    <w:rsid w:val="00ED0774"/>
    <w:rsid w:val="00ED143B"/>
    <w:rsid w:val="00ED21A1"/>
    <w:rsid w:val="00ED23AB"/>
    <w:rsid w:val="00ED2583"/>
    <w:rsid w:val="00ED2682"/>
    <w:rsid w:val="00ED2D2A"/>
    <w:rsid w:val="00ED6BCF"/>
    <w:rsid w:val="00ED732A"/>
    <w:rsid w:val="00EE1210"/>
    <w:rsid w:val="00EE1C3E"/>
    <w:rsid w:val="00EE2F20"/>
    <w:rsid w:val="00EE3660"/>
    <w:rsid w:val="00EE3880"/>
    <w:rsid w:val="00EE3A95"/>
    <w:rsid w:val="00EE3BB4"/>
    <w:rsid w:val="00EE62E9"/>
    <w:rsid w:val="00EE744C"/>
    <w:rsid w:val="00EE7925"/>
    <w:rsid w:val="00EF146B"/>
    <w:rsid w:val="00EF18A0"/>
    <w:rsid w:val="00EF1C65"/>
    <w:rsid w:val="00EF269A"/>
    <w:rsid w:val="00EF396F"/>
    <w:rsid w:val="00EF4F71"/>
    <w:rsid w:val="00EF5713"/>
    <w:rsid w:val="00EF5824"/>
    <w:rsid w:val="00F001B2"/>
    <w:rsid w:val="00F0028B"/>
    <w:rsid w:val="00F01973"/>
    <w:rsid w:val="00F02812"/>
    <w:rsid w:val="00F03464"/>
    <w:rsid w:val="00F04280"/>
    <w:rsid w:val="00F0628E"/>
    <w:rsid w:val="00F0716E"/>
    <w:rsid w:val="00F07A57"/>
    <w:rsid w:val="00F10D9E"/>
    <w:rsid w:val="00F11255"/>
    <w:rsid w:val="00F11416"/>
    <w:rsid w:val="00F11593"/>
    <w:rsid w:val="00F12658"/>
    <w:rsid w:val="00F14B38"/>
    <w:rsid w:val="00F179BF"/>
    <w:rsid w:val="00F17DEA"/>
    <w:rsid w:val="00F17E36"/>
    <w:rsid w:val="00F201DE"/>
    <w:rsid w:val="00F21855"/>
    <w:rsid w:val="00F231F6"/>
    <w:rsid w:val="00F245BF"/>
    <w:rsid w:val="00F25890"/>
    <w:rsid w:val="00F25947"/>
    <w:rsid w:val="00F25BD6"/>
    <w:rsid w:val="00F269C2"/>
    <w:rsid w:val="00F26B3F"/>
    <w:rsid w:val="00F27210"/>
    <w:rsid w:val="00F27360"/>
    <w:rsid w:val="00F27F80"/>
    <w:rsid w:val="00F345DF"/>
    <w:rsid w:val="00F355B4"/>
    <w:rsid w:val="00F37D01"/>
    <w:rsid w:val="00F418B5"/>
    <w:rsid w:val="00F4227B"/>
    <w:rsid w:val="00F42AB3"/>
    <w:rsid w:val="00F43629"/>
    <w:rsid w:val="00F4450C"/>
    <w:rsid w:val="00F4783D"/>
    <w:rsid w:val="00F50319"/>
    <w:rsid w:val="00F505DA"/>
    <w:rsid w:val="00F52423"/>
    <w:rsid w:val="00F53A6C"/>
    <w:rsid w:val="00F5408A"/>
    <w:rsid w:val="00F54742"/>
    <w:rsid w:val="00F55DA0"/>
    <w:rsid w:val="00F57AD9"/>
    <w:rsid w:val="00F60044"/>
    <w:rsid w:val="00F60B3E"/>
    <w:rsid w:val="00F629AB"/>
    <w:rsid w:val="00F629BB"/>
    <w:rsid w:val="00F631C2"/>
    <w:rsid w:val="00F642FD"/>
    <w:rsid w:val="00F64A5B"/>
    <w:rsid w:val="00F64B6E"/>
    <w:rsid w:val="00F65877"/>
    <w:rsid w:val="00F659D7"/>
    <w:rsid w:val="00F6718B"/>
    <w:rsid w:val="00F72675"/>
    <w:rsid w:val="00F729A9"/>
    <w:rsid w:val="00F75646"/>
    <w:rsid w:val="00F75962"/>
    <w:rsid w:val="00F75C87"/>
    <w:rsid w:val="00F76B18"/>
    <w:rsid w:val="00F772EA"/>
    <w:rsid w:val="00F82F1F"/>
    <w:rsid w:val="00F830DF"/>
    <w:rsid w:val="00F8320A"/>
    <w:rsid w:val="00F8344F"/>
    <w:rsid w:val="00F84117"/>
    <w:rsid w:val="00F85777"/>
    <w:rsid w:val="00F85ABA"/>
    <w:rsid w:val="00F86135"/>
    <w:rsid w:val="00F86515"/>
    <w:rsid w:val="00F872FA"/>
    <w:rsid w:val="00F90A94"/>
    <w:rsid w:val="00F91324"/>
    <w:rsid w:val="00F93804"/>
    <w:rsid w:val="00F93CD4"/>
    <w:rsid w:val="00F93F66"/>
    <w:rsid w:val="00F96068"/>
    <w:rsid w:val="00FA1869"/>
    <w:rsid w:val="00FA1DB6"/>
    <w:rsid w:val="00FA29CA"/>
    <w:rsid w:val="00FA38FA"/>
    <w:rsid w:val="00FA3BDC"/>
    <w:rsid w:val="00FA4BAF"/>
    <w:rsid w:val="00FA534A"/>
    <w:rsid w:val="00FA57AF"/>
    <w:rsid w:val="00FA58F8"/>
    <w:rsid w:val="00FA5D2A"/>
    <w:rsid w:val="00FA7D45"/>
    <w:rsid w:val="00FB0B78"/>
    <w:rsid w:val="00FB0BA9"/>
    <w:rsid w:val="00FB12EB"/>
    <w:rsid w:val="00FB15BB"/>
    <w:rsid w:val="00FB3C16"/>
    <w:rsid w:val="00FB45A1"/>
    <w:rsid w:val="00FB4A16"/>
    <w:rsid w:val="00FB565F"/>
    <w:rsid w:val="00FB787F"/>
    <w:rsid w:val="00FB7EF0"/>
    <w:rsid w:val="00FC353F"/>
    <w:rsid w:val="00FC3D87"/>
    <w:rsid w:val="00FC497B"/>
    <w:rsid w:val="00FC50E0"/>
    <w:rsid w:val="00FC590C"/>
    <w:rsid w:val="00FC5990"/>
    <w:rsid w:val="00FC5D32"/>
    <w:rsid w:val="00FC6551"/>
    <w:rsid w:val="00FC6D7D"/>
    <w:rsid w:val="00FC72C3"/>
    <w:rsid w:val="00FC7575"/>
    <w:rsid w:val="00FD0962"/>
    <w:rsid w:val="00FD1A5B"/>
    <w:rsid w:val="00FD1B70"/>
    <w:rsid w:val="00FD2C29"/>
    <w:rsid w:val="00FD2EB0"/>
    <w:rsid w:val="00FD3464"/>
    <w:rsid w:val="00FD3B96"/>
    <w:rsid w:val="00FD3ED6"/>
    <w:rsid w:val="00FD42EB"/>
    <w:rsid w:val="00FD50D6"/>
    <w:rsid w:val="00FD5314"/>
    <w:rsid w:val="00FD6BDB"/>
    <w:rsid w:val="00FE0F49"/>
    <w:rsid w:val="00FE11D0"/>
    <w:rsid w:val="00FE19B6"/>
    <w:rsid w:val="00FE19BD"/>
    <w:rsid w:val="00FE1E22"/>
    <w:rsid w:val="00FE21E5"/>
    <w:rsid w:val="00FE3F5B"/>
    <w:rsid w:val="00FE46F0"/>
    <w:rsid w:val="00FE5CB3"/>
    <w:rsid w:val="00FE6A7B"/>
    <w:rsid w:val="00FE7FD8"/>
    <w:rsid w:val="00FF13F3"/>
    <w:rsid w:val="00FF2B95"/>
    <w:rsid w:val="00FF2CEA"/>
    <w:rsid w:val="00FF31C7"/>
    <w:rsid w:val="00FF45AA"/>
    <w:rsid w:val="00FF556B"/>
    <w:rsid w:val="00FF5630"/>
    <w:rsid w:val="00FF61F4"/>
    <w:rsid w:val="00FF6E12"/>
    <w:rsid w:val="00FF7768"/>
    <w:rsid w:val="00FF7821"/>
    <w:rsid w:val="011507AE"/>
    <w:rsid w:val="012A73F0"/>
    <w:rsid w:val="016D6F35"/>
    <w:rsid w:val="01710CE6"/>
    <w:rsid w:val="017A3A0B"/>
    <w:rsid w:val="01892F00"/>
    <w:rsid w:val="019D1D46"/>
    <w:rsid w:val="020822E2"/>
    <w:rsid w:val="023B049D"/>
    <w:rsid w:val="026F415C"/>
    <w:rsid w:val="028628AA"/>
    <w:rsid w:val="03394A58"/>
    <w:rsid w:val="034F6AB9"/>
    <w:rsid w:val="039773DB"/>
    <w:rsid w:val="03AF181D"/>
    <w:rsid w:val="03FB13B1"/>
    <w:rsid w:val="041415B7"/>
    <w:rsid w:val="0419477B"/>
    <w:rsid w:val="043C2118"/>
    <w:rsid w:val="048C629A"/>
    <w:rsid w:val="048D7662"/>
    <w:rsid w:val="049E032C"/>
    <w:rsid w:val="051D252B"/>
    <w:rsid w:val="054941DB"/>
    <w:rsid w:val="0563542C"/>
    <w:rsid w:val="05B93457"/>
    <w:rsid w:val="05E44BE3"/>
    <w:rsid w:val="06442BBB"/>
    <w:rsid w:val="064C6108"/>
    <w:rsid w:val="06D917C3"/>
    <w:rsid w:val="078214AD"/>
    <w:rsid w:val="07852B53"/>
    <w:rsid w:val="07D01793"/>
    <w:rsid w:val="07D71903"/>
    <w:rsid w:val="080248C8"/>
    <w:rsid w:val="082839A1"/>
    <w:rsid w:val="08607A85"/>
    <w:rsid w:val="08B12A98"/>
    <w:rsid w:val="08B57EFE"/>
    <w:rsid w:val="08C45D18"/>
    <w:rsid w:val="08C61E88"/>
    <w:rsid w:val="08E2716B"/>
    <w:rsid w:val="090C26F4"/>
    <w:rsid w:val="09657EC7"/>
    <w:rsid w:val="097541FF"/>
    <w:rsid w:val="09825063"/>
    <w:rsid w:val="09DA4F33"/>
    <w:rsid w:val="09DA7323"/>
    <w:rsid w:val="09DC7940"/>
    <w:rsid w:val="09F22722"/>
    <w:rsid w:val="0A5139E3"/>
    <w:rsid w:val="0A5F0410"/>
    <w:rsid w:val="0A7914C4"/>
    <w:rsid w:val="0AB76E57"/>
    <w:rsid w:val="0AC97A4D"/>
    <w:rsid w:val="0AD76FDB"/>
    <w:rsid w:val="0B3965AB"/>
    <w:rsid w:val="0B8F1590"/>
    <w:rsid w:val="0BFA619E"/>
    <w:rsid w:val="0C64243E"/>
    <w:rsid w:val="0D371EEE"/>
    <w:rsid w:val="0D4863D6"/>
    <w:rsid w:val="0D571527"/>
    <w:rsid w:val="0D71748E"/>
    <w:rsid w:val="0DA06DE3"/>
    <w:rsid w:val="0E0A7181"/>
    <w:rsid w:val="0E516834"/>
    <w:rsid w:val="0E5B34E4"/>
    <w:rsid w:val="0E852629"/>
    <w:rsid w:val="0EF96756"/>
    <w:rsid w:val="0F241A60"/>
    <w:rsid w:val="0F857340"/>
    <w:rsid w:val="0F90309B"/>
    <w:rsid w:val="0FD76C2F"/>
    <w:rsid w:val="0FE60419"/>
    <w:rsid w:val="0FF043EE"/>
    <w:rsid w:val="1042417B"/>
    <w:rsid w:val="105C137B"/>
    <w:rsid w:val="107A1A89"/>
    <w:rsid w:val="108131A1"/>
    <w:rsid w:val="10867672"/>
    <w:rsid w:val="10ED3677"/>
    <w:rsid w:val="117A43C3"/>
    <w:rsid w:val="11851658"/>
    <w:rsid w:val="11DF58D4"/>
    <w:rsid w:val="11F11CD4"/>
    <w:rsid w:val="11F361FA"/>
    <w:rsid w:val="121E6EFC"/>
    <w:rsid w:val="12A9761D"/>
    <w:rsid w:val="12D34E52"/>
    <w:rsid w:val="12DA5F1B"/>
    <w:rsid w:val="135A2DE7"/>
    <w:rsid w:val="136A2386"/>
    <w:rsid w:val="13E17788"/>
    <w:rsid w:val="14065D89"/>
    <w:rsid w:val="140B369C"/>
    <w:rsid w:val="14600E06"/>
    <w:rsid w:val="146A00FF"/>
    <w:rsid w:val="147D313A"/>
    <w:rsid w:val="147F40E7"/>
    <w:rsid w:val="149C76D1"/>
    <w:rsid w:val="14C26243"/>
    <w:rsid w:val="14C810CF"/>
    <w:rsid w:val="14DD6969"/>
    <w:rsid w:val="14E11E2F"/>
    <w:rsid w:val="150F1713"/>
    <w:rsid w:val="151C52EE"/>
    <w:rsid w:val="1551097B"/>
    <w:rsid w:val="15CC0F96"/>
    <w:rsid w:val="15CD6913"/>
    <w:rsid w:val="15EF7DAC"/>
    <w:rsid w:val="162C6CEF"/>
    <w:rsid w:val="1650234C"/>
    <w:rsid w:val="1667628F"/>
    <w:rsid w:val="167C56FF"/>
    <w:rsid w:val="169167E9"/>
    <w:rsid w:val="16B35DAF"/>
    <w:rsid w:val="16BD7FCD"/>
    <w:rsid w:val="16DE2927"/>
    <w:rsid w:val="17332844"/>
    <w:rsid w:val="175D2E1C"/>
    <w:rsid w:val="17AB652C"/>
    <w:rsid w:val="17E733DB"/>
    <w:rsid w:val="18431F70"/>
    <w:rsid w:val="187A3618"/>
    <w:rsid w:val="188034F0"/>
    <w:rsid w:val="1897722E"/>
    <w:rsid w:val="18FE48AA"/>
    <w:rsid w:val="19A971FB"/>
    <w:rsid w:val="19AC35E1"/>
    <w:rsid w:val="19E925F0"/>
    <w:rsid w:val="19F0113C"/>
    <w:rsid w:val="1A0D5A0C"/>
    <w:rsid w:val="1A5F3E02"/>
    <w:rsid w:val="1A623E81"/>
    <w:rsid w:val="1A6E0930"/>
    <w:rsid w:val="1A8A0861"/>
    <w:rsid w:val="1AFD7F3F"/>
    <w:rsid w:val="1B1018A4"/>
    <w:rsid w:val="1B317F43"/>
    <w:rsid w:val="1B796EAC"/>
    <w:rsid w:val="1B926C1B"/>
    <w:rsid w:val="1BC67474"/>
    <w:rsid w:val="1BDA1FAA"/>
    <w:rsid w:val="1BF51A18"/>
    <w:rsid w:val="1C9009AA"/>
    <w:rsid w:val="1CB036F4"/>
    <w:rsid w:val="1CBF7B8A"/>
    <w:rsid w:val="1D0A2B47"/>
    <w:rsid w:val="1D530891"/>
    <w:rsid w:val="1D623FBB"/>
    <w:rsid w:val="1D736585"/>
    <w:rsid w:val="1D936311"/>
    <w:rsid w:val="1D9559C8"/>
    <w:rsid w:val="1DFB2026"/>
    <w:rsid w:val="1E0326D9"/>
    <w:rsid w:val="1E421903"/>
    <w:rsid w:val="1E4C4C5D"/>
    <w:rsid w:val="1F097B7B"/>
    <w:rsid w:val="1F397944"/>
    <w:rsid w:val="1F6E3E5F"/>
    <w:rsid w:val="206713E9"/>
    <w:rsid w:val="20E01E18"/>
    <w:rsid w:val="211C1E27"/>
    <w:rsid w:val="21683B91"/>
    <w:rsid w:val="218276CB"/>
    <w:rsid w:val="21A5036B"/>
    <w:rsid w:val="22004E40"/>
    <w:rsid w:val="2209644F"/>
    <w:rsid w:val="221325F7"/>
    <w:rsid w:val="221610A4"/>
    <w:rsid w:val="224D6F36"/>
    <w:rsid w:val="22710E2D"/>
    <w:rsid w:val="22794DDB"/>
    <w:rsid w:val="22AD5318"/>
    <w:rsid w:val="22C25263"/>
    <w:rsid w:val="22EB6CA3"/>
    <w:rsid w:val="238B306A"/>
    <w:rsid w:val="23F50A28"/>
    <w:rsid w:val="240720EE"/>
    <w:rsid w:val="24102FDA"/>
    <w:rsid w:val="24225026"/>
    <w:rsid w:val="24AA006E"/>
    <w:rsid w:val="24C16634"/>
    <w:rsid w:val="24D51358"/>
    <w:rsid w:val="252543D6"/>
    <w:rsid w:val="2597578C"/>
    <w:rsid w:val="25CB22AC"/>
    <w:rsid w:val="260D4F33"/>
    <w:rsid w:val="265F3B75"/>
    <w:rsid w:val="268F150D"/>
    <w:rsid w:val="26992F1B"/>
    <w:rsid w:val="26AE14FC"/>
    <w:rsid w:val="27951D6D"/>
    <w:rsid w:val="279A282A"/>
    <w:rsid w:val="27E929B7"/>
    <w:rsid w:val="27F5280F"/>
    <w:rsid w:val="28086BA4"/>
    <w:rsid w:val="287072B6"/>
    <w:rsid w:val="28836851"/>
    <w:rsid w:val="28BB4F2D"/>
    <w:rsid w:val="28D21350"/>
    <w:rsid w:val="28FD2343"/>
    <w:rsid w:val="291511C4"/>
    <w:rsid w:val="292E3595"/>
    <w:rsid w:val="297A2E1C"/>
    <w:rsid w:val="29B95329"/>
    <w:rsid w:val="29CA284B"/>
    <w:rsid w:val="29F42CD9"/>
    <w:rsid w:val="2A062D05"/>
    <w:rsid w:val="2A0A08FE"/>
    <w:rsid w:val="2A6A6AE6"/>
    <w:rsid w:val="2ABC56A5"/>
    <w:rsid w:val="2ABD0D0E"/>
    <w:rsid w:val="2AD74711"/>
    <w:rsid w:val="2B04518C"/>
    <w:rsid w:val="2B3D7F0D"/>
    <w:rsid w:val="2B4273BA"/>
    <w:rsid w:val="2B9E1863"/>
    <w:rsid w:val="2C046C34"/>
    <w:rsid w:val="2C0E7323"/>
    <w:rsid w:val="2C1C5362"/>
    <w:rsid w:val="2C73410F"/>
    <w:rsid w:val="2C7409CF"/>
    <w:rsid w:val="2C9C4068"/>
    <w:rsid w:val="2CA33828"/>
    <w:rsid w:val="2CDA34DF"/>
    <w:rsid w:val="2D113474"/>
    <w:rsid w:val="2D523AD8"/>
    <w:rsid w:val="2D966409"/>
    <w:rsid w:val="2DDA44FB"/>
    <w:rsid w:val="2E244073"/>
    <w:rsid w:val="2E25185C"/>
    <w:rsid w:val="2E39708C"/>
    <w:rsid w:val="2E940AE8"/>
    <w:rsid w:val="2EA97AF0"/>
    <w:rsid w:val="2EF614B0"/>
    <w:rsid w:val="2F0C42DF"/>
    <w:rsid w:val="2F470C56"/>
    <w:rsid w:val="2F8B3C00"/>
    <w:rsid w:val="2FBA555D"/>
    <w:rsid w:val="300D4CDB"/>
    <w:rsid w:val="30207591"/>
    <w:rsid w:val="303F49E8"/>
    <w:rsid w:val="30485DCC"/>
    <w:rsid w:val="306B4353"/>
    <w:rsid w:val="307239E0"/>
    <w:rsid w:val="307C229C"/>
    <w:rsid w:val="3084160C"/>
    <w:rsid w:val="3089448B"/>
    <w:rsid w:val="309B366F"/>
    <w:rsid w:val="30A43AD3"/>
    <w:rsid w:val="30C70CAA"/>
    <w:rsid w:val="310362FF"/>
    <w:rsid w:val="312D7847"/>
    <w:rsid w:val="313E0F8B"/>
    <w:rsid w:val="314C0824"/>
    <w:rsid w:val="31523EE4"/>
    <w:rsid w:val="31913165"/>
    <w:rsid w:val="31994094"/>
    <w:rsid w:val="319F2B13"/>
    <w:rsid w:val="32116CCB"/>
    <w:rsid w:val="32797833"/>
    <w:rsid w:val="3297082E"/>
    <w:rsid w:val="32A008C2"/>
    <w:rsid w:val="32A906DD"/>
    <w:rsid w:val="32C60BD5"/>
    <w:rsid w:val="32D7044D"/>
    <w:rsid w:val="331A3F37"/>
    <w:rsid w:val="332A4710"/>
    <w:rsid w:val="333F7FE7"/>
    <w:rsid w:val="33EC55F1"/>
    <w:rsid w:val="34545899"/>
    <w:rsid w:val="34617413"/>
    <w:rsid w:val="34E06AE3"/>
    <w:rsid w:val="350C1684"/>
    <w:rsid w:val="351F16EE"/>
    <w:rsid w:val="35360F70"/>
    <w:rsid w:val="3557084C"/>
    <w:rsid w:val="35E17B0A"/>
    <w:rsid w:val="35F22B44"/>
    <w:rsid w:val="35FE55E8"/>
    <w:rsid w:val="363B2EA5"/>
    <w:rsid w:val="36526C15"/>
    <w:rsid w:val="36994539"/>
    <w:rsid w:val="369D2E07"/>
    <w:rsid w:val="36BB23D8"/>
    <w:rsid w:val="36FA5861"/>
    <w:rsid w:val="3705629A"/>
    <w:rsid w:val="37583039"/>
    <w:rsid w:val="377C5F07"/>
    <w:rsid w:val="37AE4D9A"/>
    <w:rsid w:val="37C6140C"/>
    <w:rsid w:val="37E72B64"/>
    <w:rsid w:val="38C71B7C"/>
    <w:rsid w:val="392A434B"/>
    <w:rsid w:val="3A1D236B"/>
    <w:rsid w:val="3A403B43"/>
    <w:rsid w:val="3A642AB9"/>
    <w:rsid w:val="3AA150C5"/>
    <w:rsid w:val="3AB075B3"/>
    <w:rsid w:val="3B0C79AF"/>
    <w:rsid w:val="3B461910"/>
    <w:rsid w:val="3B67056F"/>
    <w:rsid w:val="3B987352"/>
    <w:rsid w:val="3B9D7B76"/>
    <w:rsid w:val="3BB114AD"/>
    <w:rsid w:val="3BE37C17"/>
    <w:rsid w:val="3C8801D9"/>
    <w:rsid w:val="3C990217"/>
    <w:rsid w:val="3CE873E0"/>
    <w:rsid w:val="3CEA6618"/>
    <w:rsid w:val="3D275477"/>
    <w:rsid w:val="3D397945"/>
    <w:rsid w:val="3D4002DC"/>
    <w:rsid w:val="3D495599"/>
    <w:rsid w:val="3D5534A7"/>
    <w:rsid w:val="3D6165FB"/>
    <w:rsid w:val="3D622367"/>
    <w:rsid w:val="3E3603CE"/>
    <w:rsid w:val="3E3A0071"/>
    <w:rsid w:val="3E636AAF"/>
    <w:rsid w:val="3E830477"/>
    <w:rsid w:val="3EB0017F"/>
    <w:rsid w:val="3EB30AB8"/>
    <w:rsid w:val="3EC5774F"/>
    <w:rsid w:val="3EE2512B"/>
    <w:rsid w:val="3F1169DD"/>
    <w:rsid w:val="3F243F9D"/>
    <w:rsid w:val="3FC43550"/>
    <w:rsid w:val="3FCF62EF"/>
    <w:rsid w:val="3FD95E27"/>
    <w:rsid w:val="3FDD416E"/>
    <w:rsid w:val="3FFE3FDF"/>
    <w:rsid w:val="3FFF5E16"/>
    <w:rsid w:val="402B1E8A"/>
    <w:rsid w:val="40744733"/>
    <w:rsid w:val="408052FD"/>
    <w:rsid w:val="40B038C1"/>
    <w:rsid w:val="40D72617"/>
    <w:rsid w:val="41051392"/>
    <w:rsid w:val="416302CC"/>
    <w:rsid w:val="41711DA6"/>
    <w:rsid w:val="41715B24"/>
    <w:rsid w:val="41AE2663"/>
    <w:rsid w:val="41D43143"/>
    <w:rsid w:val="41D5104F"/>
    <w:rsid w:val="41E82470"/>
    <w:rsid w:val="41EC0157"/>
    <w:rsid w:val="427C0C78"/>
    <w:rsid w:val="42CA29D4"/>
    <w:rsid w:val="43A74596"/>
    <w:rsid w:val="43CC632D"/>
    <w:rsid w:val="43E77577"/>
    <w:rsid w:val="44040285"/>
    <w:rsid w:val="44534FB7"/>
    <w:rsid w:val="44605102"/>
    <w:rsid w:val="44C7560D"/>
    <w:rsid w:val="44DB2082"/>
    <w:rsid w:val="44DF720E"/>
    <w:rsid w:val="44F74CF8"/>
    <w:rsid w:val="45A0127C"/>
    <w:rsid w:val="45A9085F"/>
    <w:rsid w:val="45C17F8F"/>
    <w:rsid w:val="45F56402"/>
    <w:rsid w:val="462034B4"/>
    <w:rsid w:val="46921269"/>
    <w:rsid w:val="46D91608"/>
    <w:rsid w:val="46E73F35"/>
    <w:rsid w:val="473B6CF2"/>
    <w:rsid w:val="473F25F0"/>
    <w:rsid w:val="480511DF"/>
    <w:rsid w:val="485B5EFA"/>
    <w:rsid w:val="48992781"/>
    <w:rsid w:val="48B11BEC"/>
    <w:rsid w:val="48C83AEA"/>
    <w:rsid w:val="49583668"/>
    <w:rsid w:val="49593E1D"/>
    <w:rsid w:val="49E90B00"/>
    <w:rsid w:val="4A132E5A"/>
    <w:rsid w:val="4A20769C"/>
    <w:rsid w:val="4A6C64A1"/>
    <w:rsid w:val="4AAB2013"/>
    <w:rsid w:val="4AC03910"/>
    <w:rsid w:val="4B2B1303"/>
    <w:rsid w:val="4B537E53"/>
    <w:rsid w:val="4B78696E"/>
    <w:rsid w:val="4C0505E6"/>
    <w:rsid w:val="4C09081B"/>
    <w:rsid w:val="4C324217"/>
    <w:rsid w:val="4C7548E1"/>
    <w:rsid w:val="4C8808F1"/>
    <w:rsid w:val="4CE02994"/>
    <w:rsid w:val="4CF35DB9"/>
    <w:rsid w:val="4D19255B"/>
    <w:rsid w:val="4D207C09"/>
    <w:rsid w:val="4D4164C4"/>
    <w:rsid w:val="4DBA09F9"/>
    <w:rsid w:val="4DF60D8B"/>
    <w:rsid w:val="4E095DF3"/>
    <w:rsid w:val="4E0A2B02"/>
    <w:rsid w:val="4E2F69B8"/>
    <w:rsid w:val="4E720530"/>
    <w:rsid w:val="4E9B39E2"/>
    <w:rsid w:val="4EAB6C7A"/>
    <w:rsid w:val="4F103160"/>
    <w:rsid w:val="4F2426A0"/>
    <w:rsid w:val="4F46677A"/>
    <w:rsid w:val="4F822AFC"/>
    <w:rsid w:val="4F8947D3"/>
    <w:rsid w:val="5006538C"/>
    <w:rsid w:val="500B2289"/>
    <w:rsid w:val="503A2514"/>
    <w:rsid w:val="50547B23"/>
    <w:rsid w:val="50A608E7"/>
    <w:rsid w:val="50CD287A"/>
    <w:rsid w:val="513A02A7"/>
    <w:rsid w:val="513C3FA2"/>
    <w:rsid w:val="514E4542"/>
    <w:rsid w:val="5154787B"/>
    <w:rsid w:val="51AF6F86"/>
    <w:rsid w:val="51CE4AAB"/>
    <w:rsid w:val="525E543A"/>
    <w:rsid w:val="52602E65"/>
    <w:rsid w:val="52B95ACB"/>
    <w:rsid w:val="52DA4383"/>
    <w:rsid w:val="53300686"/>
    <w:rsid w:val="534B3291"/>
    <w:rsid w:val="53A06FE0"/>
    <w:rsid w:val="53AE4053"/>
    <w:rsid w:val="53BC62A9"/>
    <w:rsid w:val="540B27A1"/>
    <w:rsid w:val="54212C64"/>
    <w:rsid w:val="54813567"/>
    <w:rsid w:val="54BE21AF"/>
    <w:rsid w:val="5505535F"/>
    <w:rsid w:val="550A7522"/>
    <w:rsid w:val="551D17BE"/>
    <w:rsid w:val="55464624"/>
    <w:rsid w:val="55781FA1"/>
    <w:rsid w:val="557A01A9"/>
    <w:rsid w:val="563422B1"/>
    <w:rsid w:val="566D2F51"/>
    <w:rsid w:val="56B84EF7"/>
    <w:rsid w:val="56CE587D"/>
    <w:rsid w:val="578F10B5"/>
    <w:rsid w:val="579E1ED9"/>
    <w:rsid w:val="57B43929"/>
    <w:rsid w:val="57BB0FB2"/>
    <w:rsid w:val="57C339CD"/>
    <w:rsid w:val="57F421FF"/>
    <w:rsid w:val="582D6B49"/>
    <w:rsid w:val="58D81A8E"/>
    <w:rsid w:val="58ED0329"/>
    <w:rsid w:val="59581DD1"/>
    <w:rsid w:val="59D909E3"/>
    <w:rsid w:val="59DC70A4"/>
    <w:rsid w:val="5A4F0B8D"/>
    <w:rsid w:val="5A661E22"/>
    <w:rsid w:val="5A982BF7"/>
    <w:rsid w:val="5AB61D30"/>
    <w:rsid w:val="5ACB311A"/>
    <w:rsid w:val="5B096752"/>
    <w:rsid w:val="5B631974"/>
    <w:rsid w:val="5B817CAF"/>
    <w:rsid w:val="5BC05341"/>
    <w:rsid w:val="5BE41F47"/>
    <w:rsid w:val="5BF575E5"/>
    <w:rsid w:val="5C297A0B"/>
    <w:rsid w:val="5C51033F"/>
    <w:rsid w:val="5CB14B74"/>
    <w:rsid w:val="5CC43D2E"/>
    <w:rsid w:val="5CF90EB9"/>
    <w:rsid w:val="5D45739B"/>
    <w:rsid w:val="5D4A2E06"/>
    <w:rsid w:val="5D536BC9"/>
    <w:rsid w:val="5E143725"/>
    <w:rsid w:val="5E4F25B7"/>
    <w:rsid w:val="5E596C5B"/>
    <w:rsid w:val="5F113468"/>
    <w:rsid w:val="5F380692"/>
    <w:rsid w:val="5F3F102F"/>
    <w:rsid w:val="5F5D3FFD"/>
    <w:rsid w:val="5F812E0E"/>
    <w:rsid w:val="5FB878C0"/>
    <w:rsid w:val="5FCF2E71"/>
    <w:rsid w:val="5FF378EF"/>
    <w:rsid w:val="60113B74"/>
    <w:rsid w:val="60144417"/>
    <w:rsid w:val="608B299A"/>
    <w:rsid w:val="61343630"/>
    <w:rsid w:val="61412526"/>
    <w:rsid w:val="61490F16"/>
    <w:rsid w:val="6151057A"/>
    <w:rsid w:val="616F4088"/>
    <w:rsid w:val="61806E73"/>
    <w:rsid w:val="61B57B8D"/>
    <w:rsid w:val="62764A88"/>
    <w:rsid w:val="62C41FAB"/>
    <w:rsid w:val="62ED3611"/>
    <w:rsid w:val="62FB6817"/>
    <w:rsid w:val="63013C29"/>
    <w:rsid w:val="630F37B8"/>
    <w:rsid w:val="635F7451"/>
    <w:rsid w:val="6376232A"/>
    <w:rsid w:val="63B8103D"/>
    <w:rsid w:val="64390B9E"/>
    <w:rsid w:val="64430412"/>
    <w:rsid w:val="6475008F"/>
    <w:rsid w:val="64A5230A"/>
    <w:rsid w:val="64CE7394"/>
    <w:rsid w:val="64D269D7"/>
    <w:rsid w:val="654668AB"/>
    <w:rsid w:val="6562340F"/>
    <w:rsid w:val="658D7604"/>
    <w:rsid w:val="65941455"/>
    <w:rsid w:val="65A10837"/>
    <w:rsid w:val="65C030F7"/>
    <w:rsid w:val="65D17394"/>
    <w:rsid w:val="65DE2038"/>
    <w:rsid w:val="66751BF6"/>
    <w:rsid w:val="669513CA"/>
    <w:rsid w:val="66EF2DDF"/>
    <w:rsid w:val="674046A6"/>
    <w:rsid w:val="682B78F1"/>
    <w:rsid w:val="68315F76"/>
    <w:rsid w:val="684F144D"/>
    <w:rsid w:val="68603580"/>
    <w:rsid w:val="68A12BA6"/>
    <w:rsid w:val="68B712EE"/>
    <w:rsid w:val="68DF52A0"/>
    <w:rsid w:val="68E30D36"/>
    <w:rsid w:val="691210D8"/>
    <w:rsid w:val="69173221"/>
    <w:rsid w:val="692330EC"/>
    <w:rsid w:val="69826804"/>
    <w:rsid w:val="69B572C8"/>
    <w:rsid w:val="69CD7914"/>
    <w:rsid w:val="69CF1C3B"/>
    <w:rsid w:val="69DC0110"/>
    <w:rsid w:val="69DD7802"/>
    <w:rsid w:val="6A350361"/>
    <w:rsid w:val="6A640247"/>
    <w:rsid w:val="6A8F6F1A"/>
    <w:rsid w:val="6AAA773D"/>
    <w:rsid w:val="6AD70A89"/>
    <w:rsid w:val="6B25786B"/>
    <w:rsid w:val="6B323DD4"/>
    <w:rsid w:val="6B342E64"/>
    <w:rsid w:val="6B5A594E"/>
    <w:rsid w:val="6B723106"/>
    <w:rsid w:val="6B822C04"/>
    <w:rsid w:val="6B850D25"/>
    <w:rsid w:val="6BBF274D"/>
    <w:rsid w:val="6C26288F"/>
    <w:rsid w:val="6CBD5405"/>
    <w:rsid w:val="6CC20C17"/>
    <w:rsid w:val="6D092B51"/>
    <w:rsid w:val="6D337498"/>
    <w:rsid w:val="6D833236"/>
    <w:rsid w:val="6D986F8E"/>
    <w:rsid w:val="6ECA1BD5"/>
    <w:rsid w:val="6EEE5AEA"/>
    <w:rsid w:val="6EF0720A"/>
    <w:rsid w:val="6F2474DB"/>
    <w:rsid w:val="6F565B03"/>
    <w:rsid w:val="6F67290E"/>
    <w:rsid w:val="6F8E27F8"/>
    <w:rsid w:val="6FC56F01"/>
    <w:rsid w:val="6FC82F44"/>
    <w:rsid w:val="6FFB2AAB"/>
    <w:rsid w:val="70822F65"/>
    <w:rsid w:val="70894BEF"/>
    <w:rsid w:val="70C45295"/>
    <w:rsid w:val="710177EE"/>
    <w:rsid w:val="71213864"/>
    <w:rsid w:val="71545F81"/>
    <w:rsid w:val="720A094F"/>
    <w:rsid w:val="721E6138"/>
    <w:rsid w:val="733B3201"/>
    <w:rsid w:val="73583C07"/>
    <w:rsid w:val="73974F03"/>
    <w:rsid w:val="739F2364"/>
    <w:rsid w:val="73D92D4D"/>
    <w:rsid w:val="7437146D"/>
    <w:rsid w:val="74485922"/>
    <w:rsid w:val="74637251"/>
    <w:rsid w:val="74692613"/>
    <w:rsid w:val="74A42513"/>
    <w:rsid w:val="74C00499"/>
    <w:rsid w:val="75231F8C"/>
    <w:rsid w:val="756F3429"/>
    <w:rsid w:val="75B45004"/>
    <w:rsid w:val="76113991"/>
    <w:rsid w:val="76356912"/>
    <w:rsid w:val="76451358"/>
    <w:rsid w:val="768A5597"/>
    <w:rsid w:val="76B95113"/>
    <w:rsid w:val="772B17AE"/>
    <w:rsid w:val="7787244C"/>
    <w:rsid w:val="77941928"/>
    <w:rsid w:val="77E84AEF"/>
    <w:rsid w:val="77F83B7B"/>
    <w:rsid w:val="77F85B45"/>
    <w:rsid w:val="780115B3"/>
    <w:rsid w:val="78177EC0"/>
    <w:rsid w:val="78210965"/>
    <w:rsid w:val="783D30A0"/>
    <w:rsid w:val="78680046"/>
    <w:rsid w:val="787E29D0"/>
    <w:rsid w:val="78B055B7"/>
    <w:rsid w:val="78BF1BC2"/>
    <w:rsid w:val="79356158"/>
    <w:rsid w:val="7942141E"/>
    <w:rsid w:val="794E1E4C"/>
    <w:rsid w:val="7A4A5ED6"/>
    <w:rsid w:val="7A502E34"/>
    <w:rsid w:val="7AC12F59"/>
    <w:rsid w:val="7ADF5A01"/>
    <w:rsid w:val="7AF0502E"/>
    <w:rsid w:val="7B2674D3"/>
    <w:rsid w:val="7B5047D9"/>
    <w:rsid w:val="7BD27A36"/>
    <w:rsid w:val="7BE504C9"/>
    <w:rsid w:val="7C284640"/>
    <w:rsid w:val="7C290848"/>
    <w:rsid w:val="7C392C82"/>
    <w:rsid w:val="7C471D23"/>
    <w:rsid w:val="7CCC4EA8"/>
    <w:rsid w:val="7CD07D3C"/>
    <w:rsid w:val="7DC57DAD"/>
    <w:rsid w:val="7DE735F7"/>
    <w:rsid w:val="7EBA5C60"/>
    <w:rsid w:val="7ECB471A"/>
    <w:rsid w:val="7ECB6447"/>
    <w:rsid w:val="7F032113"/>
    <w:rsid w:val="7F25788D"/>
    <w:rsid w:val="7F2F1209"/>
    <w:rsid w:val="7F384F1F"/>
    <w:rsid w:val="7F627A7F"/>
    <w:rsid w:val="7F7A7B87"/>
    <w:rsid w:val="7F9B4C67"/>
    <w:rsid w:val="7FB64022"/>
    <w:rsid w:val="7FB646B2"/>
    <w:rsid w:val="7FC27CD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weight="2pt" color="#000000" startarrow="block" endarrow="block"/>
    </o:shapedefaults>
    <o:shapelayout v:ext="edit">
      <o:idmap v:ext="edit" data="1"/>
      <o:rules v:ext="edit">
        <o:r id="V:Rule1" type="connector" idref="#自选图形 2700"/>
        <o:r id="V:Rule2" type="connector" idref="#自选图形 2700"/>
        <o:r id="V:Rule3" type="connector" idref="#自选图形 2700"/>
        <o:r id="V:Rule4" type="connector" idref="#自选图形 2700"/>
        <o:r id="V:Rule5" type="connector" idref="#_x0000_s1042"/>
        <o:r id="V:Rule6" type="connector" idref="#_x0000_s1044"/>
        <o:r id="V:Rule7" type="connector" idref="#_x0000_s1048"/>
        <o:r id="V:Rule8" type="connector" idref="#_x0000_s1050"/>
        <o:r id="V:Rule9" type="connector" idref="#_x0000_s1058"/>
        <o:r id="V:Rule10" type="connector" idref="#_x0000_s1061"/>
        <o:r id="V:Rule11" type="connector" idref="#_x0000_s1112"/>
        <o:r id="V:Rule12" type="connector" idref="#自选图形 2700"/>
        <o:r id="V:Rule13" type="connector" idref="#自选图形 2700"/>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99"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ind w:firstLine="510"/>
      <w:jc w:val="left"/>
      <w:outlineLvl w:val="0"/>
    </w:pPr>
    <w:rPr>
      <w:b/>
      <w:sz w:val="28"/>
      <w:szCs w:val="20"/>
    </w:rPr>
  </w:style>
  <w:style w:type="paragraph" w:styleId="3">
    <w:name w:val="heading 2"/>
    <w:basedOn w:val="1"/>
    <w:next w:val="1"/>
    <w:link w:val="51"/>
    <w:qFormat/>
    <w:uiPriority w:val="0"/>
    <w:pPr>
      <w:keepNext/>
      <w:keepLines/>
      <w:autoSpaceDE w:val="0"/>
      <w:autoSpaceDN w:val="0"/>
      <w:adjustRightInd w:val="0"/>
      <w:spacing w:before="120" w:after="120"/>
      <w:textAlignment w:val="baseline"/>
      <w:outlineLvl w:val="1"/>
    </w:pPr>
    <w:rPr>
      <w:rFonts w:ascii="宋体" w:hAnsi="Arial" w:eastAsia="楷体_GB2312"/>
      <w:b/>
      <w:kern w:val="24"/>
      <w:sz w:val="24"/>
      <w:szCs w:val="20"/>
    </w:rPr>
  </w:style>
  <w:style w:type="paragraph" w:styleId="4">
    <w:name w:val="heading 3"/>
    <w:basedOn w:val="1"/>
    <w:next w:val="1"/>
    <w:qFormat/>
    <w:uiPriority w:val="0"/>
    <w:pPr>
      <w:tabs>
        <w:tab w:val="left" w:pos="1260"/>
      </w:tabs>
      <w:autoSpaceDE w:val="0"/>
      <w:autoSpaceDN w:val="0"/>
      <w:adjustRightInd w:val="0"/>
      <w:spacing w:before="120" w:after="120"/>
      <w:ind w:left="1260" w:hanging="420"/>
      <w:textAlignment w:val="baseline"/>
      <w:outlineLvl w:val="2"/>
    </w:pPr>
    <w:rPr>
      <w:rFonts w:ascii="宋体" w:hAnsi="Impact" w:eastAsia="楷体_GB2312"/>
      <w:b/>
      <w:kern w:val="24"/>
      <w:sz w:val="24"/>
      <w:szCs w:val="20"/>
    </w:rPr>
  </w:style>
  <w:style w:type="paragraph" w:styleId="5">
    <w:name w:val="heading 4"/>
    <w:basedOn w:val="1"/>
    <w:next w:val="1"/>
    <w:qFormat/>
    <w:uiPriority w:val="0"/>
    <w:pPr>
      <w:numPr>
        <w:ilvl w:val="3"/>
        <w:numId w:val="1"/>
      </w:numPr>
      <w:autoSpaceDE w:val="0"/>
      <w:autoSpaceDN w:val="0"/>
      <w:adjustRightInd w:val="0"/>
      <w:spacing w:before="120" w:after="120"/>
      <w:textAlignment w:val="baseline"/>
      <w:outlineLvl w:val="3"/>
    </w:pPr>
    <w:rPr>
      <w:rFonts w:ascii="宋体" w:hAnsi="Arial" w:eastAsia="楷体_GB2312"/>
      <w:b/>
      <w:kern w:val="24"/>
      <w:sz w:val="24"/>
      <w:szCs w:val="20"/>
    </w:rPr>
  </w:style>
  <w:style w:type="paragraph" w:styleId="6">
    <w:name w:val="heading 5"/>
    <w:basedOn w:val="1"/>
    <w:next w:val="7"/>
    <w:qFormat/>
    <w:uiPriority w:val="0"/>
    <w:pPr>
      <w:keepNext/>
      <w:keepLines/>
      <w:numPr>
        <w:ilvl w:val="4"/>
        <w:numId w:val="1"/>
      </w:numPr>
      <w:spacing w:before="60" w:after="60"/>
      <w:outlineLvl w:val="4"/>
    </w:pPr>
    <w:rPr>
      <w:rFonts w:ascii="宋体" w:hAnsi="Impact" w:eastAsia="楷体_GB2312"/>
      <w:b/>
      <w:sz w:val="24"/>
      <w:szCs w:val="20"/>
    </w:rPr>
  </w:style>
  <w:style w:type="paragraph" w:styleId="8">
    <w:name w:val="heading 6"/>
    <w:basedOn w:val="1"/>
    <w:next w:val="1"/>
    <w:qFormat/>
    <w:uiPriority w:val="0"/>
    <w:pPr>
      <w:keepNext/>
      <w:keepLines/>
      <w:numPr>
        <w:ilvl w:val="5"/>
        <w:numId w:val="1"/>
      </w:numPr>
      <w:autoSpaceDE w:val="0"/>
      <w:autoSpaceDN w:val="0"/>
      <w:adjustRightInd w:val="0"/>
      <w:spacing w:before="120" w:after="64" w:line="319" w:lineRule="auto"/>
      <w:textAlignment w:val="baseline"/>
      <w:outlineLvl w:val="5"/>
    </w:pPr>
    <w:rPr>
      <w:rFonts w:ascii="Arial" w:hAnsi="Arial" w:eastAsia="楷体_GB2312"/>
      <w:b/>
      <w:kern w:val="24"/>
      <w:sz w:val="24"/>
      <w:szCs w:val="20"/>
    </w:rPr>
  </w:style>
  <w:style w:type="paragraph" w:styleId="9">
    <w:name w:val="heading 7"/>
    <w:basedOn w:val="1"/>
    <w:next w:val="1"/>
    <w:qFormat/>
    <w:uiPriority w:val="0"/>
    <w:pPr>
      <w:keepNext/>
      <w:keepLines/>
      <w:numPr>
        <w:ilvl w:val="6"/>
        <w:numId w:val="1"/>
      </w:numPr>
      <w:autoSpaceDE w:val="0"/>
      <w:autoSpaceDN w:val="0"/>
      <w:adjustRightInd w:val="0"/>
      <w:spacing w:before="240" w:after="64" w:line="320" w:lineRule="auto"/>
      <w:textAlignment w:val="baseline"/>
      <w:outlineLvl w:val="6"/>
    </w:pPr>
    <w:rPr>
      <w:rFonts w:ascii="宋体" w:hAnsi="Impact" w:eastAsia="楷体_GB2312"/>
      <w:b/>
      <w:kern w:val="24"/>
      <w:sz w:val="24"/>
      <w:szCs w:val="20"/>
    </w:rPr>
  </w:style>
  <w:style w:type="paragraph" w:styleId="10">
    <w:name w:val="heading 8"/>
    <w:basedOn w:val="1"/>
    <w:next w:val="1"/>
    <w:qFormat/>
    <w:uiPriority w:val="0"/>
    <w:pPr>
      <w:keepNext/>
      <w:keepLines/>
      <w:numPr>
        <w:ilvl w:val="7"/>
        <w:numId w:val="1"/>
      </w:numPr>
      <w:autoSpaceDE w:val="0"/>
      <w:autoSpaceDN w:val="0"/>
      <w:adjustRightInd w:val="0"/>
      <w:spacing w:before="240" w:after="64" w:line="320" w:lineRule="auto"/>
      <w:textAlignment w:val="baseline"/>
      <w:outlineLvl w:val="7"/>
    </w:pPr>
    <w:rPr>
      <w:rFonts w:ascii="Arial" w:hAnsi="Arial" w:eastAsia="黑体"/>
      <w:kern w:val="24"/>
      <w:sz w:val="24"/>
      <w:szCs w:val="20"/>
    </w:rPr>
  </w:style>
  <w:style w:type="paragraph" w:styleId="11">
    <w:name w:val="heading 9"/>
    <w:basedOn w:val="1"/>
    <w:next w:val="1"/>
    <w:qFormat/>
    <w:uiPriority w:val="0"/>
    <w:pPr>
      <w:keepNext/>
      <w:keepLines/>
      <w:numPr>
        <w:ilvl w:val="8"/>
        <w:numId w:val="1"/>
      </w:numPr>
      <w:autoSpaceDE w:val="0"/>
      <w:autoSpaceDN w:val="0"/>
      <w:adjustRightInd w:val="0"/>
      <w:spacing w:before="240" w:after="64" w:line="320" w:lineRule="auto"/>
      <w:textAlignment w:val="baseline"/>
      <w:outlineLvl w:val="8"/>
    </w:pPr>
    <w:rPr>
      <w:rFonts w:ascii="Arial" w:hAnsi="Arial" w:eastAsia="黑体"/>
      <w:kern w:val="24"/>
      <w:szCs w:val="20"/>
    </w:rPr>
  </w:style>
  <w:style w:type="character" w:default="1" w:styleId="42">
    <w:name w:val="Default Paragraph Font"/>
    <w:semiHidden/>
    <w:unhideWhenUsed/>
    <w:qFormat/>
    <w:uiPriority w:val="1"/>
  </w:style>
  <w:style w:type="table" w:default="1" w:styleId="40">
    <w:name w:val="Normal Table"/>
    <w:semiHidden/>
    <w:unhideWhenUsed/>
    <w:qFormat/>
    <w:uiPriority w:val="99"/>
    <w:tblPr>
      <w:tblCellMar>
        <w:top w:w="0" w:type="dxa"/>
        <w:left w:w="108" w:type="dxa"/>
        <w:bottom w:w="0" w:type="dxa"/>
        <w:right w:w="108" w:type="dxa"/>
      </w:tblCellMar>
    </w:tblPr>
  </w:style>
  <w:style w:type="paragraph" w:styleId="7">
    <w:name w:val="Normal Indent"/>
    <w:basedOn w:val="1"/>
    <w:link w:val="52"/>
    <w:qFormat/>
    <w:uiPriority w:val="0"/>
    <w:pPr>
      <w:ind w:firstLine="420"/>
    </w:pPr>
    <w:rPr>
      <w:szCs w:val="20"/>
    </w:rPr>
  </w:style>
  <w:style w:type="paragraph" w:styleId="12">
    <w:name w:val="List 3"/>
    <w:basedOn w:val="1"/>
    <w:qFormat/>
    <w:uiPriority w:val="0"/>
    <w:pPr>
      <w:ind w:left="100" w:leftChars="400" w:hanging="200" w:hangingChars="200"/>
    </w:pPr>
  </w:style>
  <w:style w:type="paragraph" w:styleId="13">
    <w:name w:val="Note Heading"/>
    <w:basedOn w:val="1"/>
    <w:next w:val="1"/>
    <w:qFormat/>
    <w:uiPriority w:val="0"/>
    <w:pPr>
      <w:jc w:val="center"/>
    </w:pPr>
    <w:rPr>
      <w:szCs w:val="20"/>
    </w:rPr>
  </w:style>
  <w:style w:type="paragraph" w:styleId="14">
    <w:name w:val="E-mail Signature"/>
    <w:basedOn w:val="1"/>
    <w:next w:val="15"/>
    <w:qFormat/>
    <w:uiPriority w:val="0"/>
    <w:pPr>
      <w:spacing w:line="460" w:lineRule="exact"/>
      <w:ind w:firstLine="200"/>
    </w:pPr>
    <w:rPr>
      <w:sz w:val="24"/>
    </w:rPr>
  </w:style>
  <w:style w:type="paragraph" w:customStyle="1" w:styleId="15">
    <w:name w:val="文章"/>
    <w:basedOn w:val="1"/>
    <w:next w:val="16"/>
    <w:qFormat/>
    <w:uiPriority w:val="0"/>
    <w:pPr>
      <w:widowControl/>
      <w:ind w:firstLine="480"/>
      <w:jc w:val="center"/>
    </w:pPr>
    <w:rPr>
      <w:sz w:val="26"/>
    </w:rPr>
  </w:style>
  <w:style w:type="paragraph" w:styleId="16">
    <w:name w:val="List"/>
    <w:basedOn w:val="1"/>
    <w:next w:val="17"/>
    <w:qFormat/>
    <w:uiPriority w:val="0"/>
    <w:pPr>
      <w:ind w:left="200" w:hanging="200" w:hangingChars="200"/>
    </w:pPr>
    <w:rPr>
      <w:sz w:val="24"/>
      <w:szCs w:val="20"/>
    </w:rPr>
  </w:style>
  <w:style w:type="paragraph" w:styleId="17">
    <w:name w:val="List Bullet 2"/>
    <w:basedOn w:val="1"/>
    <w:next w:val="18"/>
    <w:qFormat/>
    <w:uiPriority w:val="0"/>
    <w:pPr>
      <w:numPr>
        <w:ilvl w:val="0"/>
        <w:numId w:val="2"/>
      </w:numPr>
    </w:pPr>
  </w:style>
  <w:style w:type="paragraph" w:customStyle="1" w:styleId="18">
    <w:name w:val="xl70"/>
    <w:basedOn w:val="1"/>
    <w:next w:val="19"/>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rPr>
  </w:style>
  <w:style w:type="paragraph" w:customStyle="1" w:styleId="19">
    <w:name w:val="正文缩进1"/>
    <w:basedOn w:val="1"/>
    <w:next w:val="20"/>
    <w:qFormat/>
    <w:uiPriority w:val="0"/>
    <w:pPr>
      <w:ind w:firstLine="420"/>
    </w:pPr>
    <w:rPr>
      <w:szCs w:val="20"/>
    </w:rPr>
  </w:style>
  <w:style w:type="paragraph" w:customStyle="1" w:styleId="20">
    <w:name w:val="td1"/>
    <w:basedOn w:val="1"/>
    <w:next w:val="1"/>
    <w:qFormat/>
    <w:uiPriority w:val="0"/>
    <w:pPr>
      <w:widowControl/>
      <w:spacing w:before="280" w:after="280" w:line="300" w:lineRule="atLeast"/>
      <w:ind w:firstLine="200"/>
    </w:pPr>
    <w:rPr>
      <w:color w:val="000000"/>
      <w:sz w:val="18"/>
    </w:rPr>
  </w:style>
  <w:style w:type="paragraph" w:styleId="21">
    <w:name w:val="Document Map"/>
    <w:basedOn w:val="1"/>
    <w:semiHidden/>
    <w:qFormat/>
    <w:uiPriority w:val="0"/>
    <w:pPr>
      <w:shd w:val="clear" w:color="auto" w:fill="000080"/>
    </w:pPr>
  </w:style>
  <w:style w:type="paragraph" w:styleId="22">
    <w:name w:val="annotation text"/>
    <w:basedOn w:val="1"/>
    <w:link w:val="69"/>
    <w:qFormat/>
    <w:uiPriority w:val="0"/>
    <w:pPr>
      <w:jc w:val="left"/>
    </w:pPr>
    <w:rPr>
      <w:szCs w:val="20"/>
    </w:rPr>
  </w:style>
  <w:style w:type="paragraph" w:styleId="23">
    <w:name w:val="Body Text 3"/>
    <w:basedOn w:val="1"/>
    <w:qFormat/>
    <w:uiPriority w:val="0"/>
    <w:pPr>
      <w:spacing w:after="120"/>
    </w:pPr>
    <w:rPr>
      <w:sz w:val="16"/>
      <w:szCs w:val="16"/>
    </w:rPr>
  </w:style>
  <w:style w:type="paragraph" w:styleId="24">
    <w:name w:val="Body Text"/>
    <w:basedOn w:val="1"/>
    <w:link w:val="64"/>
    <w:qFormat/>
    <w:uiPriority w:val="0"/>
    <w:pPr>
      <w:spacing w:line="360" w:lineRule="auto"/>
    </w:pPr>
    <w:rPr>
      <w:b/>
      <w:bCs/>
      <w:sz w:val="32"/>
    </w:rPr>
  </w:style>
  <w:style w:type="paragraph" w:styleId="25">
    <w:name w:val="Body Text Indent"/>
    <w:basedOn w:val="1"/>
    <w:link w:val="124"/>
    <w:qFormat/>
    <w:uiPriority w:val="0"/>
    <w:pPr>
      <w:spacing w:line="300" w:lineRule="auto"/>
      <w:ind w:firstLine="454"/>
    </w:pPr>
    <w:rPr>
      <w:sz w:val="24"/>
    </w:rPr>
  </w:style>
  <w:style w:type="paragraph" w:styleId="26">
    <w:name w:val="Block Text"/>
    <w:basedOn w:val="1"/>
    <w:qFormat/>
    <w:uiPriority w:val="0"/>
    <w:pPr>
      <w:spacing w:line="360" w:lineRule="auto"/>
      <w:ind w:left="39" w:leftChars="14" w:right="50" w:rightChars="18" w:firstLine="480" w:firstLineChars="200"/>
    </w:pPr>
    <w:rPr>
      <w:rFonts w:ascii="宋体" w:hAnsi="宋体"/>
      <w:sz w:val="24"/>
      <w:szCs w:val="20"/>
    </w:rPr>
  </w:style>
  <w:style w:type="paragraph" w:styleId="27">
    <w:name w:val="Plain Text"/>
    <w:basedOn w:val="1"/>
    <w:qFormat/>
    <w:uiPriority w:val="99"/>
    <w:pPr>
      <w:spacing w:before="120" w:after="120"/>
      <w:ind w:firstLine="629"/>
    </w:pPr>
    <w:rPr>
      <w:rFonts w:ascii="宋体" w:hAnsi="Courier New"/>
      <w:sz w:val="30"/>
    </w:rPr>
  </w:style>
  <w:style w:type="paragraph" w:styleId="28">
    <w:name w:val="Date"/>
    <w:basedOn w:val="1"/>
    <w:next w:val="1"/>
    <w:qFormat/>
    <w:uiPriority w:val="0"/>
    <w:rPr>
      <w:sz w:val="24"/>
      <w:szCs w:val="20"/>
    </w:rPr>
  </w:style>
  <w:style w:type="paragraph" w:styleId="29">
    <w:name w:val="Body Text Indent 2"/>
    <w:basedOn w:val="1"/>
    <w:link w:val="61"/>
    <w:qFormat/>
    <w:uiPriority w:val="0"/>
    <w:pPr>
      <w:widowControl/>
      <w:ind w:firstLine="430"/>
      <w:jc w:val="left"/>
    </w:pPr>
    <w:rPr>
      <w:kern w:val="0"/>
      <w:sz w:val="24"/>
      <w:szCs w:val="20"/>
    </w:rPr>
  </w:style>
  <w:style w:type="paragraph" w:styleId="30">
    <w:name w:val="Balloon Text"/>
    <w:basedOn w:val="1"/>
    <w:link w:val="119"/>
    <w:qFormat/>
    <w:uiPriority w:val="0"/>
    <w:rPr>
      <w:sz w:val="18"/>
      <w:szCs w:val="18"/>
    </w:rPr>
  </w:style>
  <w:style w:type="paragraph" w:styleId="31">
    <w:name w:val="footer"/>
    <w:basedOn w:val="1"/>
    <w:link w:val="62"/>
    <w:qFormat/>
    <w:uiPriority w:val="0"/>
    <w:pPr>
      <w:widowControl/>
      <w:tabs>
        <w:tab w:val="center" w:pos="4153"/>
        <w:tab w:val="right" w:pos="8306"/>
      </w:tabs>
      <w:snapToGrid w:val="0"/>
      <w:jc w:val="left"/>
    </w:pPr>
    <w:rPr>
      <w:kern w:val="0"/>
      <w:sz w:val="18"/>
      <w:szCs w:val="20"/>
    </w:rPr>
  </w:style>
  <w:style w:type="paragraph" w:styleId="32">
    <w:name w:val="header"/>
    <w:basedOn w:val="1"/>
    <w:link w:val="144"/>
    <w:qFormat/>
    <w:uiPriority w:val="0"/>
    <w:pPr>
      <w:pBdr>
        <w:bottom w:val="single" w:color="auto" w:sz="6" w:space="1"/>
      </w:pBdr>
      <w:tabs>
        <w:tab w:val="center" w:pos="4153"/>
        <w:tab w:val="right" w:pos="8306"/>
      </w:tabs>
      <w:snapToGrid w:val="0"/>
      <w:jc w:val="center"/>
    </w:pPr>
    <w:rPr>
      <w:sz w:val="18"/>
      <w:szCs w:val="18"/>
    </w:rPr>
  </w:style>
  <w:style w:type="paragraph" w:styleId="33">
    <w:name w:val="Body Text Indent 3"/>
    <w:basedOn w:val="1"/>
    <w:link w:val="63"/>
    <w:qFormat/>
    <w:uiPriority w:val="0"/>
    <w:pPr>
      <w:spacing w:line="288" w:lineRule="auto"/>
      <w:ind w:firstLine="430"/>
    </w:pPr>
    <w:rPr>
      <w:sz w:val="24"/>
    </w:rPr>
  </w:style>
  <w:style w:type="paragraph" w:styleId="34">
    <w:name w:val="toc 2"/>
    <w:basedOn w:val="1"/>
    <w:next w:val="14"/>
    <w:qFormat/>
    <w:uiPriority w:val="0"/>
    <w:pPr>
      <w:ind w:left="210"/>
      <w:jc w:val="left"/>
    </w:pPr>
    <w:rPr>
      <w:rFonts w:cs="Calibri"/>
      <w:smallCaps/>
      <w:sz w:val="20"/>
      <w:szCs w:val="20"/>
    </w:rPr>
  </w:style>
  <w:style w:type="paragraph" w:styleId="35">
    <w:name w:val="Body Text 2"/>
    <w:basedOn w:val="1"/>
    <w:qFormat/>
    <w:uiPriority w:val="0"/>
    <w:pPr>
      <w:jc w:val="center"/>
    </w:pPr>
    <w:rPr>
      <w:szCs w:val="20"/>
    </w:rPr>
  </w:style>
  <w:style w:type="paragraph" w:styleId="36">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Arial Unicode MS" w:cs="Arial Unicode MS"/>
      <w:kern w:val="0"/>
      <w:sz w:val="20"/>
      <w:szCs w:val="20"/>
    </w:rPr>
  </w:style>
  <w:style w:type="paragraph" w:styleId="37">
    <w:name w:val="Normal (Web)"/>
    <w:basedOn w:val="1"/>
    <w:qFormat/>
    <w:uiPriority w:val="0"/>
    <w:pPr>
      <w:widowControl/>
      <w:spacing w:before="100" w:beforeAutospacing="1" w:after="100" w:afterAutospacing="1" w:line="270" w:lineRule="atLeast"/>
      <w:jc w:val="left"/>
    </w:pPr>
    <w:rPr>
      <w:rFonts w:ascii="宋体" w:hAnsi="宋体" w:cs="宋体"/>
      <w:kern w:val="0"/>
      <w:sz w:val="24"/>
    </w:rPr>
  </w:style>
  <w:style w:type="paragraph" w:styleId="38">
    <w:name w:val="Title"/>
    <w:basedOn w:val="1"/>
    <w:next w:val="1"/>
    <w:link w:val="96"/>
    <w:qFormat/>
    <w:uiPriority w:val="0"/>
    <w:pPr>
      <w:spacing w:before="240" w:after="60"/>
      <w:jc w:val="center"/>
      <w:outlineLvl w:val="0"/>
    </w:pPr>
    <w:rPr>
      <w:rFonts w:ascii="Cambria" w:hAnsi="Cambria"/>
      <w:b/>
      <w:bCs/>
      <w:sz w:val="32"/>
      <w:szCs w:val="32"/>
    </w:rPr>
  </w:style>
  <w:style w:type="paragraph" w:styleId="39">
    <w:name w:val="annotation subject"/>
    <w:basedOn w:val="22"/>
    <w:next w:val="22"/>
    <w:link w:val="99"/>
    <w:qFormat/>
    <w:uiPriority w:val="0"/>
    <w:rPr>
      <w:b/>
      <w:bCs/>
      <w:szCs w:val="24"/>
    </w:rPr>
  </w:style>
  <w:style w:type="table" w:styleId="41">
    <w:name w:val="Table Grid"/>
    <w:basedOn w:val="40"/>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3">
    <w:name w:val="Strong"/>
    <w:qFormat/>
    <w:uiPriority w:val="22"/>
    <w:rPr>
      <w:b/>
      <w:bCs/>
    </w:rPr>
  </w:style>
  <w:style w:type="character" w:styleId="44">
    <w:name w:val="page number"/>
    <w:basedOn w:val="42"/>
    <w:qFormat/>
    <w:uiPriority w:val="0"/>
  </w:style>
  <w:style w:type="character" w:styleId="45">
    <w:name w:val="Hyperlink"/>
    <w:qFormat/>
    <w:uiPriority w:val="0"/>
    <w:rPr>
      <w:color w:val="136EC2"/>
      <w:u w:val="single"/>
    </w:rPr>
  </w:style>
  <w:style w:type="character" w:styleId="46">
    <w:name w:val="annotation reference"/>
    <w:qFormat/>
    <w:uiPriority w:val="0"/>
    <w:rPr>
      <w:sz w:val="21"/>
      <w:szCs w:val="21"/>
    </w:rPr>
  </w:style>
  <w:style w:type="paragraph" w:customStyle="1" w:styleId="47">
    <w:name w:val="Default"/>
    <w:basedOn w:val="48"/>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8">
    <w:name w:val="纯文本1"/>
    <w:basedOn w:val="1"/>
    <w:qFormat/>
    <w:uiPriority w:val="0"/>
    <w:pPr>
      <w:adjustRightInd w:val="0"/>
    </w:pPr>
    <w:rPr>
      <w:rFonts w:ascii="宋体" w:hAnsi="Courier New"/>
      <w:szCs w:val="20"/>
    </w:rPr>
  </w:style>
  <w:style w:type="paragraph" w:customStyle="1" w:styleId="49">
    <w:name w:val="样式35"/>
    <w:basedOn w:val="1"/>
    <w:next w:val="50"/>
    <w:qFormat/>
    <w:uiPriority w:val="0"/>
    <w:pPr>
      <w:spacing w:line="312" w:lineRule="auto"/>
      <w:ind w:firstLine="567"/>
    </w:pPr>
    <w:rPr>
      <w:rFonts w:ascii="宋体"/>
    </w:rPr>
  </w:style>
  <w:style w:type="paragraph" w:customStyle="1" w:styleId="50">
    <w:name w:val="font6"/>
    <w:basedOn w:val="1"/>
    <w:next w:val="34"/>
    <w:qFormat/>
    <w:uiPriority w:val="0"/>
    <w:pPr>
      <w:widowControl/>
      <w:spacing w:before="100" w:beforeAutospacing="1" w:after="100" w:afterAutospacing="1"/>
      <w:jc w:val="left"/>
    </w:pPr>
    <w:rPr>
      <w:rFonts w:ascii="宋体" w:hAnsi="宋体" w:cs="宋体"/>
      <w:kern w:val="0"/>
      <w:sz w:val="20"/>
      <w:szCs w:val="20"/>
    </w:rPr>
  </w:style>
  <w:style w:type="character" w:customStyle="1" w:styleId="51">
    <w:name w:val="标题 2 Char"/>
    <w:link w:val="3"/>
    <w:qFormat/>
    <w:uiPriority w:val="0"/>
    <w:rPr>
      <w:rFonts w:ascii="宋体" w:hAnsi="Arial" w:eastAsia="楷体_GB2312"/>
      <w:b/>
      <w:kern w:val="24"/>
      <w:sz w:val="24"/>
      <w:lang w:val="en-US" w:eastAsia="zh-CN" w:bidi="ar-SA"/>
    </w:rPr>
  </w:style>
  <w:style w:type="character" w:customStyle="1" w:styleId="52">
    <w:name w:val="正文缩进 Char"/>
    <w:link w:val="7"/>
    <w:qFormat/>
    <w:uiPriority w:val="0"/>
    <w:rPr>
      <w:rFonts w:eastAsia="宋体"/>
      <w:kern w:val="2"/>
      <w:sz w:val="21"/>
      <w:lang w:val="en-US" w:eastAsia="zh-CN" w:bidi="ar-SA"/>
    </w:rPr>
  </w:style>
  <w:style w:type="paragraph" w:customStyle="1" w:styleId="53">
    <w:name w:val="正文 03"/>
    <w:basedOn w:val="1"/>
    <w:qFormat/>
    <w:uiPriority w:val="0"/>
    <w:pPr>
      <w:autoSpaceDE w:val="0"/>
      <w:autoSpaceDN w:val="0"/>
      <w:adjustRightInd w:val="0"/>
      <w:textAlignment w:val="baseline"/>
    </w:pPr>
    <w:rPr>
      <w:rFonts w:eastAsia="楷体_GB2312"/>
      <w:kern w:val="0"/>
      <w:sz w:val="24"/>
      <w:szCs w:val="20"/>
    </w:rPr>
  </w:style>
  <w:style w:type="paragraph" w:customStyle="1" w:styleId="54">
    <w:name w:val="表格1"/>
    <w:basedOn w:val="1"/>
    <w:next w:val="1"/>
    <w:link w:val="126"/>
    <w:qFormat/>
    <w:uiPriority w:val="0"/>
    <w:pPr>
      <w:topLinePunct/>
      <w:autoSpaceDE w:val="0"/>
      <w:autoSpaceDN w:val="0"/>
      <w:adjustRightInd w:val="0"/>
      <w:jc w:val="center"/>
      <w:textAlignment w:val="baseline"/>
    </w:pPr>
    <w:rPr>
      <w:rFonts w:ascii="宋体" w:hAnsi="Impact"/>
      <w:kern w:val="24"/>
      <w:sz w:val="28"/>
      <w:szCs w:val="20"/>
    </w:rPr>
  </w:style>
  <w:style w:type="paragraph" w:customStyle="1" w:styleId="55">
    <w:name w:val="表格2"/>
    <w:basedOn w:val="54"/>
    <w:next w:val="1"/>
    <w:qFormat/>
    <w:uiPriority w:val="0"/>
    <w:rPr>
      <w:position w:val="-28"/>
      <w:sz w:val="21"/>
    </w:rPr>
  </w:style>
  <w:style w:type="paragraph" w:customStyle="1" w:styleId="56">
    <w:name w:val="表格 32"/>
    <w:basedOn w:val="1"/>
    <w:link w:val="57"/>
    <w:qFormat/>
    <w:uiPriority w:val="0"/>
    <w:pPr>
      <w:autoSpaceDE w:val="0"/>
      <w:autoSpaceDN w:val="0"/>
      <w:adjustRightInd w:val="0"/>
      <w:jc w:val="center"/>
      <w:textAlignment w:val="baseline"/>
    </w:pPr>
    <w:rPr>
      <w:rFonts w:ascii="宋体" w:hAnsi="Impact"/>
      <w:kern w:val="24"/>
      <w:sz w:val="24"/>
      <w:szCs w:val="20"/>
    </w:rPr>
  </w:style>
  <w:style w:type="character" w:customStyle="1" w:styleId="57">
    <w:name w:val="表格 32 Char"/>
    <w:link w:val="56"/>
    <w:qFormat/>
    <w:uiPriority w:val="0"/>
    <w:rPr>
      <w:rFonts w:ascii="宋体" w:hAnsi="Impact" w:eastAsia="宋体"/>
      <w:kern w:val="24"/>
      <w:sz w:val="24"/>
      <w:lang w:val="en-US" w:eastAsia="zh-CN" w:bidi="ar-SA"/>
    </w:rPr>
  </w:style>
  <w:style w:type="paragraph" w:customStyle="1" w:styleId="58">
    <w:name w:val="正文 32"/>
    <w:basedOn w:val="1"/>
    <w:link w:val="59"/>
    <w:qFormat/>
    <w:uiPriority w:val="0"/>
    <w:pPr>
      <w:autoSpaceDE w:val="0"/>
      <w:autoSpaceDN w:val="0"/>
      <w:adjustRightInd w:val="0"/>
      <w:spacing w:line="300" w:lineRule="auto"/>
      <w:ind w:firstLine="567"/>
      <w:textAlignment w:val="baseline"/>
    </w:pPr>
    <w:rPr>
      <w:rFonts w:eastAsia="楷体_GB2312"/>
      <w:kern w:val="0"/>
      <w:sz w:val="24"/>
      <w:szCs w:val="20"/>
    </w:rPr>
  </w:style>
  <w:style w:type="character" w:customStyle="1" w:styleId="59">
    <w:name w:val="正文 32 Char"/>
    <w:link w:val="58"/>
    <w:qFormat/>
    <w:uiPriority w:val="0"/>
    <w:rPr>
      <w:rFonts w:eastAsia="楷体_GB2312"/>
      <w:sz w:val="24"/>
      <w:lang w:val="en-US" w:eastAsia="zh-CN" w:bidi="ar-SA"/>
    </w:rPr>
  </w:style>
  <w:style w:type="paragraph" w:customStyle="1" w:styleId="60">
    <w:name w:val="表1表2"/>
    <w:basedOn w:val="1"/>
    <w:qFormat/>
    <w:uiPriority w:val="99"/>
    <w:pPr>
      <w:autoSpaceDE w:val="0"/>
      <w:autoSpaceDN w:val="0"/>
      <w:adjustRightInd w:val="0"/>
      <w:jc w:val="center"/>
      <w:textAlignment w:val="center"/>
    </w:pPr>
    <w:rPr>
      <w:rFonts w:eastAsia="仿宋体"/>
      <w:kern w:val="0"/>
      <w:sz w:val="24"/>
      <w:szCs w:val="20"/>
    </w:rPr>
  </w:style>
  <w:style w:type="character" w:customStyle="1" w:styleId="61">
    <w:name w:val="正文文本缩进 2 Char"/>
    <w:link w:val="29"/>
    <w:qFormat/>
    <w:uiPriority w:val="0"/>
    <w:rPr>
      <w:rFonts w:eastAsia="宋体"/>
      <w:sz w:val="24"/>
      <w:lang w:bidi="ar-SA"/>
    </w:rPr>
  </w:style>
  <w:style w:type="character" w:customStyle="1" w:styleId="62">
    <w:name w:val="页脚 Char"/>
    <w:link w:val="31"/>
    <w:qFormat/>
    <w:uiPriority w:val="0"/>
    <w:rPr>
      <w:rFonts w:eastAsia="宋体"/>
      <w:sz w:val="18"/>
      <w:lang w:val="en-US" w:eastAsia="zh-CN" w:bidi="ar-SA"/>
    </w:rPr>
  </w:style>
  <w:style w:type="character" w:customStyle="1" w:styleId="63">
    <w:name w:val="正文文本缩进 3 Char"/>
    <w:link w:val="33"/>
    <w:qFormat/>
    <w:uiPriority w:val="0"/>
    <w:rPr>
      <w:rFonts w:eastAsia="宋体"/>
      <w:kern w:val="2"/>
      <w:sz w:val="24"/>
      <w:szCs w:val="24"/>
      <w:lang w:bidi="ar-SA"/>
    </w:rPr>
  </w:style>
  <w:style w:type="character" w:customStyle="1" w:styleId="64">
    <w:name w:val="正文文本 Char1"/>
    <w:link w:val="24"/>
    <w:qFormat/>
    <w:uiPriority w:val="0"/>
    <w:rPr>
      <w:rFonts w:eastAsia="宋体"/>
      <w:b/>
      <w:bCs/>
      <w:kern w:val="2"/>
      <w:sz w:val="32"/>
      <w:szCs w:val="24"/>
      <w:lang w:val="en-US" w:eastAsia="zh-CN" w:bidi="ar-SA"/>
    </w:rPr>
  </w:style>
  <w:style w:type="paragraph" w:customStyle="1" w:styleId="65">
    <w:name w:val="表格"/>
    <w:next w:val="1"/>
    <w:qFormat/>
    <w:uiPriority w:val="0"/>
    <w:pPr>
      <w:keepNext/>
      <w:widowControl w:val="0"/>
      <w:autoSpaceDE w:val="0"/>
      <w:autoSpaceDN w:val="0"/>
      <w:adjustRightInd w:val="0"/>
      <w:jc w:val="center"/>
      <w:textAlignment w:val="baseline"/>
    </w:pPr>
    <w:rPr>
      <w:rFonts w:ascii="Times New Roman" w:hAnsi="Times New Roman" w:eastAsia="宋体" w:cs="Times New Roman"/>
      <w:sz w:val="24"/>
      <w:lang w:val="en-US" w:eastAsia="zh-CN" w:bidi="ar-SA"/>
    </w:rPr>
  </w:style>
  <w:style w:type="paragraph" w:customStyle="1" w:styleId="66">
    <w:name w:val="表头"/>
    <w:basedOn w:val="12"/>
    <w:next w:val="65"/>
    <w:qFormat/>
    <w:uiPriority w:val="0"/>
    <w:pPr>
      <w:keepNext/>
      <w:autoSpaceDE w:val="0"/>
      <w:autoSpaceDN w:val="0"/>
      <w:adjustRightInd w:val="0"/>
      <w:spacing w:before="240" w:line="360" w:lineRule="auto"/>
      <w:ind w:left="0" w:leftChars="0" w:firstLine="0" w:firstLineChars="0"/>
      <w:jc w:val="center"/>
      <w:textAlignment w:val="baseline"/>
    </w:pPr>
    <w:rPr>
      <w:rFonts w:eastAsia="楷体_GB2312"/>
      <w:kern w:val="0"/>
      <w:sz w:val="28"/>
      <w:szCs w:val="20"/>
    </w:rPr>
  </w:style>
  <w:style w:type="character" w:customStyle="1" w:styleId="67">
    <w:name w:val="p141"/>
    <w:qFormat/>
    <w:uiPriority w:val="0"/>
    <w:rPr>
      <w:color w:val="333333"/>
      <w:spacing w:val="330"/>
      <w:sz w:val="21"/>
      <w:szCs w:val="21"/>
    </w:rPr>
  </w:style>
  <w:style w:type="paragraph" w:customStyle="1" w:styleId="68">
    <w:name w:val="表格 21"/>
    <w:qFormat/>
    <w:uiPriority w:val="0"/>
    <w:pPr>
      <w:widowControl w:val="0"/>
      <w:autoSpaceDE w:val="0"/>
      <w:autoSpaceDN w:val="0"/>
      <w:adjustRightInd w:val="0"/>
      <w:jc w:val="center"/>
      <w:textAlignment w:val="baseline"/>
    </w:pPr>
    <w:rPr>
      <w:rFonts w:ascii="Times New Roman" w:hAnsi="Times New Roman" w:eastAsia="仿宋体" w:cs="Times New Roman"/>
      <w:sz w:val="28"/>
      <w:lang w:val="en-US" w:eastAsia="zh-CN" w:bidi="ar-SA"/>
    </w:rPr>
  </w:style>
  <w:style w:type="character" w:customStyle="1" w:styleId="69">
    <w:name w:val="批注文字 Char"/>
    <w:link w:val="22"/>
    <w:qFormat/>
    <w:uiPriority w:val="0"/>
    <w:rPr>
      <w:rFonts w:eastAsia="宋体"/>
      <w:kern w:val="2"/>
      <w:sz w:val="21"/>
      <w:lang w:bidi="ar-SA"/>
    </w:rPr>
  </w:style>
  <w:style w:type="character" w:customStyle="1" w:styleId="70">
    <w:name w:val="font21"/>
    <w:qFormat/>
    <w:uiPriority w:val="0"/>
    <w:rPr>
      <w:rFonts w:hint="default" w:ascii="ˎ̥" w:hAnsi="ˎ̥"/>
      <w:color w:val="000000"/>
      <w:sz w:val="20"/>
      <w:szCs w:val="20"/>
      <w:u w:val="none"/>
    </w:rPr>
  </w:style>
  <w:style w:type="paragraph" w:customStyle="1" w:styleId="71">
    <w:name w:val="Char"/>
    <w:basedOn w:val="1"/>
    <w:qFormat/>
    <w:uiPriority w:val="0"/>
    <w:pPr>
      <w:snapToGrid w:val="0"/>
      <w:spacing w:line="360" w:lineRule="auto"/>
      <w:ind w:firstLine="529" w:firstLineChars="200"/>
    </w:pPr>
    <w:rPr>
      <w:rFonts w:ascii="宋体" w:hAnsi="宋体"/>
      <w:b/>
    </w:rPr>
  </w:style>
  <w:style w:type="paragraph" w:customStyle="1" w:styleId="72">
    <w:name w:val="报告表正文"/>
    <w:basedOn w:val="1"/>
    <w:link w:val="120"/>
    <w:qFormat/>
    <w:uiPriority w:val="0"/>
    <w:pPr>
      <w:adjustRightInd w:val="0"/>
      <w:spacing w:line="312" w:lineRule="auto"/>
      <w:ind w:left="113" w:right="113" w:firstLine="482"/>
      <w:jc w:val="left"/>
      <w:textAlignment w:val="baseline"/>
    </w:pPr>
    <w:rPr>
      <w:kern w:val="0"/>
      <w:sz w:val="24"/>
      <w:szCs w:val="20"/>
    </w:rPr>
  </w:style>
  <w:style w:type="paragraph" w:customStyle="1" w:styleId="73">
    <w:name w:val="报告表格"/>
    <w:basedOn w:val="1"/>
    <w:qFormat/>
    <w:uiPriority w:val="0"/>
    <w:pPr>
      <w:autoSpaceDE w:val="0"/>
      <w:autoSpaceDN w:val="0"/>
      <w:adjustRightInd w:val="0"/>
      <w:spacing w:before="40" w:after="40"/>
      <w:jc w:val="center"/>
      <w:textAlignment w:val="baseline"/>
    </w:pPr>
    <w:rPr>
      <w:kern w:val="0"/>
      <w:szCs w:val="20"/>
    </w:rPr>
  </w:style>
  <w:style w:type="paragraph" w:customStyle="1" w:styleId="74">
    <w:name w:val="报告"/>
    <w:basedOn w:val="1"/>
    <w:link w:val="143"/>
    <w:qFormat/>
    <w:uiPriority w:val="0"/>
    <w:pPr>
      <w:overflowPunct w:val="0"/>
      <w:autoSpaceDE w:val="0"/>
      <w:autoSpaceDN w:val="0"/>
      <w:adjustRightInd w:val="0"/>
      <w:spacing w:beforeLines="30" w:afterLines="30" w:line="400" w:lineRule="atLeast"/>
      <w:ind w:left="200" w:leftChars="200" w:firstLine="200" w:firstLineChars="200"/>
      <w:textAlignment w:val="baseline"/>
    </w:pPr>
    <w:rPr>
      <w:kern w:val="0"/>
      <w:sz w:val="24"/>
      <w:szCs w:val="20"/>
    </w:rPr>
  </w:style>
  <w:style w:type="paragraph" w:customStyle="1" w:styleId="75">
    <w:name w:val="页面 7"/>
    <w:basedOn w:val="1"/>
    <w:qFormat/>
    <w:uiPriority w:val="0"/>
    <w:pPr>
      <w:autoSpaceDE w:val="0"/>
      <w:autoSpaceDN w:val="0"/>
      <w:adjustRightInd w:val="0"/>
      <w:spacing w:before="120" w:after="120"/>
      <w:jc w:val="center"/>
      <w:textAlignment w:val="baseline"/>
    </w:pPr>
    <w:rPr>
      <w:rFonts w:ascii="宋体" w:hAnsi="Impact"/>
      <w:kern w:val="24"/>
      <w:sz w:val="32"/>
      <w:szCs w:val="20"/>
    </w:rPr>
  </w:style>
  <w:style w:type="paragraph" w:customStyle="1" w:styleId="76">
    <w:name w:val="前言"/>
    <w:basedOn w:val="1"/>
    <w:qFormat/>
    <w:uiPriority w:val="0"/>
    <w:pPr>
      <w:pageBreakBefore/>
      <w:autoSpaceDE w:val="0"/>
      <w:autoSpaceDN w:val="0"/>
      <w:adjustRightInd w:val="0"/>
      <w:jc w:val="center"/>
      <w:textAlignment w:val="baseline"/>
    </w:pPr>
    <w:rPr>
      <w:rFonts w:ascii="黑体" w:hAnsi="Impact" w:eastAsia="黑体"/>
      <w:kern w:val="24"/>
      <w:sz w:val="32"/>
      <w:szCs w:val="20"/>
    </w:rPr>
  </w:style>
  <w:style w:type="paragraph" w:customStyle="1" w:styleId="77">
    <w:name w:val="正文 + 小四"/>
    <w:basedOn w:val="1"/>
    <w:link w:val="78"/>
    <w:qFormat/>
    <w:uiPriority w:val="0"/>
    <w:pPr>
      <w:ind w:firstLine="360" w:firstLineChars="150"/>
    </w:pPr>
    <w:rPr>
      <w:rFonts w:hAnsi="宋体"/>
      <w:sz w:val="24"/>
    </w:rPr>
  </w:style>
  <w:style w:type="character" w:customStyle="1" w:styleId="78">
    <w:name w:val="正文 + 小四 Char"/>
    <w:link w:val="77"/>
    <w:qFormat/>
    <w:uiPriority w:val="0"/>
    <w:rPr>
      <w:rFonts w:hAnsi="宋体" w:eastAsia="宋体"/>
      <w:kern w:val="2"/>
      <w:sz w:val="24"/>
      <w:szCs w:val="24"/>
      <w:lang w:val="en-US" w:eastAsia="zh-CN" w:bidi="ar-SA"/>
    </w:rPr>
  </w:style>
  <w:style w:type="paragraph" w:customStyle="1" w:styleId="79">
    <w:name w:val="Char Char Char Char Char Char"/>
    <w:basedOn w:val="1"/>
    <w:qFormat/>
    <w:uiPriority w:val="0"/>
    <w:pPr>
      <w:snapToGrid w:val="0"/>
      <w:spacing w:line="360" w:lineRule="auto"/>
      <w:ind w:firstLine="529" w:firstLineChars="200"/>
    </w:pPr>
    <w:rPr>
      <w:rFonts w:ascii="宋体" w:hAnsi="宋体"/>
      <w:b/>
    </w:rPr>
  </w:style>
  <w:style w:type="paragraph" w:customStyle="1" w:styleId="80">
    <w:name w:val="Char Char Char"/>
    <w:basedOn w:val="1"/>
    <w:qFormat/>
    <w:uiPriority w:val="0"/>
  </w:style>
  <w:style w:type="paragraph" w:customStyle="1" w:styleId="81">
    <w:name w:val="中文报告书样式"/>
    <w:basedOn w:val="1"/>
    <w:qFormat/>
    <w:uiPriority w:val="0"/>
    <w:pPr>
      <w:adjustRightInd w:val="0"/>
      <w:spacing w:line="480" w:lineRule="atLeast"/>
      <w:ind w:firstLine="482"/>
    </w:pPr>
    <w:rPr>
      <w:kern w:val="24"/>
      <w:sz w:val="24"/>
      <w:szCs w:val="20"/>
    </w:rPr>
  </w:style>
  <w:style w:type="paragraph" w:customStyle="1" w:styleId="82">
    <w:name w:val="报告书表格"/>
    <w:basedOn w:val="1"/>
    <w:qFormat/>
    <w:uiPriority w:val="0"/>
    <w:pPr>
      <w:adjustRightInd w:val="0"/>
      <w:spacing w:before="60" w:after="60" w:line="240" w:lineRule="atLeast"/>
      <w:jc w:val="center"/>
    </w:pPr>
    <w:rPr>
      <w:kern w:val="0"/>
      <w:szCs w:val="20"/>
    </w:rPr>
  </w:style>
  <w:style w:type="character" w:customStyle="1" w:styleId="83">
    <w:name w:val="正文文本 Char"/>
    <w:qFormat/>
    <w:uiPriority w:val="0"/>
    <w:rPr>
      <w:rFonts w:eastAsia="宋体"/>
      <w:kern w:val="2"/>
      <w:sz w:val="21"/>
      <w:szCs w:val="24"/>
      <w:lang w:val="en-US" w:eastAsia="zh-CN" w:bidi="ar-SA"/>
    </w:rPr>
  </w:style>
  <w:style w:type="paragraph" w:customStyle="1" w:styleId="84">
    <w:name w:val="Char Char Char Char Char Char Char Char Char1"/>
    <w:basedOn w:val="1"/>
    <w:qFormat/>
    <w:uiPriority w:val="0"/>
    <w:pPr>
      <w:snapToGrid w:val="0"/>
      <w:spacing w:line="360" w:lineRule="auto"/>
      <w:ind w:firstLine="529" w:firstLineChars="200"/>
    </w:pPr>
    <w:rPr>
      <w:rFonts w:ascii="宋体" w:hAnsi="宋体"/>
      <w:b/>
    </w:rPr>
  </w:style>
  <w:style w:type="paragraph" w:customStyle="1" w:styleId="85">
    <w:name w:val="表格 23"/>
    <w:basedOn w:val="1"/>
    <w:qFormat/>
    <w:uiPriority w:val="0"/>
    <w:pPr>
      <w:jc w:val="center"/>
    </w:pPr>
    <w:rPr>
      <w:rFonts w:ascii="宋体" w:hAnsi="宋体"/>
      <w:b/>
      <w:sz w:val="24"/>
    </w:rPr>
  </w:style>
  <w:style w:type="paragraph" w:customStyle="1" w:styleId="86">
    <w:name w:val="正文25磅"/>
    <w:basedOn w:val="1"/>
    <w:qFormat/>
    <w:uiPriority w:val="0"/>
    <w:pPr>
      <w:spacing w:line="500" w:lineRule="exact"/>
      <w:ind w:firstLine="200" w:firstLineChars="200"/>
    </w:pPr>
    <w:rPr>
      <w:sz w:val="24"/>
      <w:szCs w:val="20"/>
    </w:rPr>
  </w:style>
  <w:style w:type="paragraph" w:customStyle="1" w:styleId="87">
    <w:name w:val="表格标题"/>
    <w:basedOn w:val="1"/>
    <w:qFormat/>
    <w:uiPriority w:val="0"/>
    <w:rPr>
      <w:rFonts w:eastAsia="仿宋_GB2312"/>
      <w:b/>
      <w:sz w:val="24"/>
    </w:rPr>
  </w:style>
  <w:style w:type="paragraph" w:customStyle="1" w:styleId="88">
    <w:name w:val="Char Char Char Char"/>
    <w:basedOn w:val="1"/>
    <w:qFormat/>
    <w:uiPriority w:val="0"/>
    <w:pPr>
      <w:snapToGrid w:val="0"/>
      <w:spacing w:line="360" w:lineRule="auto"/>
      <w:ind w:firstLine="529" w:firstLineChars="200"/>
    </w:pPr>
    <w:rPr>
      <w:rFonts w:ascii="宋体" w:hAnsi="宋体"/>
      <w:b/>
    </w:rPr>
  </w:style>
  <w:style w:type="paragraph" w:customStyle="1" w:styleId="89">
    <w:name w:val="Char Char Char Char Char Char Char"/>
    <w:basedOn w:val="5"/>
    <w:qFormat/>
    <w:uiPriority w:val="0"/>
    <w:pPr>
      <w:keepNext/>
      <w:keepLines/>
      <w:numPr>
        <w:ilvl w:val="0"/>
        <w:numId w:val="0"/>
      </w:numPr>
      <w:autoSpaceDE/>
      <w:autoSpaceDN/>
      <w:adjustRightInd/>
      <w:spacing w:before="280" w:after="290" w:line="376" w:lineRule="auto"/>
      <w:textAlignment w:val="auto"/>
    </w:pPr>
    <w:rPr>
      <w:rFonts w:ascii="Arial" w:eastAsia="仿宋_GB2312"/>
      <w:b w:val="0"/>
      <w:bCs/>
      <w:kern w:val="2"/>
      <w:szCs w:val="28"/>
    </w:rPr>
  </w:style>
  <w:style w:type="paragraph" w:customStyle="1" w:styleId="90">
    <w:name w:val="Char Char Char Char Char Char Char Char Char11"/>
    <w:basedOn w:val="1"/>
    <w:qFormat/>
    <w:uiPriority w:val="0"/>
    <w:pPr>
      <w:snapToGrid w:val="0"/>
      <w:spacing w:line="360" w:lineRule="auto"/>
      <w:ind w:firstLine="529" w:firstLineChars="200"/>
    </w:pPr>
  </w:style>
  <w:style w:type="paragraph" w:customStyle="1" w:styleId="91">
    <w:name w:val="Char Char"/>
    <w:basedOn w:val="1"/>
    <w:qFormat/>
    <w:uiPriority w:val="0"/>
    <w:pPr>
      <w:snapToGrid w:val="0"/>
      <w:spacing w:line="360" w:lineRule="auto"/>
      <w:ind w:firstLine="529" w:firstLineChars="200"/>
    </w:pPr>
    <w:rPr>
      <w:rFonts w:ascii="宋体" w:hAnsi="宋体"/>
      <w:b/>
    </w:rPr>
  </w:style>
  <w:style w:type="paragraph" w:customStyle="1" w:styleId="92">
    <w:name w:val="4 Char"/>
    <w:basedOn w:val="1"/>
    <w:qFormat/>
    <w:uiPriority w:val="0"/>
  </w:style>
  <w:style w:type="paragraph" w:customStyle="1" w:styleId="93">
    <w:name w:val="默认段落字体 Para Char Char Char Char Char Char Char Char Char Char Char Char Char1 Char"/>
    <w:basedOn w:val="21"/>
    <w:qFormat/>
    <w:uiPriority w:val="0"/>
  </w:style>
  <w:style w:type="paragraph" w:customStyle="1" w:styleId="94">
    <w:name w:val="Char2"/>
    <w:basedOn w:val="1"/>
    <w:qFormat/>
    <w:uiPriority w:val="0"/>
  </w:style>
  <w:style w:type="paragraph" w:customStyle="1" w:styleId="95">
    <w:name w:val="Char Char Char Char Char Char Char Char Char Char"/>
    <w:basedOn w:val="1"/>
    <w:qFormat/>
    <w:uiPriority w:val="0"/>
    <w:pPr>
      <w:adjustRightInd w:val="0"/>
      <w:spacing w:line="360" w:lineRule="auto"/>
    </w:pPr>
    <w:rPr>
      <w:kern w:val="0"/>
      <w:sz w:val="24"/>
      <w:szCs w:val="20"/>
    </w:rPr>
  </w:style>
  <w:style w:type="character" w:customStyle="1" w:styleId="96">
    <w:name w:val="标题 Char"/>
    <w:link w:val="38"/>
    <w:qFormat/>
    <w:uiPriority w:val="0"/>
    <w:rPr>
      <w:rFonts w:ascii="Cambria" w:hAnsi="Cambria" w:eastAsia="宋体"/>
      <w:b/>
      <w:bCs/>
      <w:kern w:val="2"/>
      <w:sz w:val="32"/>
      <w:szCs w:val="32"/>
      <w:lang w:bidi="ar-SA"/>
    </w:rPr>
  </w:style>
  <w:style w:type="character" w:customStyle="1" w:styleId="97">
    <w:name w:val="text-h21"/>
    <w:qFormat/>
    <w:uiPriority w:val="0"/>
    <w:rPr>
      <w:rFonts w:hint="default" w:ascii="Tahoma" w:hAnsi="Tahoma" w:cs="Tahoma"/>
      <w:color w:val="333333"/>
      <w:sz w:val="18"/>
      <w:szCs w:val="18"/>
    </w:rPr>
  </w:style>
  <w:style w:type="paragraph" w:customStyle="1" w:styleId="98">
    <w:name w:val="text-h2"/>
    <w:basedOn w:val="1"/>
    <w:qFormat/>
    <w:uiPriority w:val="0"/>
    <w:pPr>
      <w:widowControl/>
      <w:spacing w:before="100" w:beforeAutospacing="1" w:after="100" w:afterAutospacing="1" w:line="300" w:lineRule="atLeast"/>
      <w:jc w:val="left"/>
    </w:pPr>
    <w:rPr>
      <w:rFonts w:ascii="Tahoma" w:hAnsi="Tahoma" w:cs="Tahoma"/>
      <w:color w:val="333333"/>
      <w:kern w:val="0"/>
      <w:sz w:val="18"/>
      <w:szCs w:val="18"/>
    </w:rPr>
  </w:style>
  <w:style w:type="character" w:customStyle="1" w:styleId="99">
    <w:name w:val="批注主题 Char"/>
    <w:link w:val="39"/>
    <w:qFormat/>
    <w:uiPriority w:val="0"/>
    <w:rPr>
      <w:rFonts w:eastAsia="宋体"/>
      <w:b/>
      <w:bCs/>
      <w:kern w:val="2"/>
      <w:sz w:val="21"/>
      <w:szCs w:val="24"/>
      <w:lang w:bidi="ar-SA"/>
    </w:rPr>
  </w:style>
  <w:style w:type="paragraph" w:customStyle="1" w:styleId="100">
    <w:name w:val="四级标题"/>
    <w:basedOn w:val="1"/>
    <w:link w:val="101"/>
    <w:qFormat/>
    <w:uiPriority w:val="0"/>
    <w:pPr>
      <w:tabs>
        <w:tab w:val="left" w:pos="630"/>
      </w:tabs>
      <w:spacing w:beforeLines="30" w:afterLines="30" w:line="360" w:lineRule="auto"/>
      <w:ind w:firstLine="480" w:firstLineChars="200"/>
      <w:outlineLvl w:val="0"/>
    </w:pPr>
    <w:rPr>
      <w:rFonts w:ascii="宋体" w:hAnsi="宋体"/>
      <w:b/>
      <w:kern w:val="44"/>
      <w:sz w:val="24"/>
      <w:szCs w:val="20"/>
    </w:rPr>
  </w:style>
  <w:style w:type="character" w:customStyle="1" w:styleId="101">
    <w:name w:val="四级标题 Char"/>
    <w:link w:val="100"/>
    <w:qFormat/>
    <w:uiPriority w:val="0"/>
    <w:rPr>
      <w:rFonts w:ascii="宋体" w:hAnsi="宋体" w:eastAsia="宋体"/>
      <w:b/>
      <w:kern w:val="44"/>
      <w:sz w:val="24"/>
      <w:lang w:val="en-US" w:eastAsia="zh-CN" w:bidi="ar-SA"/>
    </w:rPr>
  </w:style>
  <w:style w:type="paragraph" w:customStyle="1" w:styleId="102">
    <w:name w:val="报告正文"/>
    <w:basedOn w:val="1"/>
    <w:qFormat/>
    <w:uiPriority w:val="0"/>
    <w:pPr>
      <w:spacing w:line="360" w:lineRule="auto"/>
      <w:ind w:firstLine="480" w:firstLineChars="200"/>
    </w:pPr>
    <w:rPr>
      <w:rFonts w:hAnsi="宋体"/>
      <w:sz w:val="24"/>
    </w:rPr>
  </w:style>
  <w:style w:type="paragraph" w:customStyle="1" w:styleId="103">
    <w:name w:val="三级标题"/>
    <w:basedOn w:val="1"/>
    <w:link w:val="104"/>
    <w:qFormat/>
    <w:uiPriority w:val="0"/>
    <w:pPr>
      <w:tabs>
        <w:tab w:val="left" w:pos="630"/>
      </w:tabs>
      <w:spacing w:beforeLines="30" w:afterLines="30"/>
      <w:ind w:firstLine="482" w:firstLineChars="200"/>
      <w:outlineLvl w:val="0"/>
    </w:pPr>
    <w:rPr>
      <w:rFonts w:ascii="宋体" w:hAnsi="宋体"/>
      <w:b/>
      <w:kern w:val="44"/>
      <w:sz w:val="24"/>
    </w:rPr>
  </w:style>
  <w:style w:type="character" w:customStyle="1" w:styleId="104">
    <w:name w:val="三级标题 Char"/>
    <w:link w:val="103"/>
    <w:qFormat/>
    <w:uiPriority w:val="0"/>
    <w:rPr>
      <w:rFonts w:ascii="宋体" w:hAnsi="宋体" w:eastAsia="宋体"/>
      <w:b/>
      <w:kern w:val="44"/>
      <w:sz w:val="24"/>
      <w:szCs w:val="24"/>
      <w:lang w:val="en-US" w:eastAsia="zh-CN" w:bidi="ar-SA"/>
    </w:rPr>
  </w:style>
  <w:style w:type="paragraph" w:customStyle="1" w:styleId="105">
    <w:name w:val="pic-info"/>
    <w:basedOn w:val="1"/>
    <w:qFormat/>
    <w:uiPriority w:val="0"/>
    <w:pPr>
      <w:widowControl/>
      <w:spacing w:before="100" w:beforeAutospacing="1" w:after="100" w:afterAutospacing="1"/>
      <w:jc w:val="left"/>
    </w:pPr>
    <w:rPr>
      <w:rFonts w:ascii="宋体" w:hAnsi="宋体" w:cs="宋体"/>
      <w:kern w:val="0"/>
      <w:sz w:val="24"/>
    </w:rPr>
  </w:style>
  <w:style w:type="character" w:customStyle="1" w:styleId="106">
    <w:name w:val="headline-content2"/>
    <w:basedOn w:val="42"/>
    <w:qFormat/>
    <w:uiPriority w:val="0"/>
  </w:style>
  <w:style w:type="character" w:customStyle="1" w:styleId="107">
    <w:name w:val="Char Char7"/>
    <w:qFormat/>
    <w:uiPriority w:val="0"/>
    <w:rPr>
      <w:rFonts w:eastAsia="宋体"/>
      <w:sz w:val="18"/>
      <w:lang w:val="en-US" w:eastAsia="zh-CN" w:bidi="ar-SA"/>
    </w:rPr>
  </w:style>
  <w:style w:type="paragraph" w:customStyle="1" w:styleId="108">
    <w:name w:val="正文1"/>
    <w:basedOn w:val="1"/>
    <w:link w:val="109"/>
    <w:qFormat/>
    <w:uiPriority w:val="0"/>
    <w:pPr>
      <w:adjustRightInd w:val="0"/>
    </w:pPr>
    <w:rPr>
      <w:rFonts w:eastAsia="楷体_GB2312"/>
      <w:sz w:val="20"/>
    </w:rPr>
  </w:style>
  <w:style w:type="character" w:customStyle="1" w:styleId="109">
    <w:name w:val="正文1 Char"/>
    <w:link w:val="108"/>
    <w:qFormat/>
    <w:uiPriority w:val="0"/>
    <w:rPr>
      <w:rFonts w:eastAsia="楷体_GB2312"/>
      <w:kern w:val="2"/>
      <w:szCs w:val="24"/>
      <w:lang w:val="en-US" w:eastAsia="zh-CN" w:bidi="ar-SA"/>
    </w:rPr>
  </w:style>
  <w:style w:type="character" w:customStyle="1" w:styleId="110">
    <w:name w:val="A表名 Char"/>
    <w:qFormat/>
    <w:uiPriority w:val="0"/>
    <w:rPr>
      <w:rFonts w:ascii="Arial" w:hAnsi="Arial" w:eastAsia="黑体"/>
      <w:b/>
      <w:bCs/>
      <w:kern w:val="2"/>
      <w:sz w:val="24"/>
      <w:szCs w:val="24"/>
      <w:lang w:val="en-US" w:eastAsia="en-US" w:bidi="ar-SA"/>
    </w:rPr>
  </w:style>
  <w:style w:type="paragraph" w:customStyle="1" w:styleId="111">
    <w:name w:val="缩进"/>
    <w:basedOn w:val="1"/>
    <w:qFormat/>
    <w:uiPriority w:val="0"/>
    <w:pPr>
      <w:autoSpaceDE w:val="0"/>
      <w:autoSpaceDN w:val="0"/>
      <w:adjustRightInd w:val="0"/>
      <w:spacing w:line="400" w:lineRule="atLeast"/>
      <w:ind w:firstLine="480" w:firstLineChars="200"/>
      <w:textAlignment w:val="baseline"/>
    </w:pPr>
    <w:rPr>
      <w:sz w:val="24"/>
      <w:szCs w:val="20"/>
    </w:rPr>
  </w:style>
  <w:style w:type="character" w:customStyle="1" w:styleId="112">
    <w:name w:val="apple-style-span"/>
    <w:basedOn w:val="42"/>
    <w:qFormat/>
    <w:uiPriority w:val="0"/>
  </w:style>
  <w:style w:type="paragraph" w:customStyle="1" w:styleId="113">
    <w:name w:val="album-div1"/>
    <w:basedOn w:val="1"/>
    <w:qFormat/>
    <w:uiPriority w:val="0"/>
    <w:pPr>
      <w:widowControl/>
      <w:shd w:val="clear" w:color="auto" w:fill="FFFFFF"/>
      <w:spacing w:before="100" w:beforeAutospacing="1" w:after="100" w:afterAutospacing="1"/>
      <w:jc w:val="left"/>
    </w:pPr>
    <w:rPr>
      <w:rFonts w:ascii="宋体" w:hAnsi="宋体" w:cs="宋体"/>
      <w:kern w:val="0"/>
      <w:sz w:val="24"/>
    </w:rPr>
  </w:style>
  <w:style w:type="character" w:customStyle="1" w:styleId="114">
    <w:name w:val="title11"/>
    <w:basedOn w:val="42"/>
    <w:qFormat/>
    <w:uiPriority w:val="0"/>
  </w:style>
  <w:style w:type="character" w:customStyle="1" w:styleId="115">
    <w:name w:val="count4"/>
    <w:basedOn w:val="42"/>
    <w:qFormat/>
    <w:uiPriority w:val="0"/>
  </w:style>
  <w:style w:type="character" w:customStyle="1" w:styleId="116">
    <w:name w:val="apple-converted-space"/>
    <w:basedOn w:val="42"/>
    <w:qFormat/>
    <w:uiPriority w:val="0"/>
  </w:style>
  <w:style w:type="paragraph" w:customStyle="1" w:styleId="117">
    <w:name w:val="表1表2 表头格式"/>
    <w:basedOn w:val="1"/>
    <w:qFormat/>
    <w:uiPriority w:val="0"/>
    <w:pPr>
      <w:numPr>
        <w:ilvl w:val="0"/>
        <w:numId w:val="3"/>
      </w:numPr>
      <w:autoSpaceDE w:val="0"/>
      <w:autoSpaceDN w:val="0"/>
      <w:adjustRightInd w:val="0"/>
      <w:spacing w:beforeLines="50"/>
      <w:jc w:val="center"/>
      <w:textAlignment w:val="center"/>
    </w:pPr>
    <w:rPr>
      <w:rFonts w:eastAsia="黑体"/>
      <w:snapToGrid w:val="0"/>
      <w:kern w:val="0"/>
      <w:szCs w:val="20"/>
    </w:rPr>
  </w:style>
  <w:style w:type="paragraph" w:customStyle="1" w:styleId="118">
    <w:name w:val="样式 样式 表1表2 表头格式 + 段前: 0.5 行 + 字距调整小四"/>
    <w:basedOn w:val="1"/>
    <w:qFormat/>
    <w:uiPriority w:val="0"/>
    <w:pPr>
      <w:tabs>
        <w:tab w:val="left" w:pos="1132"/>
      </w:tabs>
      <w:autoSpaceDE w:val="0"/>
      <w:autoSpaceDN w:val="0"/>
      <w:adjustRightInd w:val="0"/>
      <w:spacing w:before="120"/>
      <w:ind w:left="1132" w:hanging="570"/>
      <w:jc w:val="center"/>
      <w:textAlignment w:val="center"/>
    </w:pPr>
    <w:rPr>
      <w:rFonts w:eastAsia="黑体" w:cs="宋体"/>
      <w:snapToGrid w:val="0"/>
      <w:kern w:val="24"/>
      <w:sz w:val="24"/>
      <w:szCs w:val="20"/>
    </w:rPr>
  </w:style>
  <w:style w:type="character" w:customStyle="1" w:styleId="119">
    <w:name w:val="批注框文本 Char"/>
    <w:link w:val="30"/>
    <w:qFormat/>
    <w:uiPriority w:val="0"/>
    <w:rPr>
      <w:rFonts w:eastAsia="宋体"/>
      <w:kern w:val="2"/>
      <w:sz w:val="18"/>
      <w:szCs w:val="18"/>
      <w:lang w:val="en-US" w:eastAsia="zh-CN" w:bidi="ar-SA"/>
    </w:rPr>
  </w:style>
  <w:style w:type="character" w:customStyle="1" w:styleId="120">
    <w:name w:val="报告表正文 Char"/>
    <w:link w:val="72"/>
    <w:qFormat/>
    <w:uiPriority w:val="0"/>
    <w:rPr>
      <w:rFonts w:eastAsia="宋体"/>
      <w:sz w:val="24"/>
      <w:lang w:val="en-US" w:eastAsia="zh-CN" w:bidi="ar-SA"/>
    </w:rPr>
  </w:style>
  <w:style w:type="character" w:customStyle="1" w:styleId="121">
    <w:name w:val="博泵1 Char Char"/>
    <w:link w:val="122"/>
    <w:qFormat/>
    <w:locked/>
    <w:uiPriority w:val="0"/>
    <w:rPr>
      <w:rFonts w:ascii="宋体" w:hAnsi="宋体"/>
      <w:color w:val="000000"/>
      <w:sz w:val="24"/>
    </w:rPr>
  </w:style>
  <w:style w:type="paragraph" w:customStyle="1" w:styleId="122">
    <w:name w:val="博泵1"/>
    <w:basedOn w:val="1"/>
    <w:link w:val="121"/>
    <w:qFormat/>
    <w:uiPriority w:val="0"/>
    <w:pPr>
      <w:adjustRightInd w:val="0"/>
      <w:spacing w:line="480" w:lineRule="exact"/>
      <w:ind w:firstLine="200" w:firstLineChars="200"/>
      <w:jc w:val="left"/>
    </w:pPr>
    <w:rPr>
      <w:rFonts w:ascii="宋体" w:hAnsi="宋体"/>
      <w:color w:val="000000"/>
      <w:kern w:val="0"/>
      <w:sz w:val="24"/>
      <w:szCs w:val="20"/>
    </w:rPr>
  </w:style>
  <w:style w:type="character" w:customStyle="1" w:styleId="123">
    <w:name w:val="表格 32 Char Char"/>
    <w:qFormat/>
    <w:locked/>
    <w:uiPriority w:val="0"/>
    <w:rPr>
      <w:rFonts w:ascii="楷体_GB2312" w:eastAsia="楷体_GB2312"/>
      <w:szCs w:val="24"/>
    </w:rPr>
  </w:style>
  <w:style w:type="character" w:customStyle="1" w:styleId="124">
    <w:name w:val="正文文本缩进 Char"/>
    <w:link w:val="25"/>
    <w:qFormat/>
    <w:uiPriority w:val="0"/>
    <w:rPr>
      <w:kern w:val="2"/>
      <w:sz w:val="24"/>
      <w:szCs w:val="24"/>
    </w:rPr>
  </w:style>
  <w:style w:type="character" w:customStyle="1" w:styleId="125">
    <w:name w:val="正文 32 Char Char"/>
    <w:qFormat/>
    <w:uiPriority w:val="0"/>
    <w:rPr>
      <w:rFonts w:eastAsia="楷体_GB2312"/>
      <w:sz w:val="24"/>
    </w:rPr>
  </w:style>
  <w:style w:type="character" w:customStyle="1" w:styleId="126">
    <w:name w:val="表格1 Char Char"/>
    <w:link w:val="54"/>
    <w:qFormat/>
    <w:uiPriority w:val="0"/>
    <w:rPr>
      <w:rFonts w:ascii="宋体" w:hAnsi="Impact"/>
      <w:kern w:val="24"/>
      <w:sz w:val="28"/>
    </w:rPr>
  </w:style>
  <w:style w:type="paragraph" w:customStyle="1" w:styleId="127">
    <w:name w:val="报告表  段"/>
    <w:basedOn w:val="1"/>
    <w:link w:val="129"/>
    <w:qFormat/>
    <w:uiPriority w:val="0"/>
    <w:pPr>
      <w:adjustRightInd w:val="0"/>
      <w:spacing w:line="360" w:lineRule="auto"/>
      <w:ind w:firstLine="505"/>
      <w:textAlignment w:val="baseline"/>
    </w:pPr>
    <w:rPr>
      <w:rFonts w:ascii="宋体"/>
      <w:kern w:val="0"/>
      <w:sz w:val="24"/>
      <w:szCs w:val="20"/>
    </w:rPr>
  </w:style>
  <w:style w:type="paragraph" w:customStyle="1" w:styleId="128">
    <w:name w:val="报告表 段"/>
    <w:basedOn w:val="1"/>
    <w:link w:val="130"/>
    <w:qFormat/>
    <w:uiPriority w:val="0"/>
    <w:pPr>
      <w:spacing w:line="360" w:lineRule="auto"/>
      <w:ind w:firstLine="470" w:firstLineChars="196"/>
    </w:pPr>
    <w:rPr>
      <w:rFonts w:ascii="宋体" w:hAnsi="宋体"/>
      <w:bCs/>
      <w:sz w:val="24"/>
    </w:rPr>
  </w:style>
  <w:style w:type="character" w:customStyle="1" w:styleId="129">
    <w:name w:val="报告表  段 Char"/>
    <w:link w:val="127"/>
    <w:qFormat/>
    <w:locked/>
    <w:uiPriority w:val="0"/>
    <w:rPr>
      <w:rFonts w:ascii="宋体"/>
      <w:sz w:val="24"/>
    </w:rPr>
  </w:style>
  <w:style w:type="character" w:customStyle="1" w:styleId="130">
    <w:name w:val="报告表 段 Char"/>
    <w:link w:val="128"/>
    <w:qFormat/>
    <w:uiPriority w:val="0"/>
    <w:rPr>
      <w:rFonts w:ascii="宋体" w:hAnsi="宋体"/>
      <w:bCs/>
      <w:kern w:val="2"/>
      <w:sz w:val="24"/>
      <w:szCs w:val="24"/>
    </w:rPr>
  </w:style>
  <w:style w:type="paragraph" w:customStyle="1" w:styleId="131">
    <w:name w:val="样式 方正仿宋_GBK 三号 行距: 固定值 28 磅"/>
    <w:basedOn w:val="1"/>
    <w:qFormat/>
    <w:uiPriority w:val="0"/>
    <w:pPr>
      <w:spacing w:line="360" w:lineRule="auto"/>
      <w:ind w:firstLine="200" w:firstLineChars="200"/>
      <w:jc w:val="left"/>
    </w:pPr>
    <w:rPr>
      <w:rFonts w:ascii="方正仿宋_GBK" w:hAnsi="方正仿宋_GBK" w:cs="宋体"/>
      <w:sz w:val="28"/>
      <w:szCs w:val="20"/>
    </w:rPr>
  </w:style>
  <w:style w:type="paragraph" w:customStyle="1" w:styleId="132">
    <w:name w:val="无间隔1"/>
    <w:qFormat/>
    <w:uiPriority w:val="0"/>
    <w:pPr>
      <w:widowControl w:val="0"/>
      <w:jc w:val="center"/>
      <w:outlineLvl w:val="7"/>
    </w:pPr>
    <w:rPr>
      <w:rFonts w:ascii="Times New Roman" w:hAnsi="Times New Roman" w:eastAsia="宋体" w:cs="Times New Roman"/>
      <w:kern w:val="2"/>
      <w:sz w:val="21"/>
      <w:szCs w:val="24"/>
      <w:lang w:val="en-US" w:eastAsia="zh-CN" w:bidi="ar-SA"/>
    </w:rPr>
  </w:style>
  <w:style w:type="paragraph" w:customStyle="1" w:styleId="133">
    <w:name w:val="引用1"/>
    <w:basedOn w:val="1"/>
    <w:next w:val="1"/>
    <w:link w:val="134"/>
    <w:qFormat/>
    <w:uiPriority w:val="0"/>
    <w:pPr>
      <w:jc w:val="center"/>
    </w:pPr>
    <w:rPr>
      <w:b/>
      <w:iCs/>
    </w:rPr>
  </w:style>
  <w:style w:type="character" w:customStyle="1" w:styleId="134">
    <w:name w:val="引用 Char"/>
    <w:link w:val="133"/>
    <w:qFormat/>
    <w:uiPriority w:val="0"/>
    <w:rPr>
      <w:b/>
      <w:iCs/>
      <w:kern w:val="2"/>
      <w:sz w:val="21"/>
      <w:szCs w:val="24"/>
    </w:rPr>
  </w:style>
  <w:style w:type="paragraph" w:customStyle="1" w:styleId="135">
    <w:name w:val="Char1"/>
    <w:basedOn w:val="1"/>
    <w:qFormat/>
    <w:uiPriority w:val="0"/>
    <w:rPr>
      <w:sz w:val="24"/>
    </w:rPr>
  </w:style>
  <w:style w:type="character" w:customStyle="1" w:styleId="136">
    <w:name w:val="一级标题 Char Char"/>
    <w:link w:val="137"/>
    <w:qFormat/>
    <w:uiPriority w:val="0"/>
    <w:rPr>
      <w:b/>
      <w:kern w:val="44"/>
      <w:sz w:val="32"/>
    </w:rPr>
  </w:style>
  <w:style w:type="paragraph" w:customStyle="1" w:styleId="137">
    <w:name w:val="一级标题"/>
    <w:basedOn w:val="2"/>
    <w:link w:val="136"/>
    <w:qFormat/>
    <w:uiPriority w:val="0"/>
    <w:pPr>
      <w:keepLines/>
      <w:tabs>
        <w:tab w:val="left" w:pos="630"/>
      </w:tabs>
      <w:spacing w:afterLines="50"/>
      <w:ind w:firstLine="0"/>
      <w:jc w:val="both"/>
    </w:pPr>
    <w:rPr>
      <w:kern w:val="44"/>
      <w:sz w:val="32"/>
    </w:rPr>
  </w:style>
  <w:style w:type="paragraph" w:customStyle="1" w:styleId="138">
    <w:name w:val="样式 表格表头样式"/>
    <w:basedOn w:val="1"/>
    <w:qFormat/>
    <w:uiPriority w:val="0"/>
    <w:pPr>
      <w:widowControl/>
      <w:tabs>
        <w:tab w:val="left" w:pos="360"/>
      </w:tabs>
      <w:adjustRightInd w:val="0"/>
      <w:snapToGrid w:val="0"/>
      <w:ind w:left="360" w:hanging="360"/>
      <w:jc w:val="center"/>
    </w:pPr>
    <w:rPr>
      <w:rFonts w:eastAsia="黑体" w:cs="宋体"/>
      <w:kern w:val="0"/>
      <w:sz w:val="24"/>
      <w:szCs w:val="20"/>
    </w:rPr>
  </w:style>
  <w:style w:type="paragraph" w:styleId="139">
    <w:name w:val="List Paragraph"/>
    <w:basedOn w:val="1"/>
    <w:qFormat/>
    <w:uiPriority w:val="34"/>
    <w:pPr>
      <w:ind w:firstLine="420" w:firstLineChars="200"/>
    </w:pPr>
    <w:rPr>
      <w:rFonts w:ascii="Calibri" w:hAnsi="Calibri"/>
      <w:szCs w:val="22"/>
    </w:rPr>
  </w:style>
  <w:style w:type="paragraph" w:customStyle="1" w:styleId="140">
    <w:name w:val="列出段落1"/>
    <w:basedOn w:val="1"/>
    <w:qFormat/>
    <w:uiPriority w:val="34"/>
    <w:pPr>
      <w:ind w:firstLine="420" w:firstLineChars="200"/>
    </w:pPr>
    <w:rPr>
      <w:rFonts w:ascii="Calibri" w:hAnsi="Calibri"/>
      <w:szCs w:val="22"/>
    </w:rPr>
  </w:style>
  <w:style w:type="paragraph" w:customStyle="1" w:styleId="141">
    <w:name w:val="正文4"/>
    <w:basedOn w:val="1"/>
    <w:qFormat/>
    <w:uiPriority w:val="0"/>
    <w:pPr>
      <w:adjustRightInd w:val="0"/>
      <w:snapToGrid w:val="0"/>
      <w:spacing w:line="600" w:lineRule="exact"/>
      <w:ind w:firstLine="640" w:firstLineChars="200"/>
    </w:pPr>
    <w:rPr>
      <w:rFonts w:eastAsia="仿宋_GB2312"/>
      <w:color w:val="FF0000"/>
      <w:sz w:val="32"/>
      <w:szCs w:val="32"/>
    </w:rPr>
  </w:style>
  <w:style w:type="paragraph" w:customStyle="1" w:styleId="142">
    <w:name w:val="表格填充1"/>
    <w:basedOn w:val="1"/>
    <w:qFormat/>
    <w:uiPriority w:val="0"/>
    <w:pPr>
      <w:adjustRightInd w:val="0"/>
      <w:snapToGrid w:val="0"/>
      <w:spacing w:line="400" w:lineRule="exact"/>
      <w:jc w:val="center"/>
    </w:pPr>
    <w:rPr>
      <w:snapToGrid w:val="0"/>
      <w:kern w:val="0"/>
      <w:szCs w:val="18"/>
    </w:rPr>
  </w:style>
  <w:style w:type="character" w:customStyle="1" w:styleId="143">
    <w:name w:val="报告 Char Char"/>
    <w:link w:val="74"/>
    <w:qFormat/>
    <w:uiPriority w:val="0"/>
    <w:rPr>
      <w:sz w:val="24"/>
    </w:rPr>
  </w:style>
  <w:style w:type="character" w:customStyle="1" w:styleId="144">
    <w:name w:val="页眉 Char"/>
    <w:link w:val="32"/>
    <w:qFormat/>
    <w:uiPriority w:val="0"/>
    <w:rPr>
      <w:kern w:val="2"/>
      <w:sz w:val="18"/>
      <w:szCs w:val="18"/>
    </w:rPr>
  </w:style>
  <w:style w:type="paragraph" w:customStyle="1" w:styleId="145">
    <w:name w:val="Table Paragraph"/>
    <w:basedOn w:val="1"/>
    <w:qFormat/>
    <w:uiPriority w:val="1"/>
    <w:rPr>
      <w:rFonts w:ascii="Noto Sans CJK JP Regular" w:hAnsi="Noto Sans CJK JP Regular" w:eastAsia="Noto Sans CJK JP Regular" w:cs="Noto Sans CJK JP Regular"/>
    </w:rPr>
  </w:style>
  <w:style w:type="paragraph" w:customStyle="1" w:styleId="146">
    <w:name w:val="小标题"/>
    <w:basedOn w:val="147"/>
    <w:qFormat/>
    <w:uiPriority w:val="0"/>
    <w:pPr>
      <w:ind w:firstLine="0" w:firstLineChars="0"/>
      <w:jc w:val="left"/>
    </w:pPr>
    <w:rPr>
      <w:b/>
      <w:bCs/>
    </w:rPr>
  </w:style>
  <w:style w:type="paragraph" w:customStyle="1" w:styleId="147">
    <w:name w:val="正文-lin"/>
    <w:basedOn w:val="1"/>
    <w:qFormat/>
    <w:uiPriority w:val="0"/>
    <w:pPr>
      <w:spacing w:line="360" w:lineRule="auto"/>
      <w:ind w:firstLine="1040" w:firstLineChars="200"/>
    </w:pPr>
    <w:rPr>
      <w:kern w:val="0"/>
      <w:sz w:val="24"/>
      <w:szCs w:val="20"/>
    </w:rPr>
  </w:style>
  <w:style w:type="paragraph" w:customStyle="1" w:styleId="148">
    <w:name w:val="表格内"/>
    <w:basedOn w:val="27"/>
    <w:next w:val="1"/>
    <w:qFormat/>
    <w:uiPriority w:val="0"/>
    <w:pPr>
      <w:spacing w:before="0" w:after="0"/>
      <w:ind w:firstLine="0"/>
      <w:jc w:val="center"/>
    </w:pPr>
    <w:rPr>
      <w:rFonts w:ascii="Times New Roman" w:hAnsi="Times New Roman" w:eastAsia="仿宋_GB2312"/>
      <w:sz w:val="21"/>
      <w:szCs w:val="21"/>
    </w:rPr>
  </w:style>
  <w:style w:type="paragraph" w:customStyle="1" w:styleId="149">
    <w:name w:val="真宗兴表格内容"/>
    <w:basedOn w:val="1"/>
    <w:qFormat/>
    <w:uiPriority w:val="0"/>
    <w:pPr>
      <w:tabs>
        <w:tab w:val="left" w:pos="-2848"/>
      </w:tabs>
      <w:spacing w:before="93" w:beforeLines="20" w:after="93" w:afterLines="20"/>
      <w:jc w:val="center"/>
    </w:pPr>
  </w:style>
  <w:style w:type="paragraph" w:customStyle="1" w:styleId="150">
    <w:name w:val="表文字"/>
    <w:basedOn w:val="1"/>
    <w:qFormat/>
    <w:uiPriority w:val="0"/>
    <w:pPr>
      <w:overflowPunct w:val="0"/>
      <w:autoSpaceDE w:val="0"/>
      <w:autoSpaceDN w:val="0"/>
      <w:adjustRightInd w:val="0"/>
      <w:spacing w:line="240" w:lineRule="atLeast"/>
      <w:jc w:val="center"/>
    </w:pPr>
    <w:rPr>
      <w:kern w:val="0"/>
      <w:sz w:val="24"/>
      <w:szCs w:val="20"/>
    </w:rPr>
  </w:style>
  <w:style w:type="paragraph" w:customStyle="1" w:styleId="151">
    <w:name w:val="3级"/>
    <w:basedOn w:val="4"/>
    <w:qFormat/>
    <w:uiPriority w:val="0"/>
    <w:pPr>
      <w:ind w:firstLine="480" w:firstLineChars="200"/>
    </w:pPr>
    <w:rPr>
      <w:b w:val="0"/>
      <w:kern w:val="0"/>
    </w:rPr>
  </w:style>
  <w:style w:type="paragraph" w:customStyle="1" w:styleId="152">
    <w:name w:val="样式 表格 32 + 首行缩进:  2 字符"/>
    <w:basedOn w:val="1"/>
    <w:qFormat/>
    <w:uiPriority w:val="0"/>
    <w:pPr>
      <w:autoSpaceDE w:val="0"/>
      <w:autoSpaceDN w:val="0"/>
      <w:adjustRightInd w:val="0"/>
      <w:spacing w:line="0" w:lineRule="atLeast"/>
      <w:jc w:val="center"/>
      <w:textAlignment w:val="baseline"/>
    </w:pPr>
    <w:rPr>
      <w:kern w:val="0"/>
      <w:szCs w:val="21"/>
    </w:rPr>
  </w:style>
  <w:style w:type="paragraph" w:customStyle="1" w:styleId="153">
    <w:name w:val="正文+小四，黑色"/>
    <w:basedOn w:val="1"/>
    <w:qFormat/>
    <w:uiPriority w:val="0"/>
    <w:pPr>
      <w:snapToGrid w:val="0"/>
      <w:spacing w:line="300" w:lineRule="auto"/>
      <w:ind w:firstLine="492" w:firstLineChars="205"/>
    </w:pPr>
    <w:rPr>
      <w:rFonts w:ascii="宋体" w:hAnsi="宋体"/>
      <w:sz w:val="24"/>
      <w:szCs w:val="20"/>
    </w:rPr>
  </w:style>
  <w:style w:type="paragraph" w:customStyle="1" w:styleId="154">
    <w:name w:val="正 文"/>
    <w:basedOn w:val="1"/>
    <w:qFormat/>
    <w:uiPriority w:val="0"/>
    <w:pPr>
      <w:spacing w:line="360" w:lineRule="auto"/>
      <w:ind w:firstLine="562" w:firstLineChars="200"/>
    </w:pPr>
    <w:rPr>
      <w:rFonts w:ascii="Arial" w:hAnsi="Arial" w:eastAsia="Times New Roman"/>
    </w:rPr>
  </w:style>
  <w:style w:type="paragraph" w:customStyle="1" w:styleId="155">
    <w:name w:val="表格文字"/>
    <w:basedOn w:val="1"/>
    <w:qFormat/>
    <w:uiPriority w:val="0"/>
    <w:pPr>
      <w:jc w:val="center"/>
    </w:pPr>
    <w:rPr>
      <w:kern w:val="44"/>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6" Type="http://schemas.openxmlformats.org/officeDocument/2006/relationships/fontTable" Target="fontTable.xml"/><Relationship Id="rId85" Type="http://schemas.openxmlformats.org/officeDocument/2006/relationships/customXml" Target="../customXml/item2.xml"/><Relationship Id="rId84" Type="http://schemas.openxmlformats.org/officeDocument/2006/relationships/numbering" Target="numbering.xml"/><Relationship Id="rId83" Type="http://schemas.openxmlformats.org/officeDocument/2006/relationships/customXml" Target="../customXml/item1.xml"/><Relationship Id="rId82" Type="http://schemas.openxmlformats.org/officeDocument/2006/relationships/image" Target="media/image39.jpeg"/><Relationship Id="rId81" Type="http://schemas.openxmlformats.org/officeDocument/2006/relationships/image" Target="media/image38.jpeg"/><Relationship Id="rId80" Type="http://schemas.openxmlformats.org/officeDocument/2006/relationships/image" Target="media/image37.png"/><Relationship Id="rId8" Type="http://schemas.openxmlformats.org/officeDocument/2006/relationships/footer" Target="footer3.xml"/><Relationship Id="rId79" Type="http://schemas.openxmlformats.org/officeDocument/2006/relationships/image" Target="media/image36.jpeg"/><Relationship Id="rId78" Type="http://schemas.openxmlformats.org/officeDocument/2006/relationships/image" Target="media/image35.png"/><Relationship Id="rId77" Type="http://schemas.openxmlformats.org/officeDocument/2006/relationships/image" Target="media/image34.png"/><Relationship Id="rId76" Type="http://schemas.openxmlformats.org/officeDocument/2006/relationships/image" Target="media/image33.jpeg"/><Relationship Id="rId75" Type="http://schemas.openxmlformats.org/officeDocument/2006/relationships/image" Target="media/image32.png"/><Relationship Id="rId74" Type="http://schemas.openxmlformats.org/officeDocument/2006/relationships/image" Target="media/image31.png"/><Relationship Id="rId73" Type="http://schemas.openxmlformats.org/officeDocument/2006/relationships/image" Target="media/image30.png"/><Relationship Id="rId72" Type="http://schemas.openxmlformats.org/officeDocument/2006/relationships/image" Target="media/image29.png"/><Relationship Id="rId71" Type="http://schemas.openxmlformats.org/officeDocument/2006/relationships/image" Target="media/image28.png"/><Relationship Id="rId70" Type="http://schemas.openxmlformats.org/officeDocument/2006/relationships/image" Target="media/image27.png"/><Relationship Id="rId7" Type="http://schemas.openxmlformats.org/officeDocument/2006/relationships/header" Target="header3.xml"/><Relationship Id="rId69" Type="http://schemas.openxmlformats.org/officeDocument/2006/relationships/image" Target="media/image26.jpeg"/><Relationship Id="rId68" Type="http://schemas.openxmlformats.org/officeDocument/2006/relationships/image" Target="media/image25.png"/><Relationship Id="rId67" Type="http://schemas.openxmlformats.org/officeDocument/2006/relationships/image" Target="media/image24.png"/><Relationship Id="rId66" Type="http://schemas.openxmlformats.org/officeDocument/2006/relationships/image" Target="media/image23.wmf"/><Relationship Id="rId65" Type="http://schemas.openxmlformats.org/officeDocument/2006/relationships/oleObject" Target="embeddings/oleObject14.bin"/><Relationship Id="rId64" Type="http://schemas.openxmlformats.org/officeDocument/2006/relationships/oleObject" Target="embeddings/oleObject13.bin"/><Relationship Id="rId63" Type="http://schemas.openxmlformats.org/officeDocument/2006/relationships/image" Target="media/image22.wmf"/><Relationship Id="rId62" Type="http://schemas.openxmlformats.org/officeDocument/2006/relationships/oleObject" Target="embeddings/oleObject12.bin"/><Relationship Id="rId61" Type="http://schemas.openxmlformats.org/officeDocument/2006/relationships/image" Target="media/image21.wmf"/><Relationship Id="rId60" Type="http://schemas.openxmlformats.org/officeDocument/2006/relationships/oleObject" Target="embeddings/oleObject11.bin"/><Relationship Id="rId6" Type="http://schemas.openxmlformats.org/officeDocument/2006/relationships/footer" Target="footer2.xml"/><Relationship Id="rId59" Type="http://schemas.openxmlformats.org/officeDocument/2006/relationships/oleObject" Target="embeddings/oleObject10.bin"/><Relationship Id="rId58" Type="http://schemas.openxmlformats.org/officeDocument/2006/relationships/image" Target="media/image20.wmf"/><Relationship Id="rId57" Type="http://schemas.openxmlformats.org/officeDocument/2006/relationships/oleObject" Target="embeddings/oleObject9.bin"/><Relationship Id="rId56" Type="http://schemas.openxmlformats.org/officeDocument/2006/relationships/image" Target="media/image19.wmf"/><Relationship Id="rId55" Type="http://schemas.openxmlformats.org/officeDocument/2006/relationships/oleObject" Target="embeddings/oleObject8.bin"/><Relationship Id="rId54" Type="http://schemas.openxmlformats.org/officeDocument/2006/relationships/image" Target="media/image18.wmf"/><Relationship Id="rId53" Type="http://schemas.openxmlformats.org/officeDocument/2006/relationships/oleObject" Target="embeddings/oleObject7.bin"/><Relationship Id="rId52" Type="http://schemas.openxmlformats.org/officeDocument/2006/relationships/image" Target="media/image17.wmf"/><Relationship Id="rId51" Type="http://schemas.openxmlformats.org/officeDocument/2006/relationships/oleObject" Target="embeddings/oleObject6.bin"/><Relationship Id="rId50" Type="http://schemas.openxmlformats.org/officeDocument/2006/relationships/image" Target="media/image16.wmf"/><Relationship Id="rId5" Type="http://schemas.openxmlformats.org/officeDocument/2006/relationships/footer" Target="footer1.xml"/><Relationship Id="rId49" Type="http://schemas.openxmlformats.org/officeDocument/2006/relationships/oleObject" Target="embeddings/oleObject5.bin"/><Relationship Id="rId48" Type="http://schemas.openxmlformats.org/officeDocument/2006/relationships/image" Target="media/image15.wmf"/><Relationship Id="rId47" Type="http://schemas.openxmlformats.org/officeDocument/2006/relationships/oleObject" Target="embeddings/oleObject4.bin"/><Relationship Id="rId46" Type="http://schemas.openxmlformats.org/officeDocument/2006/relationships/image" Target="media/image14.wmf"/><Relationship Id="rId45" Type="http://schemas.openxmlformats.org/officeDocument/2006/relationships/oleObject" Target="embeddings/oleObject3.bin"/><Relationship Id="rId44" Type="http://schemas.openxmlformats.org/officeDocument/2006/relationships/image" Target="media/image13.wmf"/><Relationship Id="rId43" Type="http://schemas.openxmlformats.org/officeDocument/2006/relationships/oleObject" Target="embeddings/oleObject2.bin"/><Relationship Id="rId42" Type="http://schemas.openxmlformats.org/officeDocument/2006/relationships/image" Target="media/image12.wmf"/><Relationship Id="rId41" Type="http://schemas.openxmlformats.org/officeDocument/2006/relationships/oleObject" Target="embeddings/oleObject1.bin"/><Relationship Id="rId40" Type="http://schemas.openxmlformats.org/officeDocument/2006/relationships/image" Target="media/image11.png"/><Relationship Id="rId4" Type="http://schemas.openxmlformats.org/officeDocument/2006/relationships/header" Target="header2.xml"/><Relationship Id="rId39" Type="http://schemas.openxmlformats.org/officeDocument/2006/relationships/image" Target="media/image10.png"/><Relationship Id="rId38" Type="http://schemas.openxmlformats.org/officeDocument/2006/relationships/image" Target="media/image9.png"/><Relationship Id="rId37" Type="http://schemas.openxmlformats.org/officeDocument/2006/relationships/image" Target="media/image8.png"/><Relationship Id="rId36" Type="http://schemas.openxmlformats.org/officeDocument/2006/relationships/image" Target="media/image7.jpeg"/><Relationship Id="rId35" Type="http://schemas.openxmlformats.org/officeDocument/2006/relationships/image" Target="media/image6.png"/><Relationship Id="rId34" Type="http://schemas.openxmlformats.org/officeDocument/2006/relationships/image" Target="media/image5.png"/><Relationship Id="rId33" Type="http://schemas.openxmlformats.org/officeDocument/2006/relationships/image" Target="media/image4.jpeg"/><Relationship Id="rId32" Type="http://schemas.openxmlformats.org/officeDocument/2006/relationships/image" Target="media/image3.png"/><Relationship Id="rId31" Type="http://schemas.openxmlformats.org/officeDocument/2006/relationships/image" Target="media/image2.png"/><Relationship Id="rId30" Type="http://schemas.openxmlformats.org/officeDocument/2006/relationships/image" Target="media/image1.png"/><Relationship Id="rId3" Type="http://schemas.openxmlformats.org/officeDocument/2006/relationships/header" Target="header1.xml"/><Relationship Id="rId29" Type="http://schemas.openxmlformats.org/officeDocument/2006/relationships/theme" Target="theme/theme1.xml"/><Relationship Id="rId28" Type="http://schemas.openxmlformats.org/officeDocument/2006/relationships/footer" Target="footer18.xml"/><Relationship Id="rId27" Type="http://schemas.openxmlformats.org/officeDocument/2006/relationships/header" Target="header8.xml"/><Relationship Id="rId26" Type="http://schemas.openxmlformats.org/officeDocument/2006/relationships/footer" Target="footer17.xml"/><Relationship Id="rId25" Type="http://schemas.openxmlformats.org/officeDocument/2006/relationships/footer" Target="footer16.xml"/><Relationship Id="rId24" Type="http://schemas.openxmlformats.org/officeDocument/2006/relationships/footer" Target="footer15.xml"/><Relationship Id="rId23" Type="http://schemas.openxmlformats.org/officeDocument/2006/relationships/footer" Target="footer14.xml"/><Relationship Id="rId22" Type="http://schemas.openxmlformats.org/officeDocument/2006/relationships/header" Target="header7.xml"/><Relationship Id="rId21" Type="http://schemas.openxmlformats.org/officeDocument/2006/relationships/footer" Target="footer13.xml"/><Relationship Id="rId20" Type="http://schemas.openxmlformats.org/officeDocument/2006/relationships/header" Target="header6.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footer" Target="footer11.xml"/><Relationship Id="rId17" Type="http://schemas.openxmlformats.org/officeDocument/2006/relationships/footer" Target="footer10.xml"/><Relationship Id="rId16" Type="http://schemas.openxmlformats.org/officeDocument/2006/relationships/header" Target="header5.xml"/><Relationship Id="rId15" Type="http://schemas.openxmlformats.org/officeDocument/2006/relationships/footer" Target="footer9.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246"/>
    <customShpInfo spid="_x0000_s1045"/>
    <customShpInfo spid="_x0000_s1046"/>
    <customShpInfo spid="_x0000_s1047"/>
    <customShpInfo spid="_x0000_s1048"/>
    <customShpInfo spid="_x0000_s1049"/>
    <customShpInfo spid="_x0000_s1050"/>
    <customShpInfo spid="_x0000_s1052"/>
    <customShpInfo spid="_x0000_s1056"/>
    <customShpInfo spid="_x0000_s1065"/>
    <customShpInfo spid="_x0000_s1066"/>
    <customShpInfo spid="_x0000_s1053"/>
    <customShpInfo spid="_x0000_s1067"/>
    <customShpInfo spid="_x0000_s1068"/>
    <customShpInfo spid="_x0000_s1069"/>
    <customShpInfo spid="_x0000_s1070"/>
    <customShpInfo spid="_x0000_s1071"/>
    <customShpInfo spid="_x0000_s1073"/>
    <customShpInfo spid="_x0000_s1074"/>
    <customShpInfo spid="_x0000_s1075"/>
    <customShpInfo spid="_x0000_s1078"/>
    <customShpInfo spid="_x0000_s1079"/>
    <customShpInfo spid="_x0000_s1080"/>
    <customShpInfo spid="_x0000_s1081"/>
    <customShpInfo spid="_x0000_s1083"/>
    <customShpInfo spid="_x0000_s1043"/>
    <customShpInfo spid="_x0000_s1038"/>
    <customShpInfo spid="_x0000_s1118"/>
    <customShpInfo spid="_x0000_s1117"/>
    <customShpInfo spid="_x0000_s1039"/>
    <customShpInfo spid="_x0000_s1040"/>
    <customShpInfo spid="_x0000_s1041"/>
    <customShpInfo spid="_x0000_s1042"/>
    <customShpInfo spid="_x0000_s1044"/>
    <customShpInfo spid="_x0000_s1051"/>
    <customShpInfo spid="_x0000_s1054"/>
    <customShpInfo spid="_x0000_s1055"/>
    <customShpInfo spid="_x0000_s1057"/>
    <customShpInfo spid="_x0000_s1058"/>
    <customShpInfo spid="_x0000_s1059"/>
    <customShpInfo spid="_x0000_s1060"/>
    <customShpInfo spid="_x0000_s1061"/>
    <customShpInfo spid="_x0000_s1062"/>
    <customShpInfo spid="_x0000_s1111"/>
    <customShpInfo spid="_x0000_s1112"/>
    <customShpInfo spid="_x0000_s1115"/>
    <customShpInfo spid="_x0000_s1116"/>
    <customShpInfo spid="_x0000_s1120"/>
    <customShpInfo spid="_x0000_s1121"/>
    <customShpInfo spid="_x0000_s1122"/>
    <customShpInfo spid="_x0000_s1123"/>
    <customShpInfo spid="_x0000_s1124"/>
    <customShpInfo spid="_x0000_s1125"/>
    <customShpInfo spid="_x0000_s1126"/>
    <customShpInfo spid="_x0000_s1127"/>
    <customShpInfo spid="_x0000_s1119"/>
    <customShpInfo spid="_x0000_s1274"/>
    <customShpInfo spid="_x0000_s1278"/>
    <customShpInfo spid="_x0000_s1279"/>
    <customShpInfo spid="_x0000_s1280"/>
    <customShpInfo spid="_x0000_s1281"/>
    <customShpInfo spid="_x0000_s1283"/>
    <customShpInfo spid="_x0000_s1284"/>
    <customShpInfo spid="_x0000_s1285"/>
    <customShpInfo spid="_x0000_s1286"/>
    <customShpInfo spid="_x0000_s1287"/>
    <customShpInfo spid="_x0000_s1288"/>
    <customShpInfo spid="_x0000_s1289"/>
    <customShpInfo spid="_x0000_s1290"/>
    <customShpInfo spid="_x0000_s1291"/>
    <customShpInfo spid="_x0000_s1292"/>
    <customShpInfo spid="_x0000_s1293"/>
    <customShpInfo spid="_x0000_s1294"/>
    <customShpInfo spid="_x0000_s1275"/>
    <customShpInfo spid="_x0000_s1192"/>
    <customShpInfo spid="_x0000_s1261"/>
    <customShpInfo spid="_x0000_s1262"/>
    <customShpInfo spid="_x0000_s1260"/>
    <customShpInfo spid="_x0000_s1263"/>
    <customShpInfo spid="_x0000_s1259"/>
    <customShpInfo spid="_x0000_s1063"/>
    <customShpInfo spid="_x0000_s1064"/>
    <customShpInfo spid="_x0000_s1128"/>
    <customShpInfo spid="_x0000_s1130"/>
    <customShpInfo spid="_x0000_s1131"/>
    <customShpInfo spid="_x0000_s1132"/>
    <customShpInfo spid="_x0000_s1133"/>
    <customShpInfo spid="_x0000_s1134"/>
    <customShpInfo spid="_x0000_s1136"/>
    <customShpInfo spid="_x0000_s1137"/>
    <customShpInfo spid="_x0000_s1138"/>
    <customShpInfo spid="_x0000_s1139"/>
    <customShpInfo spid="_x0000_s1140"/>
    <customShpInfo spid="_x0000_s1141"/>
    <customShpInfo spid="_x0000_s1203"/>
    <customShpInfo spid="_x0000_s1205"/>
    <customShpInfo spid="_x0000_s1206"/>
    <customShpInfo spid="_x0000_s1207"/>
    <customShpInfo spid="_x0000_s1208"/>
    <customShpInfo spid="_x0000_s1209"/>
    <customShpInfo spid="_x0000_s1210"/>
    <customShpInfo spid="_x0000_s1212"/>
    <customShpInfo spid="_x0000_s1213"/>
    <customShpInfo spid="_x0000_s1266" textRotate="1"/>
    <customShpInfo spid="_x0000_s1267" textRotate="1"/>
    <customShpInfo spid="_x0000_s1265"/>
    <customShpInfo spid="_x0000_s1268" textRotate="1"/>
    <customShpInfo spid="_x0000_s1264"/>
    <customShpInfo spid="_x0000_s1129"/>
    <customShpInfo spid="_x0000_s1160"/>
    <customShpInfo spid="_x0000_s1144"/>
    <customShpInfo spid="_x0000_s1147"/>
    <customShpInfo spid="_x0000_s1148"/>
    <customShpInfo spid="_x0000_s1149"/>
    <customShpInfo spid="_x0000_s1150"/>
    <customShpInfo spid="_x0000_s1151"/>
    <customShpInfo spid="_x0000_s1152"/>
    <customShpInfo spid="_x0000_s1155"/>
    <customShpInfo spid="_x0000_s1157"/>
    <customShpInfo spid="_x0000_s1158"/>
    <customShpInfo spid="_x0000_s1159"/>
    <customShpInfo spid="_x0000_s1161"/>
    <customShpInfo spid="_x0000_s1162"/>
    <customShpInfo spid="_x0000_s1164"/>
    <customShpInfo spid="_x0000_s1165"/>
    <customShpInfo spid="_x0000_s1219"/>
    <customShpInfo spid="_x0000_s1220"/>
    <customShpInfo spid="_x0000_s1221"/>
    <customShpInfo spid="_x0000_s1222"/>
    <customShpInfo spid="_x0000_s1223"/>
    <customShpInfo spid="_x0000_s1225"/>
    <customShpInfo spid="_x0000_s1226"/>
    <customShpInfo spid="_x0000_s1227"/>
    <customShpInfo spid="_x0000_s1228"/>
    <customShpInfo spid="_x0000_s1229"/>
    <customShpInfo spid="_x0000_s1230"/>
    <customShpInfo spid="_x0000_s1231"/>
    <customShpInfo spid="_x0000_s1271" textRotate="1"/>
    <customShpInfo spid="_x0000_s1272" textRotate="1"/>
    <customShpInfo spid="_x0000_s1270"/>
    <customShpInfo spid="_x0000_s1273" textRotate="1"/>
    <customShpInfo spid="_x0000_s1269"/>
    <customShpInfo spid="_x0000_s1143"/>
    <customShpInfo spid="_x0000_s1249"/>
    <customShpInfo spid="_x0000_s1250"/>
    <customShpInfo spid="_x0000_s1247"/>
    <customShpInfo spid="_x0000_s1248"/>
    <customShpInfo spid="_x0000_s1251"/>
    <customShpInfo spid="_x0000_s1252"/>
    <customShpInfo spid="_x0000_s1253"/>
    <customShpInfo spid="_x0000_s1254"/>
    <customShpInfo spid="_x0000_s1255"/>
    <customShpInfo spid="_x0000_s1256"/>
    <customShpInfo spid="_x0000_s1258"/>
    <customShpInfo spid="_x0000_s1257"/>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367F7D1-8132-46CE-9803-3A3903F7459E}">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74</Pages>
  <Words>6157</Words>
  <Characters>35097</Characters>
  <Lines>292</Lines>
  <Paragraphs>82</Paragraphs>
  <TotalTime>0</TotalTime>
  <ScaleCrop>false</ScaleCrop>
  <LinksUpToDate>false</LinksUpToDate>
  <CharactersWithSpaces>41172</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2017-07-31T00:57:00Z</dcterms:created>
  <dc:creator>微软用户</dc:creator>
  <cp:lastModifiedBy>hpb</cp:lastModifiedBy>
  <cp:lastPrinted>2017-07-11T12:00:00Z</cp:lastPrinted>
  <dcterms:modified xsi:type="dcterms:W3CDTF">2020-04-10T01:04:51Z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