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100" w:line="620" w:lineRule="exact"/>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江门市一次性塑料餐饮具</w:t>
      </w:r>
      <w:r>
        <w:rPr>
          <w:rFonts w:hint="eastAsia" w:ascii="方正小标宋简体" w:hAnsi="仿宋" w:eastAsia="方正小标宋简体" w:cs="方正仿宋简体"/>
          <w:bCs/>
          <w:color w:val="000000"/>
          <w:sz w:val="32"/>
          <w:szCs w:val="32"/>
        </w:rPr>
        <w:t>质量安全监督抽查</w:t>
      </w:r>
      <w:bookmarkStart w:id="1" w:name="_GoBack"/>
      <w:bookmarkEnd w:id="1"/>
      <w:r>
        <w:rPr>
          <w:rFonts w:hint="eastAsia" w:ascii="方正小标宋简体" w:hAnsi="仿宋" w:eastAsia="方正小标宋简体" w:cs="方正仿宋简体"/>
          <w:color w:val="000000"/>
          <w:sz w:val="32"/>
          <w:szCs w:val="32"/>
        </w:rPr>
        <w:t>实施细则</w:t>
      </w:r>
    </w:p>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本细则适用于江门市生产环节中一次性塑料餐饮具的市级监督抽查,监督抽查产品范围一次性塑料餐饮具（碗、碟、杯、刀、叉、勺、饭盒、托等）。</w:t>
      </w:r>
    </w:p>
    <w:p>
      <w:pPr>
        <w:snapToGrid w:val="0"/>
        <w:spacing w:line="360" w:lineRule="auto"/>
        <w:rPr>
          <w:rFonts w:hint="eastAsia"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p>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随机数一般可使用随机数表、随机数骰子或扑克牌等方法产生。</w:t>
      </w:r>
    </w:p>
    <w:p>
      <w:pPr>
        <w:widowControl/>
        <w:spacing w:line="360" w:lineRule="auto"/>
        <w:jc w:val="left"/>
        <w:rPr>
          <w:rFonts w:hint="eastAsia" w:ascii="黑体" w:hAnsi="黑体" w:eastAsia="黑体"/>
          <w:kern w:val="0"/>
          <w:sz w:val="28"/>
          <w:szCs w:val="28"/>
        </w:rPr>
      </w:pPr>
      <w:r>
        <w:rPr>
          <w:rFonts w:hint="eastAsia" w:ascii="黑体" w:hAnsi="宋体" w:eastAsia="黑体"/>
          <w:color w:val="000000"/>
          <w:szCs w:val="21"/>
        </w:rPr>
        <w:t>2 检验依据</w:t>
      </w:r>
    </w:p>
    <w:p>
      <w:pPr>
        <w:snapToGrid w:val="0"/>
        <w:spacing w:line="440" w:lineRule="exact"/>
        <w:rPr>
          <w:rFonts w:ascii="仿宋_GB2312" w:hAnsi="仿宋_GB2312" w:eastAsia="仿宋_GB2312" w:cs="仿宋_GB2312"/>
          <w:b/>
          <w:kern w:val="0"/>
        </w:rPr>
      </w:pPr>
      <w:bookmarkStart w:id="0" w:name="OLE_LINK1"/>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011"/>
        <w:gridCol w:w="1590"/>
        <w:gridCol w:w="1984"/>
        <w:gridCol w:w="1007"/>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1"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590"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84"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59" w:type="dxa"/>
            <w:gridSpan w:val="2"/>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continue"/>
            <w:vAlign w:val="center"/>
          </w:tcPr>
          <w:p>
            <w:pPr>
              <w:snapToGrid w:val="0"/>
              <w:jc w:val="center"/>
              <w:rPr>
                <w:rFonts w:ascii="仿宋_GB2312" w:hAnsi="仿宋_GB2312" w:eastAsia="仿宋_GB2312" w:cs="仿宋_GB2312"/>
                <w:kern w:val="0"/>
                <w:szCs w:val="21"/>
              </w:rPr>
            </w:pPr>
          </w:p>
        </w:tc>
        <w:tc>
          <w:tcPr>
            <w:tcW w:w="2011" w:type="dxa"/>
            <w:vMerge w:val="continue"/>
            <w:vAlign w:val="center"/>
          </w:tcPr>
          <w:p>
            <w:pPr>
              <w:snapToGrid w:val="0"/>
              <w:jc w:val="center"/>
              <w:rPr>
                <w:rFonts w:ascii="仿宋_GB2312" w:hAnsi="仿宋_GB2312" w:eastAsia="仿宋_GB2312" w:cs="仿宋_GB2312"/>
                <w:kern w:val="0"/>
                <w:szCs w:val="21"/>
              </w:rPr>
            </w:pPr>
          </w:p>
        </w:tc>
        <w:tc>
          <w:tcPr>
            <w:tcW w:w="1590" w:type="dxa"/>
            <w:vMerge w:val="continue"/>
            <w:vAlign w:val="center"/>
          </w:tcPr>
          <w:p>
            <w:pPr>
              <w:snapToGrid w:val="0"/>
              <w:jc w:val="center"/>
              <w:rPr>
                <w:rFonts w:ascii="仿宋_GB2312" w:hAnsi="仿宋_GB2312" w:eastAsia="仿宋_GB2312" w:cs="仿宋_GB2312"/>
                <w:kern w:val="0"/>
                <w:szCs w:val="21"/>
              </w:rPr>
            </w:pPr>
          </w:p>
        </w:tc>
        <w:tc>
          <w:tcPr>
            <w:tcW w:w="1984" w:type="dxa"/>
            <w:vMerge w:val="continue"/>
            <w:vAlign w:val="center"/>
          </w:tcPr>
          <w:p>
            <w:pPr>
              <w:snapToGrid w:val="0"/>
              <w:jc w:val="center"/>
              <w:rPr>
                <w:rFonts w:ascii="仿宋_GB2312" w:hAnsi="仿宋_GB2312" w:eastAsia="仿宋_GB2312" w:cs="仿宋_GB2312"/>
                <w:kern w:val="0"/>
                <w:szCs w:val="21"/>
              </w:rPr>
            </w:pP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A类a</w:t>
            </w:r>
          </w:p>
        </w:tc>
        <w:tc>
          <w:tcPr>
            <w:tcW w:w="105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31604.8</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31604.9</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脱色试验(仅适用添加了着色剂的产品)</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4806.7</w:t>
            </w:r>
          </w:p>
        </w:tc>
        <w:tc>
          <w:tcPr>
            <w:tcW w:w="19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31604.7</w:t>
            </w: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snapToGrid w:val="0"/>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snapToGrid w:val="0"/>
        <w:spacing w:line="360" w:lineRule="auto"/>
        <w:rPr>
          <w:rFonts w:ascii="宋体" w:hAnsi="宋体"/>
          <w:color w:val="000000"/>
          <w:szCs w:val="21"/>
        </w:rPr>
      </w:pPr>
      <w:r>
        <w:rPr>
          <w:rFonts w:hint="eastAsia" w:ascii="宋体" w:hAnsi="宋体"/>
          <w:color w:val="000000"/>
          <w:szCs w:val="21"/>
        </w:rPr>
        <w:t>注：①极重要质量项目是指直接涉及人体健康、使用安全的指标；重要质量项目是指产品涉及环保、能效、关键性能或特征值的指标。</w:t>
      </w:r>
    </w:p>
    <w:p>
      <w:pPr>
        <w:snapToGrid w:val="0"/>
        <w:spacing w:line="360" w:lineRule="auto"/>
        <w:ind w:firstLine="420" w:firstLineChars="200"/>
        <w:rPr>
          <w:rFonts w:ascii="仿宋_GB2312" w:hAnsi="仿宋_GB2312" w:eastAsia="仿宋_GB2312" w:cs="仿宋_GB2312"/>
          <w:szCs w:val="21"/>
        </w:rPr>
      </w:pPr>
      <w:r>
        <w:rPr>
          <w:rFonts w:hint="eastAsia" w:ascii="宋体" w:hAnsi="宋体"/>
          <w:color w:val="000000"/>
          <w:szCs w:val="21"/>
        </w:rPr>
        <w:t>②上表所列检验项目是有关法律法规、标准等规定的，重点涉及健康、安全、节能、环保以及消费者、有关组织反映有质量问题的重要项目。</w:t>
      </w:r>
    </w:p>
    <w:bookmarkEnd w:id="0"/>
    <w:p>
      <w:pPr>
        <w:widowControl/>
        <w:spacing w:line="360" w:lineRule="auto"/>
        <w:ind w:firstLine="420" w:firstLineChars="200"/>
        <w:jc w:val="left"/>
        <w:rPr>
          <w:rFonts w:hint="eastAsia" w:ascii="仿宋_GB2312" w:hAnsi="仿宋_GB2312" w:eastAsia="仿宋_GB2312" w:cs="仿宋_GB2312"/>
          <w:kern w:val="0"/>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4806.7-2016食品安全国家标准 食品接触用塑料材料及制品</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4806.6-2016 食品安全国家标准 食品接触用塑料树脂</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31604.2-2016 食品安全国家标准 高锰酸钾消耗量的测定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31604.7-2016 食品安全国家标准 脱色试验</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31604.8-2016 食品安全国家标准 总迁移量的测定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31604.9-2016 食品安全国家标准 食品模拟物中重金属的测定</w:t>
      </w:r>
    </w:p>
    <w:p>
      <w:pPr>
        <w:snapToGrid w:val="0"/>
        <w:spacing w:line="360" w:lineRule="auto"/>
        <w:ind w:firstLine="359" w:firstLineChars="171"/>
        <w:rPr>
          <w:rFonts w:hint="eastAsia" w:ascii="宋体" w:hAnsi="宋体"/>
          <w:color w:val="000000"/>
          <w:szCs w:val="21"/>
        </w:rPr>
      </w:pPr>
      <w:r>
        <w:rPr>
          <w:rFonts w:hint="eastAsia" w:ascii="宋体" w:hAnsi="宋体"/>
          <w:color w:val="000000"/>
          <w:szCs w:val="21"/>
        </w:rPr>
        <w:t>GB/T 32094-2015 塑料保鲜盒</w:t>
      </w:r>
    </w:p>
    <w:p>
      <w:pPr>
        <w:snapToGrid w:val="0"/>
        <w:spacing w:line="360" w:lineRule="auto"/>
        <w:ind w:firstLine="359" w:firstLineChars="171"/>
        <w:rPr>
          <w:rFonts w:ascii="宋体" w:hAnsi="宋体"/>
          <w:color w:val="000000"/>
          <w:szCs w:val="21"/>
        </w:rPr>
      </w:pPr>
      <w:r>
        <w:rPr>
          <w:rFonts w:ascii="宋体" w:hAnsi="宋体"/>
          <w:color w:val="000000"/>
          <w:szCs w:val="21"/>
        </w:rPr>
        <w:t>GB/T 18006.1-2009</w:t>
      </w:r>
      <w:r>
        <w:rPr>
          <w:rFonts w:hint="eastAsia" w:ascii="宋体" w:hAnsi="宋体"/>
          <w:color w:val="000000"/>
          <w:szCs w:val="21"/>
        </w:rPr>
        <w:t xml:space="preserve"> 塑料一次性餐饮具通用技术要求</w:t>
      </w:r>
    </w:p>
    <w:p>
      <w:pPr>
        <w:adjustRightInd w:val="0"/>
        <w:snapToGrid w:val="0"/>
        <w:spacing w:line="360" w:lineRule="auto"/>
        <w:ind w:firstLine="420" w:firstLineChars="200"/>
        <w:rPr>
          <w:rFonts w:ascii="宋体" w:hAnsi="宋体" w:cs="宋体"/>
          <w:szCs w:val="21"/>
        </w:rPr>
      </w:pPr>
      <w:r>
        <w:rPr>
          <w:rFonts w:hint="eastAsia" w:ascii="宋体" w:hAnsi="宋体"/>
          <w:color w:val="000000"/>
          <w:szCs w:val="21"/>
        </w:rPr>
        <w:t>《食品相关产品生产许可实施细则（一）食品用塑料包装容器工具等制品部分》</w:t>
      </w:r>
    </w:p>
    <w:p>
      <w:pPr>
        <w:adjustRightInd w:val="0"/>
        <w:snapToGrid w:val="0"/>
        <w:spacing w:line="360" w:lineRule="auto"/>
        <w:ind w:firstLine="420" w:firstLineChars="200"/>
        <w:rPr>
          <w:rFonts w:ascii="宋体" w:hAnsi="宋体" w:cs="宋体"/>
          <w:szCs w:val="21"/>
        </w:rPr>
      </w:pPr>
      <w:r>
        <w:rPr>
          <w:rFonts w:hint="eastAsia" w:ascii="宋体" w:hAnsi="宋体"/>
          <w:color w:val="000000"/>
          <w:szCs w:val="21"/>
        </w:rPr>
        <w:t>现行有效的企业标准、团体标准、地方标准及产品明示质量要求</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adjustRightInd w:val="0"/>
        <w:snapToGrid w:val="0"/>
        <w:spacing w:line="360" w:lineRule="auto"/>
        <w:ind w:firstLine="420" w:firstLineChars="200"/>
        <w:rPr>
          <w:rFonts w:ascii="宋体" w:hAnsi="宋体" w:cs="宋体"/>
          <w:szCs w:val="21"/>
        </w:rPr>
      </w:pPr>
      <w:r>
        <w:rPr>
          <w:rFonts w:hint="eastAsia" w:ascii="宋体" w:hAnsi="宋体"/>
          <w:color w:val="000000"/>
          <w:szCs w:val="21"/>
        </w:rPr>
        <w:t>若被检产品明示的质量要求缺少本细则中检验项目依据的推荐性标准要求时，该项目不参与判定。</w:t>
      </w:r>
    </w:p>
    <w:p>
      <w:pPr>
        <w:spacing w:line="620" w:lineRule="exact"/>
        <w:jc w:val="center"/>
        <w:rPr>
          <w:rFonts w:hint="eastAsia" w:ascii="文鼎小标宋简" w:hAnsi="宋体" w:eastAsia="文鼎小标宋简" w:cs="宋体"/>
          <w:bCs/>
          <w:sz w:val="44"/>
          <w:szCs w:val="44"/>
        </w:rPr>
      </w:pPr>
    </w:p>
    <w:p>
      <w:pPr>
        <w:spacing w:line="620" w:lineRule="exact"/>
        <w:jc w:val="center"/>
        <w:rPr>
          <w:rFonts w:hint="eastAsia" w:ascii="文鼎小标宋简" w:hAnsi="宋体" w:eastAsia="文鼎小标宋简" w:cs="宋体"/>
          <w:bCs/>
          <w:sz w:val="44"/>
          <w:szCs w:val="44"/>
        </w:rPr>
      </w:pPr>
    </w:p>
    <w:p>
      <w:pPr>
        <w:spacing w:line="620" w:lineRule="exact"/>
        <w:rPr>
          <w:rFonts w:hint="eastAsia" w:ascii="文鼎小标宋简" w:hAnsi="宋体" w:eastAsia="文鼎小标宋简" w:cs="宋体"/>
          <w:bCs/>
          <w:sz w:val="44"/>
          <w:szCs w:val="44"/>
        </w:rPr>
      </w:pPr>
    </w:p>
    <w:p>
      <w:pPr>
        <w:widowControl/>
        <w:jc w:val="left"/>
        <w:rPr>
          <w:rFonts w:hint="eastAsia"/>
          <w:b/>
        </w:rPr>
      </w:pPr>
    </w:p>
    <w:p>
      <w:pPr>
        <w:widowControl/>
        <w:jc w:val="left"/>
        <w:rPr>
          <w:rFonts w:hint="eastAsia"/>
          <w:b/>
        </w:rPr>
      </w:pPr>
    </w:p>
    <w:p>
      <w:pPr>
        <w:widowControl/>
        <w:jc w:val="left"/>
        <w:rPr>
          <w:rFonts w:hint="eastAsia"/>
          <w:b/>
        </w:rPr>
      </w:pPr>
    </w:p>
    <w:p>
      <w:pPr>
        <w:widowControl/>
        <w:jc w:val="left"/>
        <w:rPr>
          <w:rFonts w:hint="eastAsia"/>
          <w:b/>
        </w:rPr>
      </w:pPr>
    </w:p>
    <w:p>
      <w:pPr>
        <w:widowControl/>
        <w:jc w:val="left"/>
        <w:rPr>
          <w:rFonts w:hint="eastAsia"/>
          <w:b/>
        </w:rPr>
      </w:pPr>
    </w:p>
    <w:p>
      <w:pPr>
        <w:widowControl/>
        <w:jc w:val="left"/>
        <w:rPr>
          <w:rFonts w:hint="eastAsia"/>
          <w:b/>
        </w:rPr>
      </w:pPr>
    </w:p>
    <w:p>
      <w:pPr>
        <w:spacing w:line="620" w:lineRule="exact"/>
        <w:rPr>
          <w:rFonts w:hint="eastAsia" w:ascii="文鼎小标宋简" w:hAnsi="宋体" w:eastAsia="文鼎小标宋简" w:cs="宋体"/>
          <w:bCs/>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文鼎小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3C29"/>
    <w:rsid w:val="000703AD"/>
    <w:rsid w:val="00163C29"/>
    <w:rsid w:val="00192D47"/>
    <w:rsid w:val="002A422E"/>
    <w:rsid w:val="003133AB"/>
    <w:rsid w:val="003518A6"/>
    <w:rsid w:val="004D2989"/>
    <w:rsid w:val="00515A01"/>
    <w:rsid w:val="00BC26AE"/>
    <w:rsid w:val="00F776A5"/>
    <w:rsid w:val="4CE24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193</Words>
  <Characters>1104</Characters>
  <Lines>9</Lines>
  <Paragraphs>2</Paragraphs>
  <TotalTime>8</TotalTime>
  <ScaleCrop>false</ScaleCrop>
  <LinksUpToDate>false</LinksUpToDate>
  <CharactersWithSpaces>1295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2019-07-12T00:31:00Z</dcterms:created>
  <dc:creator>陈卓辉</dc:creator>
  <cp:lastModifiedBy>Administrator</cp:lastModifiedBy>
  <dcterms:modified xsi:type="dcterms:W3CDTF">2020-05-11T06:55:43Z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