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文鼎小标宋简" w:hAnsi="宋体" w:eastAsia="文鼎小标宋简" w:cs="宋体"/>
          <w:bCs/>
          <w:sz w:val="44"/>
          <w:szCs w:val="44"/>
        </w:rPr>
      </w:pPr>
      <w:r>
        <w:rPr>
          <w:rFonts w:hint="eastAsia" w:ascii="方正小标宋简体" w:hAnsi="仿宋" w:eastAsia="方正小标宋简体" w:cs="方正仿宋简体"/>
          <w:color w:val="000000"/>
          <w:sz w:val="32"/>
          <w:szCs w:val="32"/>
        </w:rPr>
        <w:t>江门市食品用塑料容器工具</w:t>
      </w: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widowControl/>
        <w:jc w:val="left"/>
        <w:rPr>
          <w:b/>
        </w:rPr>
      </w:pPr>
    </w:p>
    <w:p>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本细则适用于江门市生产环节中食品用塑料容器工具的市级监督抽查。</w:t>
      </w:r>
    </w:p>
    <w:p>
      <w:pPr>
        <w:snapToGrid w:val="0"/>
        <w:spacing w:line="360" w:lineRule="auto"/>
        <w:rPr>
          <w:rFonts w:hint="eastAsia" w:ascii="黑体" w:hAnsi="宋体" w:eastAsia="黑体"/>
          <w:color w:val="000000"/>
          <w:szCs w:val="21"/>
        </w:rPr>
      </w:pPr>
      <w:r>
        <w:rPr>
          <w:rFonts w:hint="eastAsia" w:ascii="黑体" w:hAnsi="宋体" w:eastAsia="黑体"/>
          <w:color w:val="000000"/>
          <w:szCs w:val="21"/>
        </w:rPr>
        <w:t>1 抽样方法</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以随机抽样的方式在被抽样生产者的待销产品中抽取。</w:t>
      </w:r>
      <w:bookmarkStart w:id="0" w:name="_GoBack"/>
      <w:bookmarkEnd w:id="0"/>
    </w:p>
    <w:p>
      <w:pPr>
        <w:widowControl/>
        <w:spacing w:line="360" w:lineRule="auto"/>
        <w:ind w:firstLine="420" w:firstLineChars="200"/>
        <w:jc w:val="left"/>
        <w:rPr>
          <w:rFonts w:ascii="仿宋_GB2312" w:hAnsi="仿宋_GB2312" w:eastAsia="仿宋_GB2312" w:cs="仿宋_GB2312"/>
          <w:kern w:val="0"/>
          <w:sz w:val="28"/>
          <w:szCs w:val="28"/>
        </w:rPr>
      </w:pPr>
      <w:r>
        <w:rPr>
          <w:rFonts w:hint="eastAsia" w:ascii="宋体" w:hAnsi="宋体"/>
          <w:color w:val="000000"/>
          <w:szCs w:val="21"/>
        </w:rPr>
        <w:t>随机数一般可使用随机数表、随机数骰子或扑克牌等方法产生。</w:t>
      </w:r>
    </w:p>
    <w:p>
      <w:pPr>
        <w:widowControl/>
        <w:spacing w:line="360" w:lineRule="auto"/>
        <w:jc w:val="left"/>
        <w:rPr>
          <w:rFonts w:hint="eastAsia" w:ascii="黑体" w:hAnsi="黑体" w:eastAsia="黑体"/>
          <w:kern w:val="0"/>
          <w:sz w:val="28"/>
          <w:szCs w:val="28"/>
        </w:rPr>
      </w:pPr>
      <w:r>
        <w:rPr>
          <w:rFonts w:hint="eastAsia" w:ascii="黑体" w:hAnsi="宋体" w:eastAsia="黑体"/>
          <w:color w:val="000000"/>
          <w:szCs w:val="21"/>
        </w:rPr>
        <w:t>2 检验依据</w:t>
      </w:r>
    </w:p>
    <w:p>
      <w:pPr>
        <w:widowControl/>
        <w:jc w:val="left"/>
        <w:rPr>
          <w:b/>
        </w:rPr>
      </w:pP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1922"/>
        <w:gridCol w:w="2084"/>
        <w:gridCol w:w="1041"/>
        <w:gridCol w:w="1749"/>
        <w:gridCol w:w="594"/>
        <w:gridCol w:w="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538"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1922"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检验项目</w:t>
            </w:r>
          </w:p>
        </w:tc>
        <w:tc>
          <w:tcPr>
            <w:tcW w:w="2084"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依据法律法规或标准条款</w:t>
            </w:r>
          </w:p>
        </w:tc>
        <w:tc>
          <w:tcPr>
            <w:tcW w:w="1041"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强制性/推荐性</w:t>
            </w:r>
          </w:p>
        </w:tc>
        <w:tc>
          <w:tcPr>
            <w:tcW w:w="1749"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检测方法 </w:t>
            </w:r>
          </w:p>
        </w:tc>
        <w:tc>
          <w:tcPr>
            <w:tcW w:w="1188" w:type="dxa"/>
            <w:gridSpan w:val="2"/>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538" w:type="dxa"/>
            <w:vMerge w:val="continue"/>
            <w:vAlign w:val="center"/>
          </w:tcPr>
          <w:p>
            <w:pPr>
              <w:snapToGrid w:val="0"/>
              <w:jc w:val="center"/>
              <w:rPr>
                <w:rFonts w:ascii="仿宋_GB2312" w:hAnsi="仿宋_GB2312" w:eastAsia="仿宋_GB2312" w:cs="仿宋_GB2312"/>
                <w:kern w:val="0"/>
                <w:szCs w:val="21"/>
              </w:rPr>
            </w:pPr>
          </w:p>
        </w:tc>
        <w:tc>
          <w:tcPr>
            <w:tcW w:w="1922" w:type="dxa"/>
            <w:vMerge w:val="continue"/>
            <w:vAlign w:val="center"/>
          </w:tcPr>
          <w:p>
            <w:pPr>
              <w:snapToGrid w:val="0"/>
              <w:jc w:val="center"/>
              <w:rPr>
                <w:rFonts w:ascii="仿宋_GB2312" w:hAnsi="仿宋_GB2312" w:eastAsia="仿宋_GB2312" w:cs="仿宋_GB2312"/>
                <w:kern w:val="0"/>
                <w:szCs w:val="21"/>
              </w:rPr>
            </w:pPr>
          </w:p>
        </w:tc>
        <w:tc>
          <w:tcPr>
            <w:tcW w:w="2084" w:type="dxa"/>
            <w:vMerge w:val="continue"/>
            <w:vAlign w:val="center"/>
          </w:tcPr>
          <w:p>
            <w:pPr>
              <w:snapToGrid w:val="0"/>
              <w:jc w:val="center"/>
              <w:rPr>
                <w:rFonts w:ascii="仿宋_GB2312" w:hAnsi="仿宋_GB2312" w:eastAsia="仿宋_GB2312" w:cs="仿宋_GB2312"/>
                <w:kern w:val="0"/>
                <w:szCs w:val="21"/>
              </w:rPr>
            </w:pPr>
          </w:p>
        </w:tc>
        <w:tc>
          <w:tcPr>
            <w:tcW w:w="1041" w:type="dxa"/>
            <w:vMerge w:val="continue"/>
            <w:vAlign w:val="center"/>
          </w:tcPr>
          <w:p>
            <w:pPr>
              <w:snapToGrid w:val="0"/>
              <w:jc w:val="center"/>
              <w:rPr>
                <w:rFonts w:ascii="仿宋_GB2312" w:hAnsi="仿宋_GB2312" w:eastAsia="仿宋_GB2312" w:cs="仿宋_GB2312"/>
                <w:kern w:val="0"/>
                <w:szCs w:val="21"/>
              </w:rPr>
            </w:pPr>
          </w:p>
        </w:tc>
        <w:tc>
          <w:tcPr>
            <w:tcW w:w="1749" w:type="dxa"/>
            <w:vMerge w:val="continue"/>
            <w:vAlign w:val="center"/>
          </w:tcPr>
          <w:p>
            <w:pPr>
              <w:snapToGrid w:val="0"/>
              <w:jc w:val="center"/>
              <w:rPr>
                <w:rFonts w:ascii="仿宋_GB2312" w:hAnsi="仿宋_GB2312" w:eastAsia="仿宋_GB2312" w:cs="仿宋_GB2312"/>
                <w:kern w:val="0"/>
                <w:szCs w:val="21"/>
              </w:rPr>
            </w:pPr>
          </w:p>
        </w:tc>
        <w:tc>
          <w:tcPr>
            <w:tcW w:w="594"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A类a</w:t>
            </w:r>
          </w:p>
        </w:tc>
        <w:tc>
          <w:tcPr>
            <w:tcW w:w="594"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B类b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53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192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感官指标</w:t>
            </w:r>
          </w:p>
        </w:tc>
        <w:tc>
          <w:tcPr>
            <w:tcW w:w="20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GB4806.7-2016</w:t>
            </w:r>
          </w:p>
        </w:tc>
        <w:tc>
          <w:tcPr>
            <w:tcW w:w="1041"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w:t>
            </w:r>
          </w:p>
        </w:tc>
        <w:tc>
          <w:tcPr>
            <w:tcW w:w="1749"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GB4806.7-2016</w:t>
            </w:r>
          </w:p>
        </w:tc>
        <w:tc>
          <w:tcPr>
            <w:tcW w:w="59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594"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192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总迁移量</w:t>
            </w:r>
          </w:p>
        </w:tc>
        <w:tc>
          <w:tcPr>
            <w:tcW w:w="2084"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GB4806.7-2016</w:t>
            </w:r>
          </w:p>
        </w:tc>
        <w:tc>
          <w:tcPr>
            <w:tcW w:w="1041"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w:t>
            </w:r>
          </w:p>
        </w:tc>
        <w:tc>
          <w:tcPr>
            <w:tcW w:w="1749"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31604.8-2016</w:t>
            </w:r>
          </w:p>
        </w:tc>
        <w:tc>
          <w:tcPr>
            <w:tcW w:w="59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594"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192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高锰酸钾消耗量</w:t>
            </w:r>
          </w:p>
        </w:tc>
        <w:tc>
          <w:tcPr>
            <w:tcW w:w="2084"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GB4806.7-2016</w:t>
            </w:r>
          </w:p>
        </w:tc>
        <w:tc>
          <w:tcPr>
            <w:tcW w:w="1041"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w:t>
            </w:r>
          </w:p>
        </w:tc>
        <w:tc>
          <w:tcPr>
            <w:tcW w:w="1749"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31604.2-2016</w:t>
            </w:r>
          </w:p>
        </w:tc>
        <w:tc>
          <w:tcPr>
            <w:tcW w:w="59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594"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192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重金属（以Pb计）</w:t>
            </w:r>
          </w:p>
        </w:tc>
        <w:tc>
          <w:tcPr>
            <w:tcW w:w="2084"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GB4806.7-2016</w:t>
            </w:r>
          </w:p>
        </w:tc>
        <w:tc>
          <w:tcPr>
            <w:tcW w:w="1041"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w:t>
            </w:r>
          </w:p>
        </w:tc>
        <w:tc>
          <w:tcPr>
            <w:tcW w:w="1749"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31604.9-2016</w:t>
            </w:r>
          </w:p>
        </w:tc>
        <w:tc>
          <w:tcPr>
            <w:tcW w:w="59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594"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192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脱色试验 </w:t>
            </w:r>
          </w:p>
        </w:tc>
        <w:tc>
          <w:tcPr>
            <w:tcW w:w="2084"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GB4806.7-2016</w:t>
            </w:r>
          </w:p>
        </w:tc>
        <w:tc>
          <w:tcPr>
            <w:tcW w:w="1041" w:type="dxa"/>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w:t>
            </w:r>
          </w:p>
        </w:tc>
        <w:tc>
          <w:tcPr>
            <w:tcW w:w="1749"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31604.7-2016</w:t>
            </w:r>
          </w:p>
        </w:tc>
        <w:tc>
          <w:tcPr>
            <w:tcW w:w="59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594"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192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锑（以Sb计）（限PET材质）</w:t>
            </w:r>
          </w:p>
        </w:tc>
        <w:tc>
          <w:tcPr>
            <w:tcW w:w="20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GB4806.6-2016</w:t>
            </w:r>
          </w:p>
        </w:tc>
        <w:tc>
          <w:tcPr>
            <w:tcW w:w="1041"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w:t>
            </w:r>
          </w:p>
        </w:tc>
        <w:tc>
          <w:tcPr>
            <w:tcW w:w="1749"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31604.41-2016</w:t>
            </w:r>
          </w:p>
        </w:tc>
        <w:tc>
          <w:tcPr>
            <w:tcW w:w="59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594"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192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酚(蒸馏水)</w:t>
            </w:r>
          </w:p>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（限PC材质）</w:t>
            </w:r>
          </w:p>
        </w:tc>
        <w:tc>
          <w:tcPr>
            <w:tcW w:w="20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4806.6</w:t>
            </w:r>
          </w:p>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-2016</w:t>
            </w:r>
          </w:p>
        </w:tc>
        <w:tc>
          <w:tcPr>
            <w:tcW w:w="1041"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w:t>
            </w:r>
          </w:p>
        </w:tc>
        <w:tc>
          <w:tcPr>
            <w:tcW w:w="1749"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31604.46-2016</w:t>
            </w:r>
          </w:p>
        </w:tc>
        <w:tc>
          <w:tcPr>
            <w:tcW w:w="59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594"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192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己内酰胺 </w:t>
            </w:r>
          </w:p>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（限尼龙材质）</w:t>
            </w:r>
          </w:p>
        </w:tc>
        <w:tc>
          <w:tcPr>
            <w:tcW w:w="20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4806.6</w:t>
            </w:r>
          </w:p>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-2016</w:t>
            </w:r>
          </w:p>
        </w:tc>
        <w:tc>
          <w:tcPr>
            <w:tcW w:w="1041"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w:t>
            </w:r>
          </w:p>
        </w:tc>
        <w:tc>
          <w:tcPr>
            <w:tcW w:w="1749"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31604.19-2016</w:t>
            </w:r>
          </w:p>
        </w:tc>
        <w:tc>
          <w:tcPr>
            <w:tcW w:w="59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594"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8"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192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氯乙烯单体（限PVC材质）</w:t>
            </w:r>
          </w:p>
        </w:tc>
        <w:tc>
          <w:tcPr>
            <w:tcW w:w="208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4806.6</w:t>
            </w:r>
          </w:p>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-2016</w:t>
            </w:r>
          </w:p>
        </w:tc>
        <w:tc>
          <w:tcPr>
            <w:tcW w:w="1041"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强制性</w:t>
            </w:r>
          </w:p>
        </w:tc>
        <w:tc>
          <w:tcPr>
            <w:tcW w:w="1749"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31604.31-2016</w:t>
            </w:r>
          </w:p>
        </w:tc>
        <w:tc>
          <w:tcPr>
            <w:tcW w:w="594"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594" w:type="dxa"/>
            <w:vAlign w:val="center"/>
          </w:tcPr>
          <w:p>
            <w:pPr>
              <w:snapToGrid w:val="0"/>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2" w:type="dxa"/>
            <w:gridSpan w:val="7"/>
            <w:vAlign w:val="center"/>
          </w:tcPr>
          <w:p>
            <w:pPr>
              <w:snapToGrid w:val="0"/>
              <w:rPr>
                <w:rFonts w:ascii="仿宋_GB2312" w:hAnsi="仿宋_GB2312" w:eastAsia="仿宋_GB2312" w:cs="仿宋_GB2312"/>
                <w:kern w:val="0"/>
                <w:szCs w:val="21"/>
              </w:rPr>
            </w:pPr>
            <w:r>
              <w:rPr>
                <w:rFonts w:hint="eastAsia" w:ascii="仿宋_GB2312" w:hAnsi="仿宋_GB2312" w:eastAsia="仿宋_GB2312" w:cs="仿宋_GB2312"/>
                <w:kern w:val="0"/>
                <w:szCs w:val="21"/>
              </w:rPr>
              <w:t>注：a极重要质量项目；b重要质量项目。</w:t>
            </w:r>
          </w:p>
        </w:tc>
      </w:tr>
    </w:tbl>
    <w:p>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注：①极重要质量项目是指直接涉及人体健康、使用安全的指标；重要质量项目是指产品涉及环保、能效、关键性能或特征值的指标。</w:t>
      </w:r>
    </w:p>
    <w:p>
      <w:pPr>
        <w:snapToGrid w:val="0"/>
        <w:spacing w:line="360"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②上表所列检验项目是有关法律法规、标准等规定的，重点涉及健康、安全、节能、环保以及消费者、有关组织反映有质量问题的重要项目。</w:t>
      </w:r>
    </w:p>
    <w:p>
      <w:pPr>
        <w:snapToGrid w:val="0"/>
        <w:spacing w:line="360" w:lineRule="auto"/>
        <w:ind w:firstLine="420" w:firstLineChars="200"/>
        <w:rPr>
          <w:rFonts w:ascii="仿宋_GB2312" w:hAnsi="仿宋_GB2312" w:eastAsia="仿宋_GB2312" w:cs="仿宋_GB2312"/>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360" w:lineRule="auto"/>
        <w:ind w:firstLine="420" w:firstLineChars="200"/>
        <w:rPr>
          <w:rFonts w:ascii="仿宋_GB2312" w:hAnsi="仿宋_GB2312" w:eastAsia="仿宋_GB2312" w:cs="仿宋_GB2312"/>
          <w:szCs w:val="21"/>
        </w:rPr>
      </w:pPr>
    </w:p>
    <w:p>
      <w:pPr>
        <w:spacing w:beforeLines="50" w:line="360" w:lineRule="auto"/>
        <w:ind w:left="420" w:hanging="420" w:hangingChars="200"/>
        <w:outlineLvl w:val="0"/>
        <w:rPr>
          <w:rFonts w:ascii="黑体" w:hAnsi="黑体" w:eastAsia="黑体"/>
          <w:color w:val="000000"/>
          <w:szCs w:val="21"/>
        </w:rPr>
      </w:pPr>
      <w:r>
        <w:rPr>
          <w:rFonts w:hint="eastAsia" w:ascii="黑体" w:hAnsi="黑体" w:eastAsia="黑体"/>
          <w:color w:val="000000"/>
          <w:szCs w:val="21"/>
        </w:rPr>
        <w:t>3 判定规则</w:t>
      </w:r>
    </w:p>
    <w:p>
      <w:pPr>
        <w:snapToGrid w:val="0"/>
        <w:spacing w:line="360" w:lineRule="auto"/>
        <w:rPr>
          <w:rFonts w:ascii="宋体" w:hAnsi="宋体"/>
          <w:color w:val="000000"/>
          <w:szCs w:val="21"/>
        </w:rPr>
      </w:pPr>
      <w:r>
        <w:rPr>
          <w:rFonts w:hint="eastAsia" w:ascii="宋体" w:hAnsi="宋体"/>
          <w:color w:val="000000"/>
          <w:szCs w:val="21"/>
        </w:rPr>
        <w:t>3.1 依据标准</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4806.7-2016食品安全国家标准 食品接触用塑料材料及制品</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4806.6-2016 食品安全国家标准 食品接触用塑料树脂</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31604.2-2016 食品安全国家标准 高锰酸钾消耗量的测定</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31604.7-2016 食品安全国家标准 脱色试验</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31604.8-2016 食品安全国家标准 总迁移量的测定</w:t>
      </w:r>
    </w:p>
    <w:p>
      <w:pPr>
        <w:snapToGrid w:val="0"/>
        <w:spacing w:line="360" w:lineRule="auto"/>
        <w:ind w:firstLine="359" w:firstLineChars="171"/>
        <w:rPr>
          <w:rFonts w:hint="eastAsia" w:ascii="宋体" w:hAnsi="宋体"/>
          <w:color w:val="000000"/>
          <w:szCs w:val="21"/>
        </w:rPr>
      </w:pPr>
      <w:r>
        <w:rPr>
          <w:rFonts w:hint="eastAsia" w:ascii="宋体" w:hAnsi="宋体"/>
          <w:color w:val="000000"/>
          <w:szCs w:val="21"/>
        </w:rPr>
        <w:t>GB 31604.9-2016 食品安全国家标准 食品模拟物中重金属的测定</w:t>
      </w:r>
    </w:p>
    <w:p>
      <w:pPr>
        <w:snapToGrid w:val="0"/>
        <w:spacing w:line="360" w:lineRule="auto"/>
        <w:ind w:firstLine="359" w:firstLineChars="171"/>
        <w:rPr>
          <w:rFonts w:hint="eastAsia" w:ascii="宋体" w:hAnsi="宋体"/>
          <w:color w:val="000000"/>
          <w:szCs w:val="21"/>
        </w:rPr>
      </w:pPr>
      <w:r>
        <w:rPr>
          <w:rFonts w:hint="eastAsia" w:ascii="宋体" w:hAnsi="宋体"/>
          <w:color w:val="000000"/>
          <w:szCs w:val="21"/>
        </w:rPr>
        <w:t>《食品相关产品生产许可实施细则（一）食品用塑料包装容器工具等制品部分》</w:t>
      </w:r>
    </w:p>
    <w:p>
      <w:pPr>
        <w:snapToGrid w:val="0"/>
        <w:spacing w:line="360" w:lineRule="auto"/>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360" w:lineRule="auto"/>
        <w:outlineLvl w:val="0"/>
        <w:rPr>
          <w:rFonts w:ascii="宋体" w:hAnsi="宋体"/>
          <w:color w:val="000000"/>
          <w:szCs w:val="21"/>
        </w:rPr>
      </w:pPr>
      <w:r>
        <w:rPr>
          <w:rFonts w:hint="eastAsia" w:ascii="宋体" w:hAnsi="宋体"/>
          <w:color w:val="000000"/>
          <w:szCs w:val="21"/>
        </w:rPr>
        <w:t>3.2判定原则</w:t>
      </w:r>
    </w:p>
    <w:p>
      <w:pPr>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经检验，检验项目全部合格，判定为被抽查产品合格；检验项目中任一项或一项以上不合格，判定为被抽查产品不合格。当产品存在A类项目不合格时，属于严重不合格。</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widowControl/>
        <w:spacing w:line="360" w:lineRule="auto"/>
        <w:ind w:firstLine="420" w:firstLineChars="200"/>
        <w:jc w:val="left"/>
        <w:rPr>
          <w:rFonts w:ascii="仿宋_GB2312" w:hAnsi="仿宋_GB2312" w:eastAsia="仿宋_GB2312" w:cs="仿宋_GB2312"/>
          <w:kern w:val="0"/>
          <w:sz w:val="28"/>
          <w:szCs w:val="28"/>
        </w:rPr>
      </w:pPr>
      <w:r>
        <w:rPr>
          <w:rFonts w:hint="eastAsia" w:ascii="宋体" w:hAnsi="宋体"/>
          <w:color w:val="000000"/>
          <w:szCs w:val="21"/>
        </w:rPr>
        <w:t>若被检产品明示的质量要求缺少本细则中检验项目依据的强制性标准要求时，应按照强制性标准要求判定。</w:t>
      </w:r>
    </w:p>
    <w:p>
      <w:pPr>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鼎小标宋简">
    <w:altName w:val="微软雅黑"/>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4547981"/>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B14BD"/>
    <w:rsid w:val="00143D32"/>
    <w:rsid w:val="001A7812"/>
    <w:rsid w:val="00347B36"/>
    <w:rsid w:val="003B14BD"/>
    <w:rsid w:val="004D2989"/>
    <w:rsid w:val="008D5CB7"/>
    <w:rsid w:val="00953263"/>
    <w:rsid w:val="009E0A4B"/>
    <w:rsid w:val="00A02099"/>
    <w:rsid w:val="00AB3D2E"/>
    <w:rsid w:val="00B8477D"/>
    <w:rsid w:val="00BC4686"/>
    <w:rsid w:val="00CF2821"/>
    <w:rsid w:val="709B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204</Words>
  <Characters>1163</Characters>
  <Lines>9</Lines>
  <Paragraphs>2</Paragraphs>
  <TotalTime>4</TotalTime>
  <ScaleCrop>false</ScaleCrop>
  <LinksUpToDate>false</LinksUpToDate>
  <CharactersWithSpaces>1365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2019-07-12T00:30:00Z</dcterms:created>
  <dc:creator>陈卓辉</dc:creator>
  <cp:lastModifiedBy>Administrator</cp:lastModifiedBy>
  <dcterms:modified xsi:type="dcterms:W3CDTF">2020-05-11T06:56:24Z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