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firstLine="0" w:firstLineChars="0"/>
        <w:jc w:val="center"/>
        <w:rPr>
          <w:rFonts w:cs="Times New Roman"/>
          <w:b/>
          <w:sz w:val="72"/>
          <w:szCs w:val="20"/>
        </w:rPr>
      </w:pPr>
      <w:r>
        <w:rPr>
          <w:rFonts w:cs="Times New Roman"/>
          <w:b/>
          <w:sz w:val="72"/>
          <w:szCs w:val="20"/>
        </w:rPr>
        <w:drawing>
          <wp:inline distT="0" distB="0" distL="0" distR="0">
            <wp:extent cx="5518785" cy="7726045"/>
            <wp:effectExtent l="19050" t="0" r="5715" b="0"/>
            <wp:docPr id="2" name="图片 4" descr="D:\Desktop\微信图片_2020031614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D:\Desktop\微信图片_20200316140038.jpg"/>
                    <pic:cNvPicPr>
                      <a:picLocks noChangeAspect="1" noChangeArrowheads="1"/>
                    </pic:cNvPicPr>
                  </pic:nvPicPr>
                  <pic:blipFill>
                    <a:blip r:embed="rId11" cstate="print"/>
                    <a:srcRect/>
                    <a:stretch>
                      <a:fillRect/>
                    </a:stretch>
                  </pic:blipFill>
                  <pic:spPr>
                    <a:xfrm>
                      <a:off x="0" y="0"/>
                      <a:ext cx="5518785" cy="7726299"/>
                    </a:xfrm>
                    <a:prstGeom prst="rect">
                      <a:avLst/>
                    </a:prstGeom>
                    <a:noFill/>
                    <a:ln w="9525">
                      <a:noFill/>
                      <a:miter lim="800000"/>
                      <a:headEnd/>
                      <a:tailEnd/>
                    </a:ln>
                  </pic:spPr>
                </pic:pic>
              </a:graphicData>
            </a:graphic>
          </wp:inline>
        </w:drawing>
      </w:r>
    </w:p>
    <w:p>
      <w:pPr>
        <w:ind w:firstLine="480"/>
        <w:rPr>
          <w:rFonts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797" w:header="851" w:footer="992" w:gutter="0"/>
          <w:cols w:space="425" w:num="1"/>
          <w:docGrid w:type="lines" w:linePitch="312" w:charSpace="0"/>
        </w:sectPr>
      </w:pPr>
    </w:p>
    <w:p>
      <w:pPr>
        <w:ind w:firstLine="480"/>
        <w:jc w:val="center"/>
        <w:rPr>
          <w:rFonts w:cs="Times New Roman"/>
        </w:rPr>
      </w:pPr>
      <w:r>
        <w:rPr>
          <w:rFonts w:cs="Times New Roman"/>
        </w:rPr>
        <w:drawing>
          <wp:anchor distT="0" distB="0" distL="114300" distR="114300" simplePos="0" relativeHeight="251658240" behindDoc="0" locked="0" layoutInCell="1" allowOverlap="1">
            <wp:simplePos x="0" y="0"/>
            <wp:positionH relativeFrom="margin">
              <wp:posOffset>242570</wp:posOffset>
            </wp:positionH>
            <wp:positionV relativeFrom="margin">
              <wp:align>top</wp:align>
            </wp:positionV>
            <wp:extent cx="8572500" cy="571500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tretch>
                      <a:fillRect/>
                    </a:stretch>
                  </pic:blipFill>
                  <pic:spPr>
                    <a:xfrm>
                      <a:off x="0" y="0"/>
                      <a:ext cx="8572500" cy="5715000"/>
                    </a:xfrm>
                    <a:prstGeom prst="rect">
                      <a:avLst/>
                    </a:prstGeom>
                  </pic:spPr>
                </pic:pic>
              </a:graphicData>
            </a:graphic>
          </wp:anchor>
        </w:drawing>
      </w:r>
    </w:p>
    <w:p>
      <w:pPr>
        <w:ind w:firstLine="480"/>
        <w:rPr>
          <w:rFonts w:cs="Times New Roman"/>
        </w:rPr>
        <w:sectPr>
          <w:pgSz w:w="16838" w:h="11906" w:orient="landscape"/>
          <w:pgMar w:top="1797" w:right="1418" w:bottom="1418" w:left="1418" w:header="851" w:footer="992" w:gutter="0"/>
          <w:cols w:space="425" w:num="1"/>
          <w:docGrid w:type="lines" w:linePitch="312" w:charSpace="0"/>
        </w:sectPr>
      </w:pPr>
    </w:p>
    <w:p>
      <w:pPr>
        <w:tabs>
          <w:tab w:val="left" w:pos="525"/>
        </w:tabs>
        <w:ind w:firstLine="0" w:firstLineChars="0"/>
        <w:jc w:val="center"/>
        <w:rPr>
          <w:rFonts w:cs="Times New Roman"/>
          <w:bCs/>
          <w:szCs w:val="38"/>
        </w:rPr>
        <w:sectPr>
          <w:pgSz w:w="11906" w:h="16838"/>
          <w:pgMar w:top="1418" w:right="1418" w:bottom="1418" w:left="1797" w:header="851" w:footer="992" w:gutter="0"/>
          <w:cols w:space="425" w:num="1"/>
          <w:docGrid w:type="lines" w:linePitch="312" w:charSpace="0"/>
        </w:sectPr>
      </w:pPr>
      <w:r>
        <w:rPr>
          <w:rFonts w:cs="Times New Roman"/>
          <w:bCs/>
          <w:szCs w:val="38"/>
        </w:rPr>
        <w:pict>
          <v:rect id="_x0000_s1072" o:spid="_x0000_s1072" o:spt="1" style="position:absolute;left:0pt;margin-left:167.3pt;margin-top:298.45pt;height:62.65pt;width:116.9pt;z-index:251737088;mso-width-relative:page;mso-height-relative:page;" coordsize="21600,21600">
            <v:path/>
            <v:fill focussize="0,0"/>
            <v:stroke/>
            <v:imagedata o:title=""/>
            <o:lock v:ext="edit"/>
          </v:rect>
        </w:pict>
      </w:r>
      <w:r>
        <w:rPr>
          <w:rFonts w:cs="Times New Roman"/>
          <w:bCs/>
          <w:szCs w:val="38"/>
        </w:rPr>
        <w:drawing>
          <wp:inline distT="0" distB="0" distL="0" distR="0">
            <wp:extent cx="5518785" cy="8462010"/>
            <wp:effectExtent l="19050" t="0" r="5715" b="0"/>
            <wp:docPr id="3" name="图片 6" descr="D:\Desktop\微信图片_2020031614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Desktop\微信图片_202003161400382.jpg"/>
                    <pic:cNvPicPr>
                      <a:picLocks noChangeAspect="1" noChangeArrowheads="1"/>
                    </pic:cNvPicPr>
                  </pic:nvPicPr>
                  <pic:blipFill>
                    <a:blip r:embed="rId13" cstate="print"/>
                    <a:srcRect/>
                    <a:stretch>
                      <a:fillRect/>
                    </a:stretch>
                  </pic:blipFill>
                  <pic:spPr>
                    <a:xfrm>
                      <a:off x="0" y="0"/>
                      <a:ext cx="5518785" cy="8462137"/>
                    </a:xfrm>
                    <a:prstGeom prst="rect">
                      <a:avLst/>
                    </a:prstGeom>
                    <a:noFill/>
                    <a:ln w="9525">
                      <a:noFill/>
                      <a:miter lim="800000"/>
                      <a:headEnd/>
                      <a:tailEnd/>
                    </a:ln>
                  </pic:spPr>
                </pic:pic>
              </a:graphicData>
            </a:graphic>
          </wp:inline>
        </w:drawing>
      </w:r>
    </w:p>
    <w:p>
      <w:pPr>
        <w:tabs>
          <w:tab w:val="left" w:pos="525"/>
        </w:tabs>
        <w:ind w:firstLine="0" w:firstLineChars="0"/>
        <w:rPr>
          <w:rFonts w:cs="Times New Roman"/>
          <w:bCs/>
          <w:szCs w:val="38"/>
        </w:rPr>
      </w:pPr>
      <w:r>
        <w:rPr>
          <w:rFonts w:cs="Times New Roman"/>
          <w:bCs/>
          <w:szCs w:val="38"/>
        </w:rPr>
        <w:drawing>
          <wp:inline distT="0" distB="0" distL="0" distR="0">
            <wp:extent cx="5534660" cy="7277100"/>
            <wp:effectExtent l="19050" t="0" r="88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5538270" cy="7281800"/>
                    </a:xfrm>
                    <a:prstGeom prst="rect">
                      <a:avLst/>
                    </a:prstGeom>
                  </pic:spPr>
                </pic:pic>
              </a:graphicData>
            </a:graphic>
          </wp:inline>
        </w:drawing>
      </w:r>
    </w:p>
    <w:p>
      <w:pPr>
        <w:tabs>
          <w:tab w:val="left" w:pos="525"/>
        </w:tabs>
        <w:ind w:firstLine="0" w:firstLineChars="0"/>
        <w:rPr>
          <w:rFonts w:cs="Times New Roman"/>
          <w:bCs/>
          <w:szCs w:val="38"/>
        </w:rPr>
        <w:sectPr>
          <w:pgSz w:w="11906" w:h="16838"/>
          <w:pgMar w:top="1418" w:right="1418" w:bottom="1418" w:left="1797" w:header="851" w:footer="992" w:gutter="0"/>
          <w:cols w:space="425" w:num="1"/>
          <w:docGrid w:type="lines" w:linePitch="312" w:charSpace="0"/>
        </w:sectPr>
      </w:pPr>
    </w:p>
    <w:p>
      <w:pPr>
        <w:tabs>
          <w:tab w:val="left" w:pos="525"/>
        </w:tabs>
        <w:ind w:firstLine="0" w:firstLineChars="0"/>
        <w:jc w:val="center"/>
        <w:rPr>
          <w:rFonts w:cs="Times New Roman"/>
          <w:bCs/>
          <w:szCs w:val="38"/>
        </w:rPr>
      </w:pPr>
      <w:r>
        <w:rPr>
          <w:rFonts w:cs="Times New Roman"/>
          <w:bCs/>
          <w:szCs w:val="38"/>
        </w:rPr>
        <w:drawing>
          <wp:inline distT="0" distB="0" distL="0" distR="0">
            <wp:extent cx="4969510" cy="6686550"/>
            <wp:effectExtent l="19050" t="0" r="2318"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cstate="print"/>
                    <a:stretch>
                      <a:fillRect/>
                    </a:stretch>
                  </pic:blipFill>
                  <pic:spPr>
                    <a:xfrm>
                      <a:off x="0" y="0"/>
                      <a:ext cx="4979892" cy="6700219"/>
                    </a:xfrm>
                    <a:prstGeom prst="rect">
                      <a:avLst/>
                    </a:prstGeom>
                  </pic:spPr>
                </pic:pic>
              </a:graphicData>
            </a:graphic>
          </wp:inline>
        </w:drawing>
      </w:r>
    </w:p>
    <w:p>
      <w:pPr>
        <w:tabs>
          <w:tab w:val="left" w:pos="525"/>
        </w:tabs>
        <w:ind w:firstLine="0" w:firstLineChars="0"/>
        <w:jc w:val="center"/>
        <w:rPr>
          <w:rFonts w:cs="Times New Roman"/>
          <w:bCs/>
          <w:szCs w:val="38"/>
        </w:rPr>
      </w:pPr>
      <w:r>
        <w:rPr>
          <w:rFonts w:cs="Times New Roman"/>
          <w:bCs/>
          <w:szCs w:val="38"/>
        </w:rPr>
        <w:drawing>
          <wp:inline distT="0" distB="0" distL="0" distR="0">
            <wp:extent cx="5422265" cy="7867650"/>
            <wp:effectExtent l="19050" t="0" r="695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stretch>
                      <a:fillRect/>
                    </a:stretch>
                  </pic:blipFill>
                  <pic:spPr>
                    <a:xfrm>
                      <a:off x="0" y="0"/>
                      <a:ext cx="5426595" cy="7873884"/>
                    </a:xfrm>
                    <a:prstGeom prst="rect">
                      <a:avLst/>
                    </a:prstGeom>
                  </pic:spPr>
                </pic:pic>
              </a:graphicData>
            </a:graphic>
          </wp:inline>
        </w:drawing>
      </w:r>
    </w:p>
    <w:p>
      <w:pPr>
        <w:tabs>
          <w:tab w:val="left" w:pos="525"/>
        </w:tabs>
        <w:ind w:firstLine="0" w:firstLineChars="0"/>
        <w:jc w:val="center"/>
        <w:rPr>
          <w:rFonts w:cs="Times New Roman"/>
          <w:bCs/>
          <w:szCs w:val="38"/>
        </w:rPr>
      </w:pPr>
      <w:r>
        <w:rPr>
          <w:rFonts w:cs="Times New Roman"/>
          <w:bCs/>
          <w:szCs w:val="38"/>
        </w:rPr>
        <w:br w:type="page"/>
      </w:r>
    </w:p>
    <w:p>
      <w:pPr>
        <w:ind w:firstLine="0" w:firstLineChars="0"/>
        <w:rPr>
          <w:rFonts w:cs="Times New Roman"/>
          <w:color w:val="000000" w:themeColor="text1"/>
          <w:szCs w:val="24"/>
        </w:rPr>
      </w:pPr>
    </w:p>
    <w:p>
      <w:pPr>
        <w:ind w:firstLine="0" w:firstLineChars="0"/>
        <w:rPr>
          <w:rFonts w:cs="Times New Roman"/>
          <w:color w:val="000000" w:themeColor="text1"/>
          <w:szCs w:val="24"/>
        </w:rPr>
      </w:pPr>
      <w:r>
        <w:rPr>
          <w:rFonts w:cs="Times New Roman"/>
          <w:color w:val="000000" w:themeColor="text1"/>
          <w:szCs w:val="24"/>
        </w:rPr>
        <w:pict>
          <v:rect id="_x0000_s1073" o:spid="_x0000_s1073" o:spt="1" style="position:absolute;left:0pt;margin-left:118.65pt;margin-top:336.75pt;height:24.35pt;width:47.7pt;z-index:251738112;mso-width-relative:page;mso-height-relative:page;" coordsize="21600,21600">
            <v:path/>
            <v:fill focussize="0,0"/>
            <v:stroke/>
            <v:imagedata o:title=""/>
            <o:lock v:ext="edit"/>
          </v:rect>
        </w:pict>
      </w:r>
      <w:r>
        <w:rPr>
          <w:rFonts w:cs="Times New Roman"/>
          <w:color w:val="000000" w:themeColor="text1"/>
          <w:szCs w:val="24"/>
        </w:rPr>
        <w:t xml:space="preserve">             </w:t>
      </w:r>
      <w:r>
        <w:rPr>
          <w:rFonts w:cs="Times New Roman"/>
          <w:color w:val="000000" w:themeColor="text1"/>
          <w:szCs w:val="24"/>
        </w:rPr>
        <w:drawing>
          <wp:inline distT="0" distB="0" distL="0" distR="0">
            <wp:extent cx="5518785" cy="7358380"/>
            <wp:effectExtent l="19050" t="0" r="5715" b="0"/>
            <wp:docPr id="7" name="图片 7" descr="D:\Desktop\微信图片_2020031614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esktop\微信图片_202003161400386.jpg"/>
                    <pic:cNvPicPr>
                      <a:picLocks noChangeAspect="1" noChangeArrowheads="1"/>
                    </pic:cNvPicPr>
                  </pic:nvPicPr>
                  <pic:blipFill>
                    <a:blip r:embed="rId17" cstate="print"/>
                    <a:srcRect/>
                    <a:stretch>
                      <a:fillRect/>
                    </a:stretch>
                  </pic:blipFill>
                  <pic:spPr>
                    <a:xfrm>
                      <a:off x="0" y="0"/>
                      <a:ext cx="5518785" cy="7358380"/>
                    </a:xfrm>
                    <a:prstGeom prst="rect">
                      <a:avLst/>
                    </a:prstGeom>
                    <a:noFill/>
                    <a:ln w="9525">
                      <a:noFill/>
                      <a:miter lim="800000"/>
                      <a:headEnd/>
                      <a:tailEnd/>
                    </a:ln>
                  </pic:spPr>
                </pic:pic>
              </a:graphicData>
            </a:graphic>
          </wp:inline>
        </w:drawing>
      </w:r>
      <w:r>
        <w:rPr>
          <w:rFonts w:cs="Times New Roman"/>
          <w:color w:val="000000" w:themeColor="text1"/>
          <w:szCs w:val="24"/>
        </w:rPr>
        <w:t xml:space="preserve">      </w:t>
      </w:r>
    </w:p>
    <w:p>
      <w:pPr>
        <w:ind w:firstLine="0" w:firstLineChars="0"/>
        <w:rPr>
          <w:rFonts w:cs="Times New Roman"/>
          <w:color w:val="000000" w:themeColor="text1"/>
          <w:szCs w:val="24"/>
        </w:rPr>
      </w:pPr>
    </w:p>
    <w:p>
      <w:pPr>
        <w:ind w:firstLine="0" w:firstLineChars="0"/>
        <w:rPr>
          <w:rFonts w:cs="Times New Roman"/>
          <w:color w:val="000000" w:themeColor="text1"/>
          <w:szCs w:val="24"/>
        </w:rPr>
      </w:pPr>
    </w:p>
    <w:p>
      <w:pPr>
        <w:ind w:firstLine="0" w:firstLineChars="0"/>
        <w:jc w:val="center"/>
        <w:rPr>
          <w:rFonts w:cs="Times New Roman"/>
          <w:color w:val="000000" w:themeColor="text1"/>
          <w:szCs w:val="21"/>
        </w:rPr>
      </w:pPr>
    </w:p>
    <w:p>
      <w:pPr>
        <w:ind w:firstLine="0" w:firstLineChars="0"/>
        <w:rPr>
          <w:rFonts w:cs="Times New Roman"/>
        </w:rPr>
      </w:pPr>
      <w:r>
        <w:rPr>
          <w:rFonts w:cs="Times New Roman"/>
          <w:color w:val="000000"/>
          <w:sz w:val="36"/>
          <w:szCs w:val="36"/>
        </w:rPr>
        <w:pict>
          <v:rect id="_x0000_s1074" o:spid="_x0000_s1074" o:spt="1" style="position:absolute;left:0pt;margin-left:156.05pt;margin-top:419.95pt;height:30.85pt;width:46.8pt;z-index:251739136;mso-width-relative:page;mso-height-relative:page;" coordsize="21600,21600">
            <v:path/>
            <v:fill focussize="0,0"/>
            <v:stroke/>
            <v:imagedata o:title=""/>
            <o:lock v:ext="edit"/>
          </v:rect>
        </w:pict>
      </w:r>
      <w:r>
        <w:rPr>
          <w:rFonts w:cs="Times New Roman"/>
          <w:color w:val="000000"/>
          <w:sz w:val="36"/>
          <w:szCs w:val="36"/>
        </w:rPr>
        <w:drawing>
          <wp:inline distT="0" distB="0" distL="0" distR="0">
            <wp:extent cx="5518785" cy="7358380"/>
            <wp:effectExtent l="19050" t="0" r="5715" b="0"/>
            <wp:docPr id="8" name="图片 8" descr="D:\Desktop\微信图片_2020031614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esktop\微信图片_202003161400387.jpg"/>
                    <pic:cNvPicPr>
                      <a:picLocks noChangeAspect="1" noChangeArrowheads="1"/>
                    </pic:cNvPicPr>
                  </pic:nvPicPr>
                  <pic:blipFill>
                    <a:blip r:embed="rId18" cstate="print"/>
                    <a:srcRect/>
                    <a:stretch>
                      <a:fillRect/>
                    </a:stretch>
                  </pic:blipFill>
                  <pic:spPr>
                    <a:xfrm>
                      <a:off x="0" y="0"/>
                      <a:ext cx="5518785" cy="7358380"/>
                    </a:xfrm>
                    <a:prstGeom prst="rect">
                      <a:avLst/>
                    </a:prstGeom>
                    <a:noFill/>
                    <a:ln w="9525">
                      <a:noFill/>
                      <a:miter lim="800000"/>
                      <a:headEnd/>
                      <a:tailEnd/>
                    </a:ln>
                  </pic:spPr>
                </pic:pic>
              </a:graphicData>
            </a:graphic>
          </wp:inline>
        </w:drawing>
      </w:r>
    </w:p>
    <w:p>
      <w:pPr>
        <w:tabs>
          <w:tab w:val="left" w:pos="525"/>
        </w:tabs>
        <w:spacing w:line="480" w:lineRule="auto"/>
        <w:ind w:firstLine="562"/>
        <w:jc w:val="center"/>
        <w:rPr>
          <w:rFonts w:cs="Times New Roman"/>
          <w:b/>
          <w:sz w:val="28"/>
          <w:szCs w:val="28"/>
        </w:rPr>
        <w:sectPr>
          <w:pgSz w:w="11906" w:h="16838"/>
          <w:pgMar w:top="1418" w:right="1418" w:bottom="1418" w:left="1797" w:header="851" w:footer="992" w:gutter="0"/>
          <w:cols w:space="425" w:num="1"/>
          <w:docGrid w:type="lines" w:linePitch="312" w:charSpace="0"/>
        </w:sectPr>
      </w:pPr>
    </w:p>
    <w:p>
      <w:pPr>
        <w:tabs>
          <w:tab w:val="left" w:pos="525"/>
        </w:tabs>
        <w:spacing w:line="480" w:lineRule="auto"/>
        <w:ind w:firstLine="562"/>
        <w:jc w:val="center"/>
        <w:rPr>
          <w:rFonts w:cs="Times New Roman"/>
          <w:b/>
          <w:sz w:val="28"/>
          <w:szCs w:val="28"/>
        </w:rPr>
      </w:pPr>
      <w:r>
        <w:rPr>
          <w:rFonts w:cs="Times New Roman"/>
          <w:b/>
          <w:sz w:val="28"/>
          <w:szCs w:val="28"/>
        </w:rPr>
        <w:t>《建设项目环境影响报告表》编制说明</w:t>
      </w:r>
    </w:p>
    <w:p>
      <w:pPr>
        <w:spacing w:line="480" w:lineRule="auto"/>
        <w:ind w:firstLine="480"/>
        <w:rPr>
          <w:rFonts w:cs="Times New Roman"/>
        </w:rPr>
      </w:pPr>
      <w:r>
        <w:rPr>
          <w:rFonts w:cs="Times New Roman"/>
        </w:rPr>
        <w:t>《建设项目环境影响报告表》由具有从事环境影响评价技术能力的单位编制。</w:t>
      </w:r>
    </w:p>
    <w:p>
      <w:pPr>
        <w:spacing w:line="480" w:lineRule="auto"/>
        <w:ind w:firstLine="480"/>
        <w:rPr>
          <w:rFonts w:cs="Times New Roman"/>
        </w:rPr>
      </w:pPr>
      <w:r>
        <w:rPr>
          <w:rFonts w:cs="Times New Roman"/>
        </w:rPr>
        <w:t>1．项目名称――指项目立项批复时的名称，应不超过30个字（两个英文字段作一个汉字）。</w:t>
      </w:r>
    </w:p>
    <w:p>
      <w:pPr>
        <w:spacing w:line="480" w:lineRule="auto"/>
        <w:ind w:firstLine="480"/>
        <w:rPr>
          <w:rFonts w:cs="Times New Roman"/>
        </w:rPr>
      </w:pPr>
      <w:r>
        <w:rPr>
          <w:rFonts w:cs="Times New Roman"/>
        </w:rPr>
        <w:t>2．建设地点――指项目所在地详细地址，公路、铁路应填写起止地点。</w:t>
      </w:r>
    </w:p>
    <w:p>
      <w:pPr>
        <w:spacing w:line="480" w:lineRule="auto"/>
        <w:ind w:firstLine="480"/>
        <w:rPr>
          <w:rFonts w:cs="Times New Roman"/>
        </w:rPr>
      </w:pPr>
      <w:r>
        <w:rPr>
          <w:rFonts w:cs="Times New Roman"/>
        </w:rPr>
        <w:t>3．行业类别――按国标填写。</w:t>
      </w:r>
    </w:p>
    <w:p>
      <w:pPr>
        <w:spacing w:line="480" w:lineRule="auto"/>
        <w:ind w:firstLine="480"/>
        <w:rPr>
          <w:rFonts w:cs="Times New Roman"/>
        </w:rPr>
      </w:pPr>
      <w:r>
        <w:rPr>
          <w:rFonts w:cs="Times New Roman"/>
        </w:rPr>
        <w:t>4．总投资――指项目投资总额。</w:t>
      </w:r>
    </w:p>
    <w:p>
      <w:pPr>
        <w:spacing w:line="480" w:lineRule="auto"/>
        <w:ind w:firstLine="480"/>
        <w:rPr>
          <w:rFonts w:cs="Times New Roman"/>
        </w:rPr>
      </w:pPr>
      <w:r>
        <w:rPr>
          <w:rFonts w:cs="Times New Roman"/>
        </w:rPr>
        <w:t>5．主要环境保护目标――指项目区周围一定范围内集中居民住宅区、学校、医院、保护文物、风景名胜区、水源地和生态敏感点等，应尽可能给出保护目标、性质、规模和距厂界距离等。</w:t>
      </w:r>
    </w:p>
    <w:p>
      <w:pPr>
        <w:spacing w:line="480" w:lineRule="auto"/>
        <w:ind w:firstLine="480"/>
        <w:rPr>
          <w:rFonts w:cs="Times New Roman"/>
        </w:rPr>
      </w:pPr>
      <w:r>
        <w:rPr>
          <w:rFonts w:cs="Times New Roman"/>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480"/>
        <w:rPr>
          <w:rFonts w:cs="Times New Roman"/>
        </w:rPr>
      </w:pPr>
      <w:r>
        <w:rPr>
          <w:rFonts w:cs="Times New Roman"/>
        </w:rPr>
        <w:t>7．预审意见――由行业主管部门填写答复意见，无主管部门项目，可不填。</w:t>
      </w:r>
    </w:p>
    <w:p>
      <w:pPr>
        <w:tabs>
          <w:tab w:val="center" w:pos="4585"/>
        </w:tabs>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15"/>
        <w:rPr>
          <w:rFonts w:cs="Times New Roman"/>
          <w:b/>
          <w:bCs/>
          <w:sz w:val="28"/>
          <w:szCs w:val="28"/>
        </w:rPr>
      </w:pPr>
      <w:r>
        <w:rPr>
          <w:rFonts w:cs="Times New Roman"/>
          <w:b/>
          <w:bCs/>
          <w:sz w:val="28"/>
          <w:szCs w:val="28"/>
        </w:rPr>
        <w:t>目 录</w:t>
      </w:r>
    </w:p>
    <w:p>
      <w:pPr>
        <w:pStyle w:val="15"/>
        <w:rPr>
          <w:rFonts w:asciiTheme="minorHAnsi" w:hAnsiTheme="minorHAnsi" w:eastAsiaTheme="minorEastAsia"/>
          <w:sz w:val="21"/>
        </w:rPr>
      </w:pPr>
      <w:r>
        <w:rPr>
          <w:rFonts w:cs="Times New Roman"/>
        </w:rPr>
        <w:fldChar w:fldCharType="begin"/>
      </w:r>
      <w:r>
        <w:rPr>
          <w:rFonts w:cs="Times New Roman"/>
        </w:rPr>
        <w:instrText xml:space="preserve"> TOC \o "1-1" \h \z \u </w:instrText>
      </w:r>
      <w:r>
        <w:rPr>
          <w:rFonts w:cs="Times New Roman"/>
        </w:rPr>
        <w:fldChar w:fldCharType="separate"/>
      </w:r>
      <w:r>
        <w:fldChar w:fldCharType="begin"/>
      </w:r>
      <w:r>
        <w:instrText xml:space="preserve"> HYPERLINK \l "_Toc27729830" </w:instrText>
      </w:r>
      <w:r>
        <w:fldChar w:fldCharType="separate"/>
      </w:r>
      <w:r>
        <w:rPr>
          <w:rStyle w:val="25"/>
          <w:rFonts w:cs="Times New Roman"/>
        </w:rPr>
        <w:t>1 建设项目基本情况</w:t>
      </w:r>
      <w:r>
        <w:tab/>
      </w:r>
      <w:r>
        <w:fldChar w:fldCharType="begin"/>
      </w:r>
      <w:r>
        <w:instrText xml:space="preserve"> PAGEREF _Toc27729830 \h </w:instrText>
      </w:r>
      <w:r>
        <w:fldChar w:fldCharType="separate"/>
      </w:r>
      <w:r>
        <w:t>1</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"_Toc27729831" </w:instrText>
      </w:r>
      <w:r>
        <w:fldChar w:fldCharType="separate"/>
      </w:r>
      <w:r>
        <w:rPr>
          <w:rStyle w:val="25"/>
          <w:rFonts w:cs="Times New Roman"/>
        </w:rPr>
        <w:t>2 建设项目所在地自然环境简况</w:t>
      </w:r>
      <w:r>
        <w:tab/>
      </w:r>
      <w:r>
        <w:fldChar w:fldCharType="begin"/>
      </w:r>
      <w:r>
        <w:instrText xml:space="preserve"> PAGEREF _Toc27729831 \h </w:instrText>
      </w:r>
      <w:r>
        <w:fldChar w:fldCharType="separate"/>
      </w:r>
      <w:r>
        <w:t>10</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"_Toc27729832" </w:instrText>
      </w:r>
      <w:r>
        <w:fldChar w:fldCharType="separate"/>
      </w:r>
      <w:r>
        <w:rPr>
          <w:rStyle w:val="25"/>
          <w:rFonts w:cs="Times New Roman"/>
        </w:rPr>
        <w:t>3 环境质量状况</w:t>
      </w:r>
      <w:r>
        <w:tab/>
      </w:r>
      <w:r>
        <w:fldChar w:fldCharType="begin"/>
      </w:r>
      <w:r>
        <w:instrText xml:space="preserve"> PAGEREF _Toc27729832 \h </w:instrText>
      </w:r>
      <w:r>
        <w:fldChar w:fldCharType="separate"/>
      </w:r>
      <w:r>
        <w:t>14</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"_Toc27729833" </w:instrText>
      </w:r>
      <w:r>
        <w:fldChar w:fldCharType="separate"/>
      </w:r>
      <w:r>
        <w:rPr>
          <w:rStyle w:val="25"/>
          <w:rFonts w:cs="Times New Roman"/>
        </w:rPr>
        <w:t>4 评价适用标准</w:t>
      </w:r>
      <w:r>
        <w:tab/>
      </w:r>
      <w:r>
        <w:fldChar w:fldCharType="begin"/>
      </w:r>
      <w:r>
        <w:instrText xml:space="preserve"> PAGEREF _Toc27729833 \h </w:instrText>
      </w:r>
      <w:r>
        <w:fldChar w:fldCharType="separate"/>
      </w:r>
      <w:r>
        <w:t>22</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"_Toc27729834" </w:instrText>
      </w:r>
      <w:r>
        <w:fldChar w:fldCharType="separate"/>
      </w:r>
      <w:r>
        <w:rPr>
          <w:rStyle w:val="25"/>
          <w:rFonts w:cs="Times New Roman"/>
        </w:rPr>
        <w:t>5 建设项目工程分析</w:t>
      </w:r>
      <w:r>
        <w:tab/>
      </w:r>
      <w:r>
        <w:fldChar w:fldCharType="begin"/>
      </w:r>
      <w:r>
        <w:instrText xml:space="preserve"> PAGEREF _Toc27729834 \h </w:instrText>
      </w:r>
      <w:r>
        <w:fldChar w:fldCharType="separate"/>
      </w:r>
      <w:r>
        <w:t>26</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"_Toc27729835" </w:instrText>
      </w:r>
      <w:r>
        <w:fldChar w:fldCharType="separate"/>
      </w:r>
      <w:r>
        <w:rPr>
          <w:rStyle w:val="25"/>
          <w:rFonts w:cs="Times New Roman"/>
        </w:rPr>
        <w:t>6 项目主要污染物产生及预计排放情况</w:t>
      </w:r>
      <w:r>
        <w:tab/>
      </w:r>
      <w:r>
        <w:fldChar w:fldCharType="begin"/>
      </w:r>
      <w:r>
        <w:instrText xml:space="preserve"> PAGEREF _Toc27729835 \h </w:instrText>
      </w:r>
      <w:r>
        <w:fldChar w:fldCharType="separate"/>
      </w:r>
      <w:r>
        <w:t>33</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"_Toc27729836" </w:instrText>
      </w:r>
      <w:r>
        <w:fldChar w:fldCharType="separate"/>
      </w:r>
      <w:r>
        <w:rPr>
          <w:rStyle w:val="25"/>
          <w:rFonts w:cs="Times New Roman"/>
        </w:rPr>
        <w:t>7 环境影响分析</w:t>
      </w:r>
      <w:r>
        <w:tab/>
      </w:r>
      <w:r>
        <w:fldChar w:fldCharType="begin"/>
      </w:r>
      <w:r>
        <w:instrText xml:space="preserve"> PAGEREF _Toc27729836 \h </w:instrText>
      </w:r>
      <w:r>
        <w:fldChar w:fldCharType="separate"/>
      </w:r>
      <w:r>
        <w:t>34</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"_Toc27729837" </w:instrText>
      </w:r>
      <w:r>
        <w:fldChar w:fldCharType="separate"/>
      </w:r>
      <w:r>
        <w:rPr>
          <w:rStyle w:val="25"/>
          <w:rFonts w:cs="Times New Roman"/>
        </w:rPr>
        <w:t>8 建设项目拟采取的防止措施及预期治理效果</w:t>
      </w:r>
      <w:r>
        <w:tab/>
      </w:r>
      <w:r>
        <w:fldChar w:fldCharType="begin"/>
      </w:r>
      <w:r>
        <w:instrText xml:space="preserve"> PAGEREF _Toc27729837 \h </w:instrText>
      </w:r>
      <w:r>
        <w:fldChar w:fldCharType="separate"/>
      </w:r>
      <w:r>
        <w:t>51</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"_Toc27729838" </w:instrText>
      </w:r>
      <w:r>
        <w:fldChar w:fldCharType="separate"/>
      </w:r>
      <w:r>
        <w:rPr>
          <w:rStyle w:val="25"/>
          <w:rFonts w:cs="Times New Roman"/>
        </w:rPr>
        <w:t>9 结论与建议</w:t>
      </w:r>
      <w:r>
        <w:tab/>
      </w:r>
      <w:r>
        <w:fldChar w:fldCharType="begin"/>
      </w:r>
      <w:r>
        <w:instrText xml:space="preserve"> PAGEREF _Toc27729838 \h </w:instrText>
      </w:r>
      <w:r>
        <w:fldChar w:fldCharType="separate"/>
      </w:r>
      <w:r>
        <w:t>53</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"_Toc27729839" </w:instrText>
      </w:r>
      <w:r>
        <w:fldChar w:fldCharType="separate"/>
      </w:r>
      <w:r>
        <w:rPr>
          <w:rStyle w:val="25"/>
          <w:rFonts w:cs="Times New Roman"/>
        </w:rPr>
        <w:t>附图1 项目地理位置</w:t>
      </w:r>
      <w:r>
        <w:tab/>
      </w:r>
      <w:r>
        <w:fldChar w:fldCharType="begin"/>
      </w:r>
      <w:r>
        <w:instrText xml:space="preserve"> PAGEREF _Toc27729839 \h </w:instrText>
      </w:r>
      <w:r>
        <w:fldChar w:fldCharType="separate"/>
      </w:r>
      <w:r>
        <w:t>59</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"_Toc27729840" </w:instrText>
      </w:r>
      <w:r>
        <w:fldChar w:fldCharType="separate"/>
      </w:r>
      <w:r>
        <w:rPr>
          <w:rStyle w:val="25"/>
          <w:rFonts w:cs="Times New Roman"/>
        </w:rPr>
        <w:t>附图2 项目平面布置图</w:t>
      </w:r>
      <w:r>
        <w:tab/>
      </w:r>
      <w:r>
        <w:fldChar w:fldCharType="begin"/>
      </w:r>
      <w:r>
        <w:instrText xml:space="preserve"> PAGEREF _Toc27729840 \h </w:instrText>
      </w:r>
      <w:r>
        <w:fldChar w:fldCharType="separate"/>
      </w:r>
      <w:r>
        <w:t>60</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"_Toc27729841" </w:instrText>
      </w:r>
      <w:r>
        <w:fldChar w:fldCharType="separate"/>
      </w:r>
      <w:r>
        <w:rPr>
          <w:rStyle w:val="25"/>
          <w:rFonts w:cs="Times New Roman"/>
        </w:rPr>
        <w:t>附图3 项目四至图</w:t>
      </w:r>
      <w:r>
        <w:tab/>
      </w:r>
      <w:r>
        <w:fldChar w:fldCharType="begin"/>
      </w:r>
      <w:r>
        <w:instrText xml:space="preserve"> PAGEREF _Toc27729841 \h </w:instrText>
      </w:r>
      <w:r>
        <w:fldChar w:fldCharType="separate"/>
      </w:r>
      <w:r>
        <w:t>61</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"_Toc27729842" </w:instrText>
      </w:r>
      <w:r>
        <w:fldChar w:fldCharType="separate"/>
      </w:r>
      <w:r>
        <w:rPr>
          <w:rStyle w:val="25"/>
          <w:rFonts w:cs="Times New Roman"/>
        </w:rPr>
        <w:t>附图4 项目周边敏感点分布图</w:t>
      </w:r>
      <w:r>
        <w:tab/>
      </w:r>
      <w:r>
        <w:fldChar w:fldCharType="begin"/>
      </w:r>
      <w:r>
        <w:instrText xml:space="preserve"> PAGEREF _Toc27729842 \h </w:instrText>
      </w:r>
      <w:r>
        <w:fldChar w:fldCharType="separate"/>
      </w:r>
      <w:r>
        <w:t>63</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"_Toc27729843" </w:instrText>
      </w:r>
      <w:r>
        <w:fldChar w:fldCharType="separate"/>
      </w:r>
      <w:r>
        <w:rPr>
          <w:rStyle w:val="25"/>
          <w:rFonts w:cs="Times New Roman"/>
        </w:rPr>
        <w:t>附图5 监测点位图</w:t>
      </w:r>
      <w:r>
        <w:tab/>
      </w:r>
      <w:r>
        <w:fldChar w:fldCharType="begin"/>
      </w:r>
      <w:r>
        <w:instrText xml:space="preserve"> PAGEREF _Toc27729843 \h </w:instrText>
      </w:r>
      <w:r>
        <w:fldChar w:fldCharType="separate"/>
      </w:r>
      <w:r>
        <w:t>64</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"_Toc27729844" </w:instrText>
      </w:r>
      <w:r>
        <w:fldChar w:fldCharType="separate"/>
      </w:r>
      <w:r>
        <w:rPr>
          <w:rStyle w:val="25"/>
          <w:rFonts w:cs="Times New Roman"/>
        </w:rPr>
        <w:t>附件1 营业执照</w:t>
      </w:r>
      <w:r>
        <w:tab/>
      </w:r>
      <w:r>
        <w:fldChar w:fldCharType="begin"/>
      </w:r>
      <w:r>
        <w:instrText xml:space="preserve"> PAGEREF _Toc27729844 \h </w:instrText>
      </w:r>
      <w:r>
        <w:fldChar w:fldCharType="separate"/>
      </w:r>
      <w:r>
        <w:t>65</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"_Toc27729845" </w:instrText>
      </w:r>
      <w:r>
        <w:fldChar w:fldCharType="separate"/>
      </w:r>
      <w:r>
        <w:rPr>
          <w:rStyle w:val="25"/>
          <w:rFonts w:cs="Times New Roman"/>
        </w:rPr>
        <w:t>附件2 法人身份证件</w:t>
      </w:r>
      <w:r>
        <w:tab/>
      </w:r>
      <w:r>
        <w:fldChar w:fldCharType="begin"/>
      </w:r>
      <w:r>
        <w:instrText xml:space="preserve"> PAGEREF _Toc27729845 \h </w:instrText>
      </w:r>
      <w:r>
        <w:fldChar w:fldCharType="separate"/>
      </w:r>
      <w:r>
        <w:t>66</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"_Toc27729846" </w:instrText>
      </w:r>
      <w:r>
        <w:fldChar w:fldCharType="separate"/>
      </w:r>
      <w:r>
        <w:rPr>
          <w:rStyle w:val="25"/>
          <w:rFonts w:cs="Times New Roman"/>
        </w:rPr>
        <w:t>附件3 项目土地证明文件</w:t>
      </w:r>
      <w:r>
        <w:tab/>
      </w:r>
      <w:r>
        <w:fldChar w:fldCharType="begin"/>
      </w:r>
      <w:r>
        <w:instrText xml:space="preserve"> PAGEREF _Toc27729846 \h </w:instrText>
      </w:r>
      <w:r>
        <w:fldChar w:fldCharType="separate"/>
      </w:r>
      <w:r>
        <w:t>67</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"_Toc27729847" </w:instrText>
      </w:r>
      <w:r>
        <w:fldChar w:fldCharType="separate"/>
      </w:r>
      <w:r>
        <w:rPr>
          <w:rStyle w:val="25"/>
          <w:rFonts w:cs="Times New Roman"/>
        </w:rPr>
        <w:t>附件4 环境质量现状监测报告</w:t>
      </w:r>
      <w:r>
        <w:tab/>
      </w:r>
      <w:r>
        <w:fldChar w:fldCharType="begin"/>
      </w:r>
      <w:r>
        <w:instrText xml:space="preserve"> PAGEREF _Toc27729847 \h </w:instrText>
      </w:r>
      <w:r>
        <w:fldChar w:fldCharType="separate"/>
      </w:r>
      <w:r>
        <w:t>72</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"_Toc27729848" </w:instrText>
      </w:r>
      <w:r>
        <w:fldChar w:fldCharType="separate"/>
      </w:r>
      <w:r>
        <w:rPr>
          <w:rStyle w:val="25"/>
          <w:rFonts w:cs="Times New Roman"/>
        </w:rPr>
        <w:t>附件5 特征因子引用监测数据报告</w:t>
      </w:r>
      <w:r>
        <w:tab/>
      </w:r>
      <w:r>
        <w:fldChar w:fldCharType="begin"/>
      </w:r>
      <w:r>
        <w:instrText xml:space="preserve"> PAGEREF _Toc27729848 \h </w:instrText>
      </w:r>
      <w:r>
        <w:fldChar w:fldCharType="separate"/>
      </w:r>
      <w:r>
        <w:t>75</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"_Toc27729849" </w:instrText>
      </w:r>
      <w:r>
        <w:fldChar w:fldCharType="separate"/>
      </w:r>
      <w:r>
        <w:rPr>
          <w:rStyle w:val="25"/>
          <w:rFonts w:cs="Times New Roman"/>
        </w:rPr>
        <w:t>附件6大气估算模型AERSCREEN相关参数</w:t>
      </w:r>
      <w:r>
        <w:tab/>
      </w:r>
      <w:r>
        <w:fldChar w:fldCharType="begin"/>
      </w:r>
      <w:r>
        <w:instrText xml:space="preserve"> PAGEREF _Toc27729849 \h </w:instrText>
      </w:r>
      <w:r>
        <w:fldChar w:fldCharType="separate"/>
      </w:r>
      <w:r>
        <w:t>80</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"_Toc27729850" </w:instrText>
      </w:r>
      <w:r>
        <w:fldChar w:fldCharType="separate"/>
      </w:r>
      <w:r>
        <w:rPr>
          <w:rStyle w:val="25"/>
          <w:rFonts w:cs="Times New Roman"/>
        </w:rPr>
        <w:t>附表1 建设项目大气环境影响评价自查表</w:t>
      </w:r>
      <w:r>
        <w:tab/>
      </w:r>
      <w:r>
        <w:fldChar w:fldCharType="begin"/>
      </w:r>
      <w:r>
        <w:instrText xml:space="preserve"> PAGEREF _Toc27729850 \h </w:instrText>
      </w:r>
      <w:r>
        <w:fldChar w:fldCharType="separate"/>
      </w:r>
      <w:r>
        <w:t>82</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"_Toc27729851" </w:instrText>
      </w:r>
      <w:r>
        <w:fldChar w:fldCharType="separate"/>
      </w:r>
      <w:r>
        <w:rPr>
          <w:rStyle w:val="25"/>
          <w:rFonts w:cs="Times New Roman"/>
        </w:rPr>
        <w:t>附表2 建设项目地表水环境影响评价自查表</w:t>
      </w:r>
      <w:r>
        <w:tab/>
      </w:r>
      <w:r>
        <w:fldChar w:fldCharType="begin"/>
      </w:r>
      <w:r>
        <w:instrText xml:space="preserve"> PAGEREF _Toc27729851 \h </w:instrText>
      </w:r>
      <w:r>
        <w:fldChar w:fldCharType="separate"/>
      </w:r>
      <w:r>
        <w:t>84</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"_Toc27729852" </w:instrText>
      </w:r>
      <w:r>
        <w:fldChar w:fldCharType="separate"/>
      </w:r>
      <w:r>
        <w:rPr>
          <w:rStyle w:val="25"/>
        </w:rPr>
        <w:t>附表3 环境风险评价自查表</w:t>
      </w:r>
      <w:r>
        <w:tab/>
      </w:r>
      <w:r>
        <w:fldChar w:fldCharType="begin"/>
      </w:r>
      <w:r>
        <w:instrText xml:space="preserve"> PAGEREF _Toc27729852 \h </w:instrText>
      </w:r>
      <w:r>
        <w:fldChar w:fldCharType="separate"/>
      </w:r>
      <w:r>
        <w:t>87</w:t>
      </w:r>
      <w:r>
        <w:fldChar w:fldCharType="end"/>
      </w:r>
      <w:r>
        <w:fldChar w:fldCharType="end"/>
      </w:r>
    </w:p>
    <w:p>
      <w:pPr>
        <w:pStyle w:val="15"/>
        <w:rPr>
          <w:rFonts w:asciiTheme="minorHAnsi" w:hAnsiTheme="minorHAnsi" w:eastAsiaTheme="minorEastAsia"/>
          <w:sz w:val="21"/>
        </w:rPr>
      </w:pPr>
      <w:r>
        <w:fldChar w:fldCharType="begin"/>
      </w:r>
      <w:r>
        <w:instrText xml:space="preserve"> HYPERLINK \l "_Toc27729853" </w:instrText>
      </w:r>
      <w:r>
        <w:fldChar w:fldCharType="separate"/>
      </w:r>
      <w:r>
        <w:rPr>
          <w:rStyle w:val="25"/>
        </w:rPr>
        <w:t>附表4 污染源源强核实结果</w:t>
      </w:r>
      <w:r>
        <w:tab/>
      </w:r>
      <w:r>
        <w:fldChar w:fldCharType="begin"/>
      </w:r>
      <w:r>
        <w:instrText xml:space="preserve"> PAGEREF _Toc27729853 \h </w:instrText>
      </w:r>
      <w:r>
        <w:fldChar w:fldCharType="separate"/>
      </w:r>
      <w:r>
        <w:t>89</w:t>
      </w:r>
      <w:r>
        <w:fldChar w:fldCharType="end"/>
      </w:r>
      <w:r>
        <w:fldChar w:fldCharType="end"/>
      </w:r>
    </w:p>
    <w:p>
      <w:pPr>
        <w:tabs>
          <w:tab w:val="center" w:pos="4585"/>
        </w:tabs>
        <w:ind w:firstLine="0" w:firstLineChars="0"/>
        <w:rPr>
          <w:rFonts w:cs="Times New Roman"/>
          <w:sz w:val="21"/>
          <w:szCs w:val="21"/>
        </w:rPr>
        <w:sectPr>
          <w:pgSz w:w="11906" w:h="16838"/>
          <w:pgMar w:top="1418" w:right="1418" w:bottom="1418" w:left="1797" w:header="851" w:footer="992" w:gutter="0"/>
          <w:cols w:space="425" w:num="1"/>
          <w:docGrid w:type="lines" w:linePitch="312" w:charSpace="0"/>
        </w:sectPr>
      </w:pPr>
      <w:r>
        <w:rPr>
          <w:rFonts w:cs="Times New Roman"/>
          <w:sz w:val="21"/>
          <w:szCs w:val="21"/>
        </w:rPr>
        <w:fldChar w:fldCharType="end"/>
      </w:r>
    </w:p>
    <w:p>
      <w:pPr>
        <w:pStyle w:val="2"/>
        <w:numPr>
          <w:ilvl w:val="0"/>
          <w:numId w:val="2"/>
        </w:numPr>
        <w:rPr>
          <w:rFonts w:cs="Times New Roman"/>
        </w:rPr>
      </w:pPr>
      <w:bookmarkStart w:id="0" w:name="_Toc27729830"/>
      <w:r>
        <w:rPr>
          <w:rFonts w:cs="Times New Roman"/>
        </w:rPr>
        <w:t>建设项目基本情况</w:t>
      </w:r>
      <w:bookmarkEnd w:id="0"/>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526"/>
        <w:gridCol w:w="488"/>
        <w:gridCol w:w="1054"/>
        <w:gridCol w:w="1971"/>
        <w:gridCol w:w="1255"/>
        <w:gridCol w:w="323"/>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bookmarkStart w:id="1" w:name="_Hlk22196169"/>
            <w:r>
              <w:rPr>
                <w:rFonts w:cs="Times New Roman"/>
                <w:bCs/>
                <w:color w:val="000000"/>
                <w:szCs w:val="24"/>
                <w:lang w:val="zh-CN"/>
              </w:rPr>
              <w:t>项目名称</w:t>
            </w:r>
          </w:p>
        </w:tc>
        <w:tc>
          <w:tcPr>
            <w:tcW w:w="7680" w:type="dxa"/>
            <w:gridSpan w:val="7"/>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开平市水口镇</w:t>
            </w:r>
            <w:bookmarkStart w:id="2" w:name="_Hlk25918493"/>
            <w:r>
              <w:rPr>
                <w:rFonts w:cs="Times New Roman"/>
                <w:color w:val="000000"/>
                <w:szCs w:val="24"/>
                <w:lang w:val="zh-CN"/>
              </w:rPr>
              <w:t>新海洋五金水暖塑料厂建设项目</w:t>
            </w:r>
            <w:bookmarkEnd w:id="2"/>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建设单位</w:t>
            </w:r>
          </w:p>
        </w:tc>
        <w:tc>
          <w:tcPr>
            <w:tcW w:w="7680" w:type="dxa"/>
            <w:gridSpan w:val="7"/>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开平市水口镇新海洋五金水暖塑料厂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法人代表</w:t>
            </w:r>
          </w:p>
        </w:tc>
        <w:tc>
          <w:tcPr>
            <w:tcW w:w="3038" w:type="dxa"/>
            <w:gridSpan w:val="3"/>
            <w:vAlign w:val="center"/>
          </w:tcPr>
          <w:p>
            <w:pPr>
              <w:adjustRightInd w:val="0"/>
              <w:snapToGrid w:val="0"/>
              <w:spacing w:line="240" w:lineRule="auto"/>
              <w:ind w:firstLine="0" w:firstLineChars="0"/>
              <w:jc w:val="center"/>
              <w:rPr>
                <w:rFonts w:hint="default" w:eastAsia="宋体" w:cs="Times New Roman"/>
                <w:color w:val="000000"/>
                <w:szCs w:val="24"/>
                <w:lang w:val="en-US" w:eastAsia="zh-CN"/>
              </w:rPr>
            </w:pPr>
            <w:r>
              <w:rPr>
                <w:rFonts w:cs="Times New Roman"/>
                <w:color w:val="000000"/>
                <w:szCs w:val="24"/>
                <w:lang w:val="zh-CN"/>
              </w:rPr>
              <w:t>谭</w:t>
            </w:r>
            <w:r>
              <w:rPr>
                <w:rFonts w:hint="eastAsia" w:cs="Times New Roman"/>
                <w:color w:val="000000"/>
                <w:szCs w:val="24"/>
                <w:lang w:val="en-US" w:eastAsia="zh-CN"/>
              </w:rPr>
              <w:t>**</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联系人</w:t>
            </w:r>
          </w:p>
        </w:tc>
        <w:tc>
          <w:tcPr>
            <w:tcW w:w="3072" w:type="dxa"/>
            <w:gridSpan w:val="3"/>
            <w:vAlign w:val="center"/>
          </w:tcPr>
          <w:p>
            <w:pPr>
              <w:adjustRightInd w:val="0"/>
              <w:snapToGrid w:val="0"/>
              <w:spacing w:line="240" w:lineRule="auto"/>
              <w:ind w:firstLine="0" w:firstLineChars="0"/>
              <w:jc w:val="center"/>
              <w:rPr>
                <w:rFonts w:hint="default" w:eastAsia="宋体" w:cs="Times New Roman"/>
                <w:color w:val="000000"/>
                <w:szCs w:val="24"/>
                <w:lang w:val="en-US" w:eastAsia="zh-CN"/>
              </w:rPr>
            </w:pPr>
            <w:r>
              <w:rPr>
                <w:rFonts w:cs="Times New Roman"/>
                <w:color w:val="000000"/>
                <w:szCs w:val="24"/>
                <w:lang w:val="zh-CN"/>
              </w:rPr>
              <w:t>谭</w:t>
            </w:r>
            <w:r>
              <w:rPr>
                <w:rFonts w:hint="eastAsia" w:cs="Times New Roman"/>
                <w:color w:val="000000"/>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通讯地址</w:t>
            </w:r>
          </w:p>
        </w:tc>
        <w:tc>
          <w:tcPr>
            <w:tcW w:w="7680" w:type="dxa"/>
            <w:gridSpan w:val="7"/>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开平市水口镇水暖城C2区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联系电话</w:t>
            </w:r>
          </w:p>
        </w:tc>
        <w:tc>
          <w:tcPr>
            <w:tcW w:w="1766" w:type="dxa"/>
            <w:gridSpan w:val="2"/>
            <w:vAlign w:val="center"/>
          </w:tcPr>
          <w:p>
            <w:pPr>
              <w:adjustRightInd w:val="0"/>
              <w:snapToGrid w:val="0"/>
              <w:spacing w:line="240" w:lineRule="auto"/>
              <w:ind w:firstLine="0" w:firstLineChars="0"/>
              <w:jc w:val="center"/>
              <w:rPr>
                <w:rFonts w:hint="default" w:cs="Times New Roman"/>
                <w:bCs/>
                <w:color w:val="000000"/>
                <w:szCs w:val="24"/>
                <w:lang w:val="en-US"/>
              </w:rPr>
            </w:pPr>
            <w:r>
              <w:rPr>
                <w:rFonts w:cs="Times New Roman"/>
                <w:bCs/>
                <w:color w:val="000000"/>
                <w:szCs w:val="24"/>
                <w:lang w:val="zh-CN"/>
              </w:rPr>
              <w:t>137</w:t>
            </w:r>
            <w:r>
              <w:rPr>
                <w:rFonts w:hint="eastAsia" w:cs="Times New Roman"/>
                <w:bCs/>
                <w:color w:val="000000"/>
                <w:szCs w:val="24"/>
                <w:lang w:val="en-US" w:eastAsia="zh-CN"/>
              </w:rPr>
              <w:t>********</w:t>
            </w:r>
            <w:bookmarkStart w:id="32" w:name="_GoBack"/>
            <w:bookmarkEnd w:id="32"/>
          </w:p>
        </w:tc>
        <w:tc>
          <w:tcPr>
            <w:tcW w:w="1272"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传  真</w:t>
            </w:r>
          </w:p>
        </w:tc>
        <w:tc>
          <w:tcPr>
            <w:tcW w:w="1570" w:type="dxa"/>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0750-2713229</w:t>
            </w:r>
          </w:p>
        </w:tc>
        <w:tc>
          <w:tcPr>
            <w:tcW w:w="1283"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邮政编码</w:t>
            </w:r>
          </w:p>
        </w:tc>
        <w:tc>
          <w:tcPr>
            <w:tcW w:w="1789" w:type="dxa"/>
            <w:gridSpan w:val="2"/>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529321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建设地点</w:t>
            </w:r>
          </w:p>
        </w:tc>
        <w:tc>
          <w:tcPr>
            <w:tcW w:w="7680" w:type="dxa"/>
            <w:gridSpan w:val="7"/>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开平市水口镇水暖城C2区</w:t>
            </w:r>
          </w:p>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（地理坐标：112.776614°E，22.457876°N）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立项审批</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部门</w:t>
            </w:r>
          </w:p>
        </w:tc>
        <w:tc>
          <w:tcPr>
            <w:tcW w:w="3038" w:type="dxa"/>
            <w:gridSpan w:val="3"/>
            <w:vAlign w:val="center"/>
          </w:tcPr>
          <w:p>
            <w:pPr>
              <w:adjustRightInd w:val="0"/>
              <w:snapToGrid w:val="0"/>
              <w:ind w:firstLine="480"/>
              <w:jc w:val="center"/>
              <w:rPr>
                <w:rFonts w:cs="Times New Roman"/>
                <w:color w:val="000000"/>
              </w:rPr>
            </w:pPr>
            <w:r>
              <w:rPr>
                <w:rFonts w:cs="Times New Roman"/>
                <w:color w:val="000000"/>
              </w:rPr>
              <w:t>——</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批准文号</w:t>
            </w:r>
          </w:p>
        </w:tc>
        <w:tc>
          <w:tcPr>
            <w:tcW w:w="3072"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建设性质</w:t>
            </w:r>
          </w:p>
        </w:tc>
        <w:tc>
          <w:tcPr>
            <w:tcW w:w="3038"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■新建□改扩建□技改</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行业类别</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及代码</w:t>
            </w:r>
          </w:p>
        </w:tc>
        <w:tc>
          <w:tcPr>
            <w:tcW w:w="3072"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C3383 金属制卫生器具制造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占地面积</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（平方米）</w:t>
            </w:r>
          </w:p>
        </w:tc>
        <w:tc>
          <w:tcPr>
            <w:tcW w:w="3038"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1687.5</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绿化面积</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（平方米）</w:t>
            </w:r>
          </w:p>
        </w:tc>
        <w:tc>
          <w:tcPr>
            <w:tcW w:w="3072"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总投资</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（万元）</w:t>
            </w:r>
          </w:p>
        </w:tc>
        <w:tc>
          <w:tcPr>
            <w:tcW w:w="1251" w:type="dxa"/>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100</w:t>
            </w:r>
          </w:p>
        </w:tc>
        <w:tc>
          <w:tcPr>
            <w:tcW w:w="1787" w:type="dxa"/>
            <w:gridSpan w:val="2"/>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其中：环保投资（万元）</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35</w:t>
            </w:r>
          </w:p>
        </w:tc>
        <w:tc>
          <w:tcPr>
            <w:tcW w:w="1691" w:type="dxa"/>
            <w:gridSpan w:val="2"/>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环保投资占总投资比例（%）</w:t>
            </w:r>
          </w:p>
        </w:tc>
        <w:tc>
          <w:tcPr>
            <w:tcW w:w="1381" w:type="dxa"/>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6"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评价经费</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（万元）</w:t>
            </w:r>
          </w:p>
        </w:tc>
        <w:tc>
          <w:tcPr>
            <w:tcW w:w="3038"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w:t>
            </w:r>
          </w:p>
        </w:tc>
        <w:tc>
          <w:tcPr>
            <w:tcW w:w="1570" w:type="dxa"/>
            <w:vAlign w:val="center"/>
          </w:tcPr>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预期投产</w:t>
            </w:r>
          </w:p>
          <w:p>
            <w:pPr>
              <w:adjustRightInd w:val="0"/>
              <w:snapToGrid w:val="0"/>
              <w:spacing w:line="240" w:lineRule="auto"/>
              <w:ind w:firstLine="0" w:firstLineChars="0"/>
              <w:jc w:val="center"/>
              <w:rPr>
                <w:rFonts w:cs="Times New Roman"/>
                <w:bCs/>
                <w:color w:val="000000"/>
                <w:szCs w:val="24"/>
                <w:lang w:val="zh-CN"/>
              </w:rPr>
            </w:pPr>
            <w:r>
              <w:rPr>
                <w:rFonts w:cs="Times New Roman"/>
                <w:bCs/>
                <w:color w:val="000000"/>
                <w:szCs w:val="24"/>
                <w:lang w:val="zh-CN"/>
              </w:rPr>
              <w:t>日期</w:t>
            </w:r>
          </w:p>
        </w:tc>
        <w:tc>
          <w:tcPr>
            <w:tcW w:w="3072" w:type="dxa"/>
            <w:gridSpan w:val="3"/>
            <w:vAlign w:val="center"/>
          </w:tcPr>
          <w:p>
            <w:pPr>
              <w:adjustRightInd w:val="0"/>
              <w:snapToGrid w:val="0"/>
              <w:spacing w:line="240" w:lineRule="auto"/>
              <w:ind w:firstLine="0" w:firstLineChars="0"/>
              <w:jc w:val="center"/>
              <w:rPr>
                <w:rFonts w:cs="Times New Roman"/>
                <w:color w:val="000000"/>
                <w:szCs w:val="24"/>
                <w:lang w:val="zh-CN"/>
              </w:rPr>
            </w:pPr>
            <w:r>
              <w:rPr>
                <w:rFonts w:cs="Times New Roman"/>
                <w:color w:val="000000"/>
                <w:szCs w:val="24"/>
                <w:lang w:val="zh-CN"/>
              </w:rPr>
              <w:t>2020年03月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286" w:type="dxa"/>
            <w:gridSpan w:val="8"/>
          </w:tcPr>
          <w:p>
            <w:pPr>
              <w:pStyle w:val="20"/>
              <w:ind w:firstLine="0" w:firstLineChars="0"/>
              <w:rPr>
                <w:rFonts w:ascii="Times New Roman" w:hAnsi="Times New Roman" w:cs="Times New Roman"/>
              </w:rPr>
            </w:pPr>
            <w:bookmarkStart w:id="3" w:name="_Toc22823012"/>
            <w:r>
              <w:rPr>
                <w:rFonts w:ascii="Times New Roman" w:hAnsi="Times New Roman" w:cs="Times New Roman"/>
              </w:rPr>
              <w:t>1.1工程内容及规模：</w:t>
            </w:r>
            <w:bookmarkEnd w:id="3"/>
          </w:p>
          <w:p>
            <w:pPr>
              <w:pStyle w:val="4"/>
              <w:rPr>
                <w:rFonts w:ascii="Times New Roman" w:hAnsi="Times New Roman" w:cs="Times New Roman"/>
                <w:color w:val="000000"/>
                <w:kern w:val="0"/>
                <w:lang w:val="zh-CN"/>
              </w:rPr>
            </w:pPr>
            <w:r>
              <w:rPr>
                <w:rFonts w:ascii="Times New Roman" w:hAnsi="Times New Roman" w:cs="Times New Roman"/>
                <w:lang w:val="zh-CN"/>
              </w:rPr>
              <w:t>1.1.1项目由来</w:t>
            </w:r>
          </w:p>
          <w:p>
            <w:pPr>
              <w:adjustRightInd w:val="0"/>
              <w:snapToGrid w:val="0"/>
              <w:ind w:firstLine="480"/>
              <w:rPr>
                <w:rFonts w:cs="Times New Roman"/>
                <w:color w:val="000000"/>
                <w:szCs w:val="24"/>
                <w:lang w:val="zh-CN"/>
              </w:rPr>
            </w:pPr>
            <w:r>
              <w:rPr>
                <w:rFonts w:cs="Times New Roman"/>
                <w:color w:val="000000"/>
                <w:szCs w:val="24"/>
                <w:lang w:val="zh-CN"/>
              </w:rPr>
              <w:t>开平市水口镇新海洋五金水暖塑料厂位于</w:t>
            </w:r>
            <w:r>
              <w:rPr>
                <w:rFonts w:cs="Times New Roman"/>
                <w:bCs/>
                <w:color w:val="000000"/>
                <w:szCs w:val="24"/>
                <w:lang w:val="zh-CN"/>
              </w:rPr>
              <w:t>开平市水口镇水暖城C2区（</w:t>
            </w:r>
            <w:r>
              <w:rPr>
                <w:rFonts w:cs="Times New Roman"/>
                <w:color w:val="000000"/>
                <w:szCs w:val="24"/>
                <w:lang w:val="zh-CN"/>
              </w:rPr>
              <w:t>地理坐标：112.776614°E，22.457876°N</w:t>
            </w:r>
            <w:r>
              <w:rPr>
                <w:rFonts w:cs="Times New Roman"/>
                <w:bCs/>
                <w:color w:val="000000"/>
                <w:szCs w:val="24"/>
                <w:lang w:val="zh-CN"/>
              </w:rPr>
              <w:t>）。项目占地面积</w:t>
            </w:r>
            <w:r>
              <w:rPr>
                <w:rFonts w:cs="Times New Roman"/>
                <w:color w:val="000000"/>
                <w:szCs w:val="24"/>
                <w:lang w:val="zh-CN"/>
              </w:rPr>
              <w:t>1687.5平方米，建筑面积1687.5平方米，拟投资100万元，其中环保投资35万元，主要从事卫浴配件的生产，年产卫浴配件拟达到30万件。</w:t>
            </w:r>
          </w:p>
          <w:p>
            <w:pPr>
              <w:adjustRightInd w:val="0"/>
              <w:snapToGrid w:val="0"/>
              <w:ind w:firstLine="480"/>
              <w:rPr>
                <w:rFonts w:cs="Times New Roman"/>
                <w:color w:val="000000"/>
              </w:rPr>
            </w:pPr>
            <w:r>
              <w:rPr>
                <w:rFonts w:cs="Times New Roman"/>
                <w:color w:val="000000"/>
              </w:rPr>
              <w:t>按照《中华人民共和国环境影响评价法》(中华人民共和国主席令（第四十八号）)，《建设项目环境保护管理条例》（中华人民共和国国务院令第682号）等有关规定，本项目须进行环境影响评价。为此，开平市水口镇新海洋五金水暖塑料厂委托广东环科技术咨询有限公司承担本项目的环境影响评价工作。</w:t>
            </w:r>
          </w:p>
          <w:p>
            <w:pPr>
              <w:adjustRightInd w:val="0"/>
              <w:snapToGrid w:val="0"/>
              <w:ind w:firstLine="480"/>
              <w:rPr>
                <w:rFonts w:cs="Times New Roman"/>
                <w:color w:val="000000"/>
              </w:rPr>
            </w:pPr>
            <w:r>
              <w:rPr>
                <w:rFonts w:cs="Times New Roman"/>
                <w:color w:val="000000"/>
              </w:rPr>
              <w:t>根据《建设项目环境影响评价分类管理名录》（2017年9月1号起实施及2018.4.28修改单）中的规定，本项目属于“二十二、金属制品业 67 金属制品加工制造 其他（仅切割组装除外）”类别，需编制环境影响报告表，广东环科技术咨询有限公司通过对拟建项目周围环境调查分析，并通过查阅资料、实地考察、咨询工程技术人员等，基本掌握了与项目生产、环境相关的因素，通过数学模型计算等方法，预测项目对周围环境的影响程度和范围，依据国家、地方的有关环保法律、法规及有关环境影响评价技术导则和规范要求编制了本项目环境影响报告表，供建设单位上报环境保护主管部门审查。</w:t>
            </w:r>
          </w:p>
          <w:p>
            <w:pPr>
              <w:pStyle w:val="4"/>
              <w:rPr>
                <w:rFonts w:ascii="Times New Roman" w:hAnsi="Times New Roman" w:cs="Times New Roman"/>
                <w:lang w:val="zh-CN"/>
              </w:rPr>
            </w:pPr>
            <w:r>
              <w:rPr>
                <w:rFonts w:ascii="Times New Roman" w:hAnsi="Times New Roman" w:cs="Times New Roman"/>
                <w:lang w:val="zh-CN"/>
              </w:rPr>
              <w:t>1.1.2编制依据</w:t>
            </w:r>
          </w:p>
          <w:p>
            <w:pPr>
              <w:ind w:firstLine="0" w:firstLineChars="0"/>
              <w:rPr>
                <w:rFonts w:cs="Times New Roman"/>
                <w:bCs/>
                <w:color w:val="000000"/>
                <w:kern w:val="0"/>
                <w:szCs w:val="24"/>
                <w:lang w:val="zh-CN"/>
              </w:rPr>
            </w:pPr>
            <w:r>
              <w:rPr>
                <w:rFonts w:cs="Times New Roman"/>
                <w:bCs/>
                <w:color w:val="000000"/>
                <w:kern w:val="0"/>
                <w:szCs w:val="24"/>
                <w:lang w:val="zh-CN"/>
              </w:rPr>
              <w:t>1、《中华人民共和国环境保护法》(2015年1月1日)；</w:t>
            </w:r>
          </w:p>
          <w:p>
            <w:pPr>
              <w:adjustRightInd w:val="0"/>
              <w:snapToGrid w:val="0"/>
              <w:ind w:firstLine="0" w:firstLineChars="0"/>
              <w:rPr>
                <w:rFonts w:cs="Times New Roman"/>
                <w:bCs/>
                <w:color w:val="000000"/>
                <w:szCs w:val="24"/>
              </w:rPr>
            </w:pPr>
            <w:r>
              <w:rPr>
                <w:rFonts w:cs="Times New Roman"/>
                <w:bCs/>
                <w:color w:val="000000"/>
                <w:szCs w:val="24"/>
              </w:rPr>
              <w:t>2、《中华人民共和国环境影响评价法》（2018年12月29日修订并施行）；</w:t>
            </w:r>
          </w:p>
          <w:p>
            <w:pPr>
              <w:adjustRightInd w:val="0"/>
              <w:snapToGrid w:val="0"/>
              <w:ind w:firstLine="0" w:firstLineChars="0"/>
              <w:rPr>
                <w:rFonts w:cs="Times New Roman"/>
                <w:bCs/>
                <w:color w:val="000000"/>
                <w:szCs w:val="24"/>
              </w:rPr>
            </w:pPr>
            <w:r>
              <w:rPr>
                <w:rFonts w:cs="Times New Roman"/>
                <w:bCs/>
                <w:color w:val="000000"/>
                <w:szCs w:val="24"/>
              </w:rPr>
              <w:t>3、《中华人民共和国大气污染防治法》(2018年10月26日修订并施行)；</w:t>
            </w:r>
          </w:p>
          <w:p>
            <w:pPr>
              <w:adjustRightInd w:val="0"/>
              <w:snapToGrid w:val="0"/>
              <w:ind w:firstLine="0" w:firstLineChars="0"/>
              <w:jc w:val="left"/>
              <w:rPr>
                <w:rFonts w:cs="Times New Roman"/>
                <w:bCs/>
                <w:color w:val="000000"/>
                <w:szCs w:val="24"/>
              </w:rPr>
            </w:pPr>
            <w:r>
              <w:rPr>
                <w:rFonts w:cs="Times New Roman"/>
                <w:bCs/>
                <w:color w:val="000000"/>
                <w:szCs w:val="24"/>
              </w:rPr>
              <w:t>4、《中华人民共和国水污染防治法》(2017年6月27日修正)；</w:t>
            </w:r>
          </w:p>
          <w:p>
            <w:pPr>
              <w:adjustRightInd w:val="0"/>
              <w:snapToGrid w:val="0"/>
              <w:ind w:firstLine="0" w:firstLineChars="0"/>
              <w:jc w:val="left"/>
              <w:rPr>
                <w:rFonts w:cs="Times New Roman"/>
                <w:bCs/>
                <w:color w:val="000000"/>
                <w:szCs w:val="24"/>
              </w:rPr>
            </w:pPr>
            <w:r>
              <w:rPr>
                <w:rFonts w:cs="Times New Roman"/>
                <w:bCs/>
                <w:color w:val="000000"/>
                <w:szCs w:val="24"/>
              </w:rPr>
              <w:t>5、《中华人民共和国环境噪声污染防治法》（2018年12月29日修订并施行）；</w:t>
            </w:r>
          </w:p>
          <w:p>
            <w:pPr>
              <w:adjustRightInd w:val="0"/>
              <w:snapToGrid w:val="0"/>
              <w:ind w:firstLine="0" w:firstLineChars="0"/>
              <w:jc w:val="left"/>
              <w:rPr>
                <w:rFonts w:cs="Times New Roman"/>
                <w:bCs/>
                <w:color w:val="000000"/>
                <w:szCs w:val="24"/>
              </w:rPr>
            </w:pPr>
            <w:r>
              <w:rPr>
                <w:rFonts w:cs="Times New Roman"/>
                <w:bCs/>
                <w:color w:val="000000"/>
                <w:szCs w:val="24"/>
              </w:rPr>
              <w:t>6、《中华人民共和国固体废物污染环境防治法》(中华人民共和国主席令第五十七号，2016年11月7日修订实施)；</w:t>
            </w:r>
          </w:p>
          <w:p>
            <w:pPr>
              <w:adjustRightInd w:val="0"/>
              <w:snapToGrid w:val="0"/>
              <w:ind w:firstLine="0" w:firstLineChars="0"/>
              <w:jc w:val="left"/>
              <w:rPr>
                <w:rFonts w:cs="Times New Roman"/>
                <w:color w:val="000000"/>
                <w:szCs w:val="24"/>
              </w:rPr>
            </w:pPr>
            <w:r>
              <w:rPr>
                <w:rFonts w:cs="Times New Roman"/>
                <w:color w:val="000000"/>
                <w:szCs w:val="24"/>
              </w:rPr>
              <w:t>7、《中华人民共和国土壤污染防治法》（2019年1月1日起施行）；</w:t>
            </w:r>
          </w:p>
          <w:p>
            <w:pPr>
              <w:adjustRightInd w:val="0"/>
              <w:snapToGrid w:val="0"/>
              <w:ind w:firstLine="0" w:firstLineChars="0"/>
              <w:jc w:val="left"/>
              <w:rPr>
                <w:rFonts w:cs="Times New Roman"/>
                <w:bCs/>
                <w:color w:val="000000"/>
                <w:szCs w:val="24"/>
              </w:rPr>
            </w:pPr>
            <w:r>
              <w:rPr>
                <w:rFonts w:cs="Times New Roman"/>
                <w:bCs/>
                <w:color w:val="000000"/>
                <w:szCs w:val="24"/>
              </w:rPr>
              <w:t>8、《</w:t>
            </w:r>
            <w:r>
              <w:rPr>
                <w:rFonts w:cs="Times New Roman"/>
                <w:color w:val="000000"/>
                <w:szCs w:val="24"/>
              </w:rPr>
              <w:t>建设项目环境影响评价分类管理名录</w:t>
            </w:r>
            <w:r>
              <w:rPr>
                <w:rFonts w:cs="Times New Roman"/>
                <w:bCs/>
                <w:color w:val="000000"/>
                <w:szCs w:val="24"/>
              </w:rPr>
              <w:t>》(环境保护部令第44号，2018年4月28日修改）；</w:t>
            </w:r>
          </w:p>
          <w:p>
            <w:pPr>
              <w:adjustRightInd w:val="0"/>
              <w:snapToGrid w:val="0"/>
              <w:ind w:firstLine="0" w:firstLineChars="0"/>
              <w:rPr>
                <w:rFonts w:cs="Times New Roman"/>
                <w:bCs/>
                <w:color w:val="000000"/>
                <w:szCs w:val="24"/>
              </w:rPr>
            </w:pPr>
            <w:r>
              <w:rPr>
                <w:rFonts w:cs="Times New Roman"/>
                <w:bCs/>
                <w:color w:val="000000"/>
                <w:szCs w:val="24"/>
              </w:rPr>
              <w:t>9、《环境影响评价技术导则-总纲》（</w:t>
            </w:r>
            <w:r>
              <w:rPr>
                <w:rFonts w:cs="Times New Roman"/>
                <w:color w:val="000000"/>
                <w:szCs w:val="24"/>
              </w:rPr>
              <w:t>HJ2.1-2016</w:t>
            </w:r>
            <w:r>
              <w:rPr>
                <w:rFonts w:cs="Times New Roman"/>
                <w:bCs/>
                <w:color w:val="000000"/>
                <w:szCs w:val="24"/>
              </w:rPr>
              <w:t>）；</w:t>
            </w:r>
          </w:p>
          <w:p>
            <w:pPr>
              <w:adjustRightInd w:val="0"/>
              <w:snapToGrid w:val="0"/>
              <w:ind w:firstLine="0" w:firstLineChars="0"/>
              <w:rPr>
                <w:rFonts w:cs="Times New Roman"/>
                <w:bCs/>
                <w:color w:val="000000"/>
                <w:szCs w:val="24"/>
              </w:rPr>
            </w:pPr>
            <w:r>
              <w:rPr>
                <w:rFonts w:cs="Times New Roman"/>
                <w:bCs/>
                <w:color w:val="000000"/>
                <w:szCs w:val="24"/>
              </w:rPr>
              <w:t>10、《环境影响评价技术导则-大气环境》（</w:t>
            </w:r>
            <w:r>
              <w:rPr>
                <w:rFonts w:cs="Times New Roman"/>
                <w:color w:val="000000"/>
                <w:szCs w:val="24"/>
              </w:rPr>
              <w:t>HJ2.2-2018</w:t>
            </w:r>
            <w:r>
              <w:rPr>
                <w:rFonts w:cs="Times New Roman"/>
                <w:bCs/>
                <w:color w:val="000000"/>
                <w:szCs w:val="24"/>
              </w:rPr>
              <w:t>）；</w:t>
            </w:r>
          </w:p>
          <w:p>
            <w:pPr>
              <w:adjustRightInd w:val="0"/>
              <w:snapToGrid w:val="0"/>
              <w:ind w:firstLine="0" w:firstLineChars="0"/>
              <w:rPr>
                <w:rFonts w:cs="Times New Roman"/>
                <w:bCs/>
                <w:color w:val="000000"/>
                <w:szCs w:val="24"/>
              </w:rPr>
            </w:pPr>
            <w:r>
              <w:rPr>
                <w:rFonts w:cs="Times New Roman"/>
                <w:bCs/>
                <w:color w:val="000000"/>
                <w:szCs w:val="24"/>
              </w:rPr>
              <w:t>11、《环境影响评价技术导则-地表水环境》（HJ2.3-2018）；</w:t>
            </w:r>
          </w:p>
          <w:p>
            <w:pPr>
              <w:adjustRightInd w:val="0"/>
              <w:snapToGrid w:val="0"/>
              <w:ind w:firstLine="0" w:firstLineChars="0"/>
              <w:jc w:val="left"/>
              <w:rPr>
                <w:rFonts w:cs="Times New Roman"/>
                <w:bCs/>
                <w:color w:val="000000"/>
                <w:szCs w:val="24"/>
              </w:rPr>
            </w:pPr>
            <w:r>
              <w:rPr>
                <w:rFonts w:hint="eastAsia" w:cs="Times New Roman"/>
                <w:bCs/>
                <w:color w:val="000000"/>
                <w:szCs w:val="24"/>
              </w:rPr>
              <w:t>1</w:t>
            </w:r>
            <w:r>
              <w:rPr>
                <w:rFonts w:cs="Times New Roman"/>
                <w:bCs/>
                <w:color w:val="000000"/>
                <w:szCs w:val="24"/>
              </w:rPr>
              <w:t>2.</w:t>
            </w:r>
            <w:r>
              <w:rPr>
                <w:rFonts w:hint="eastAsia" w:cs="Times New Roman"/>
                <w:bCs/>
                <w:color w:val="000000"/>
                <w:szCs w:val="24"/>
              </w:rPr>
              <w:t>《环境影响评价技术导则-地下水环境》（H</w:t>
            </w:r>
            <w:r>
              <w:rPr>
                <w:rFonts w:cs="Times New Roman"/>
                <w:bCs/>
                <w:color w:val="000000"/>
                <w:szCs w:val="24"/>
              </w:rPr>
              <w:t>J6 10-2016</w:t>
            </w:r>
            <w:r>
              <w:rPr>
                <w:rFonts w:hint="eastAsia" w:cs="Times New Roman"/>
                <w:bCs/>
                <w:color w:val="000000"/>
                <w:szCs w:val="24"/>
              </w:rPr>
              <w:t>）；</w:t>
            </w:r>
          </w:p>
          <w:p>
            <w:pPr>
              <w:adjustRightInd w:val="0"/>
              <w:snapToGrid w:val="0"/>
              <w:ind w:firstLine="0" w:firstLineChars="0"/>
              <w:jc w:val="left"/>
              <w:rPr>
                <w:rFonts w:cs="Times New Roman"/>
                <w:bCs/>
                <w:color w:val="000000"/>
                <w:szCs w:val="24"/>
              </w:rPr>
            </w:pPr>
            <w:r>
              <w:rPr>
                <w:rFonts w:hint="eastAsia" w:cs="Times New Roman"/>
                <w:bCs/>
                <w:color w:val="000000"/>
                <w:szCs w:val="24"/>
              </w:rPr>
              <w:t>1</w:t>
            </w:r>
            <w:r>
              <w:rPr>
                <w:rFonts w:cs="Times New Roman"/>
                <w:bCs/>
                <w:color w:val="000000"/>
                <w:szCs w:val="24"/>
              </w:rPr>
              <w:t>3.</w:t>
            </w:r>
            <w:r>
              <w:rPr>
                <w:rFonts w:hint="eastAsia" w:cs="Times New Roman"/>
                <w:bCs/>
                <w:color w:val="000000"/>
                <w:szCs w:val="24"/>
              </w:rPr>
              <w:t>《环境影响评价技术导则-土壤环境（试行）》（H</w:t>
            </w:r>
            <w:r>
              <w:rPr>
                <w:rFonts w:cs="Times New Roman"/>
                <w:bCs/>
                <w:color w:val="000000"/>
                <w:szCs w:val="24"/>
              </w:rPr>
              <w:t>J964-2018</w:t>
            </w:r>
            <w:r>
              <w:rPr>
                <w:rFonts w:hint="eastAsia" w:cs="Times New Roman"/>
                <w:bCs/>
                <w:color w:val="000000"/>
                <w:szCs w:val="24"/>
              </w:rPr>
              <w:t>）；</w:t>
            </w:r>
          </w:p>
          <w:p>
            <w:pPr>
              <w:adjustRightInd w:val="0"/>
              <w:snapToGrid w:val="0"/>
              <w:ind w:firstLine="0" w:firstLineChars="0"/>
              <w:jc w:val="left"/>
              <w:rPr>
                <w:rFonts w:cs="Times New Roman"/>
                <w:bCs/>
                <w:color w:val="000000"/>
                <w:szCs w:val="24"/>
              </w:rPr>
            </w:pPr>
            <w:r>
              <w:rPr>
                <w:rFonts w:cs="Times New Roman"/>
                <w:bCs/>
                <w:color w:val="000000"/>
                <w:szCs w:val="24"/>
              </w:rPr>
              <w:t>14.</w:t>
            </w:r>
            <w:r>
              <w:rPr>
                <w:rFonts w:hint="eastAsia" w:cs="Times New Roman"/>
                <w:bCs/>
                <w:color w:val="000000"/>
                <w:szCs w:val="24"/>
              </w:rPr>
              <w:t>《建设项目环境风险评价技术导则》（H</w:t>
            </w:r>
            <w:r>
              <w:rPr>
                <w:rFonts w:cs="Times New Roman"/>
                <w:bCs/>
                <w:color w:val="000000"/>
                <w:szCs w:val="24"/>
              </w:rPr>
              <w:t>J169-2018</w:t>
            </w:r>
            <w:r>
              <w:rPr>
                <w:rFonts w:hint="eastAsia" w:cs="Times New Roman"/>
                <w:bCs/>
                <w:color w:val="000000"/>
                <w:szCs w:val="24"/>
              </w:rPr>
              <w:t>）；</w:t>
            </w:r>
          </w:p>
          <w:p>
            <w:pPr>
              <w:adjustRightInd w:val="0"/>
              <w:snapToGrid w:val="0"/>
              <w:ind w:firstLine="0" w:firstLineChars="0"/>
              <w:rPr>
                <w:rFonts w:cs="Times New Roman"/>
                <w:bCs/>
                <w:color w:val="000000"/>
                <w:szCs w:val="24"/>
              </w:rPr>
            </w:pPr>
            <w:r>
              <w:rPr>
                <w:rFonts w:cs="Times New Roman"/>
                <w:bCs/>
                <w:color w:val="000000"/>
                <w:szCs w:val="24"/>
              </w:rPr>
              <w:t>15、《环境影响评价技术导则-声环境》（</w:t>
            </w:r>
            <w:r>
              <w:rPr>
                <w:rFonts w:cs="Times New Roman"/>
                <w:color w:val="000000"/>
                <w:szCs w:val="24"/>
              </w:rPr>
              <w:t>HJ2.4-2009</w:t>
            </w:r>
            <w:r>
              <w:rPr>
                <w:rFonts w:cs="Times New Roman"/>
                <w:bCs/>
                <w:color w:val="000000"/>
                <w:szCs w:val="24"/>
              </w:rPr>
              <w:t>）；</w:t>
            </w:r>
          </w:p>
          <w:p>
            <w:pPr>
              <w:adjustRightInd w:val="0"/>
              <w:snapToGrid w:val="0"/>
              <w:ind w:firstLine="0" w:firstLineChars="0"/>
              <w:jc w:val="left"/>
              <w:rPr>
                <w:rFonts w:cs="Times New Roman"/>
                <w:bCs/>
                <w:color w:val="000000"/>
                <w:szCs w:val="24"/>
              </w:rPr>
            </w:pPr>
            <w:r>
              <w:rPr>
                <w:rFonts w:cs="Times New Roman"/>
              </w:rPr>
              <w:t>16、《工业企业总平面设计规范》（GB50187-2012）；</w:t>
            </w:r>
          </w:p>
          <w:p>
            <w:pPr>
              <w:adjustRightInd w:val="0"/>
              <w:snapToGrid w:val="0"/>
              <w:ind w:firstLine="0" w:firstLineChars="0"/>
              <w:rPr>
                <w:rFonts w:cs="Times New Roman"/>
                <w:color w:val="000000"/>
                <w:szCs w:val="24"/>
              </w:rPr>
            </w:pPr>
            <w:r>
              <w:rPr>
                <w:rFonts w:cs="Times New Roman"/>
                <w:color w:val="000000"/>
                <w:szCs w:val="24"/>
              </w:rPr>
              <w:t>17、《环境空气质量标准》（GB3095-2012）及其修改单（2018年）；</w:t>
            </w:r>
          </w:p>
          <w:p>
            <w:pPr>
              <w:adjustRightInd w:val="0"/>
              <w:snapToGrid w:val="0"/>
              <w:ind w:firstLine="0" w:firstLineChars="0"/>
              <w:rPr>
                <w:rFonts w:cs="Times New Roman"/>
                <w:color w:val="000000"/>
                <w:szCs w:val="24"/>
              </w:rPr>
            </w:pPr>
            <w:r>
              <w:rPr>
                <w:rFonts w:cs="Times New Roman"/>
                <w:color w:val="000000"/>
                <w:szCs w:val="24"/>
              </w:rPr>
              <w:t>18、《地表水环境质量标准》（GB3838-2002）；</w:t>
            </w:r>
          </w:p>
          <w:p>
            <w:pPr>
              <w:adjustRightInd w:val="0"/>
              <w:snapToGrid w:val="0"/>
              <w:ind w:firstLine="0" w:firstLineChars="0"/>
              <w:rPr>
                <w:rFonts w:cs="Times New Roman"/>
                <w:color w:val="000000"/>
                <w:szCs w:val="24"/>
              </w:rPr>
            </w:pPr>
            <w:r>
              <w:rPr>
                <w:rFonts w:cs="Times New Roman"/>
                <w:color w:val="000000"/>
                <w:szCs w:val="24"/>
              </w:rPr>
              <w:t>19、《声环境质量标准》（GB3096-2008）；</w:t>
            </w:r>
          </w:p>
          <w:p>
            <w:pPr>
              <w:adjustRightInd w:val="0"/>
              <w:snapToGrid w:val="0"/>
              <w:ind w:firstLine="0" w:firstLineChars="0"/>
              <w:rPr>
                <w:rFonts w:cs="Times New Roman"/>
                <w:color w:val="000000"/>
                <w:szCs w:val="24"/>
              </w:rPr>
            </w:pPr>
            <w:r>
              <w:rPr>
                <w:rFonts w:cs="Times New Roman"/>
                <w:color w:val="000000"/>
                <w:szCs w:val="24"/>
              </w:rPr>
              <w:t>20、《饮食业油烟排放标准》（GB18483-2001）；</w:t>
            </w:r>
          </w:p>
          <w:p>
            <w:pPr>
              <w:adjustRightInd w:val="0"/>
              <w:snapToGrid w:val="0"/>
              <w:ind w:firstLine="0" w:firstLineChars="0"/>
              <w:rPr>
                <w:rFonts w:cs="Times New Roman"/>
                <w:bCs/>
                <w:color w:val="000000"/>
                <w:szCs w:val="24"/>
              </w:rPr>
            </w:pPr>
            <w:r>
              <w:rPr>
                <w:rFonts w:cs="Times New Roman"/>
                <w:bCs/>
                <w:color w:val="000000"/>
                <w:szCs w:val="24"/>
              </w:rPr>
              <w:t>21、《国务院关于印发大气污染防治行动计划的通知》（国发[2013]37号，2013年9月10日发布）；</w:t>
            </w:r>
          </w:p>
          <w:p>
            <w:pPr>
              <w:adjustRightInd w:val="0"/>
              <w:snapToGrid w:val="0"/>
              <w:ind w:firstLine="0" w:firstLineChars="0"/>
              <w:rPr>
                <w:rFonts w:cs="Times New Roman"/>
                <w:bCs/>
                <w:color w:val="000000"/>
                <w:szCs w:val="24"/>
              </w:rPr>
            </w:pPr>
            <w:r>
              <w:rPr>
                <w:rFonts w:cs="Times New Roman"/>
                <w:bCs/>
                <w:color w:val="000000"/>
                <w:szCs w:val="24"/>
              </w:rPr>
              <w:t>22、《国务院关于印发水污染防治行动计划的通知》（国发[2015]17号，2015年4月2日发布）；</w:t>
            </w:r>
          </w:p>
          <w:p>
            <w:pPr>
              <w:adjustRightInd w:val="0"/>
              <w:snapToGrid w:val="0"/>
              <w:ind w:firstLine="0" w:firstLineChars="0"/>
              <w:rPr>
                <w:rFonts w:cs="Times New Roman"/>
                <w:bCs/>
                <w:color w:val="000000"/>
                <w:szCs w:val="24"/>
              </w:rPr>
            </w:pPr>
            <w:r>
              <w:rPr>
                <w:rFonts w:cs="Times New Roman"/>
                <w:bCs/>
                <w:color w:val="000000"/>
                <w:szCs w:val="24"/>
              </w:rPr>
              <w:t>23、广东省地方标准《大气污染物排放限值》（DB44/27-2001）；</w:t>
            </w:r>
          </w:p>
          <w:p>
            <w:pPr>
              <w:adjustRightInd w:val="0"/>
              <w:snapToGrid w:val="0"/>
              <w:ind w:firstLine="0" w:firstLineChars="0"/>
              <w:rPr>
                <w:rFonts w:cs="Times New Roman"/>
                <w:bCs/>
                <w:color w:val="000000"/>
                <w:szCs w:val="24"/>
              </w:rPr>
            </w:pPr>
            <w:r>
              <w:rPr>
                <w:rFonts w:cs="Times New Roman"/>
                <w:bCs/>
                <w:color w:val="000000"/>
                <w:szCs w:val="24"/>
              </w:rPr>
              <w:t>24、《工业企业厂界环境噪声排放标准》（GB12348-2008）；</w:t>
            </w:r>
          </w:p>
          <w:p>
            <w:pPr>
              <w:adjustRightInd w:val="0"/>
              <w:snapToGrid w:val="0"/>
              <w:ind w:firstLine="0" w:firstLineChars="0"/>
              <w:rPr>
                <w:rFonts w:cs="Times New Roman"/>
                <w:bCs/>
                <w:color w:val="000000"/>
                <w:szCs w:val="24"/>
              </w:rPr>
            </w:pPr>
            <w:r>
              <w:rPr>
                <w:rFonts w:cs="Times New Roman"/>
                <w:bCs/>
                <w:color w:val="000000"/>
                <w:szCs w:val="24"/>
              </w:rPr>
              <w:t>25、《广东省固体废物污染环境防治条例》（2012年7月26日修订）；</w:t>
            </w:r>
          </w:p>
          <w:p>
            <w:pPr>
              <w:adjustRightInd w:val="0"/>
              <w:snapToGrid w:val="0"/>
              <w:ind w:firstLine="0" w:firstLineChars="0"/>
              <w:rPr>
                <w:rFonts w:cs="Times New Roman"/>
                <w:bCs/>
                <w:color w:val="000000"/>
                <w:szCs w:val="24"/>
              </w:rPr>
            </w:pPr>
            <w:r>
              <w:rPr>
                <w:rFonts w:cs="Times New Roman"/>
                <w:bCs/>
                <w:color w:val="000000"/>
                <w:szCs w:val="24"/>
              </w:rPr>
              <w:t>26、《关于进一步加强环境影响评价管理防范环境风险的通知》（环发[2012]77号）；</w:t>
            </w:r>
          </w:p>
          <w:p>
            <w:pPr>
              <w:adjustRightInd w:val="0"/>
              <w:snapToGrid w:val="0"/>
              <w:ind w:firstLine="0" w:firstLineChars="0"/>
              <w:rPr>
                <w:rFonts w:cs="Times New Roman"/>
                <w:bCs/>
                <w:color w:val="000000"/>
                <w:szCs w:val="24"/>
              </w:rPr>
            </w:pPr>
            <w:r>
              <w:rPr>
                <w:rFonts w:cs="Times New Roman"/>
                <w:bCs/>
                <w:color w:val="000000"/>
                <w:szCs w:val="24"/>
              </w:rPr>
              <w:t>27、《环境影响评价公众参与办法》（生态环境部令第4号，2019年1月1日起实施）；</w:t>
            </w:r>
          </w:p>
          <w:p>
            <w:pPr>
              <w:adjustRightInd w:val="0"/>
              <w:snapToGrid w:val="0"/>
              <w:ind w:firstLine="0" w:firstLineChars="0"/>
              <w:rPr>
                <w:rFonts w:cs="Times New Roman"/>
                <w:color w:val="000000"/>
                <w:szCs w:val="24"/>
              </w:rPr>
            </w:pPr>
            <w:r>
              <w:rPr>
                <w:rFonts w:cs="Times New Roman"/>
                <w:bCs/>
                <w:color w:val="000000"/>
                <w:szCs w:val="24"/>
              </w:rPr>
              <w:t>28、《产业结构调整指导目录</w:t>
            </w:r>
            <w:r>
              <w:rPr>
                <w:rFonts w:hint="eastAsia" w:cs="Times New Roman"/>
                <w:bCs/>
                <w:color w:val="000000"/>
                <w:szCs w:val="24"/>
              </w:rPr>
              <w:t>》</w:t>
            </w:r>
            <w:r>
              <w:rPr>
                <w:rFonts w:cs="Times New Roman"/>
                <w:bCs/>
                <w:color w:val="000000"/>
                <w:szCs w:val="24"/>
              </w:rPr>
              <w:t>(2019年本)</w:t>
            </w:r>
            <w:r>
              <w:rPr>
                <w:rFonts w:cs="Times New Roman"/>
                <w:color w:val="000000"/>
                <w:szCs w:val="24"/>
              </w:rPr>
              <w:t>；</w:t>
            </w:r>
          </w:p>
          <w:p>
            <w:pPr>
              <w:adjustRightInd w:val="0"/>
              <w:snapToGrid w:val="0"/>
              <w:ind w:firstLine="0" w:firstLineChars="0"/>
              <w:rPr>
                <w:rFonts w:cs="Times New Roman"/>
                <w:bCs/>
                <w:color w:val="000000"/>
                <w:szCs w:val="24"/>
              </w:rPr>
            </w:pPr>
            <w:r>
              <w:rPr>
                <w:rFonts w:cs="Times New Roman"/>
                <w:bCs/>
                <w:color w:val="000000"/>
                <w:szCs w:val="24"/>
              </w:rPr>
              <w:t>29、《关于落实大气污染防治行动计划严格环境影响评价准入的通知》环办[2014]30号），2014年3月25日；</w:t>
            </w:r>
          </w:p>
          <w:p>
            <w:pPr>
              <w:adjustRightInd w:val="0"/>
              <w:snapToGrid w:val="0"/>
              <w:ind w:firstLine="0" w:firstLineChars="0"/>
              <w:rPr>
                <w:rFonts w:cs="Times New Roman"/>
                <w:bCs/>
                <w:color w:val="000000"/>
                <w:szCs w:val="24"/>
              </w:rPr>
            </w:pPr>
            <w:r>
              <w:rPr>
                <w:rFonts w:cs="Times New Roman"/>
                <w:bCs/>
                <w:color w:val="000000"/>
                <w:szCs w:val="24"/>
              </w:rPr>
              <w:t xml:space="preserve">30、国务院办公厅关于印发《控制污染物排放许可制实施方案》的通知(国办发〔2016〕81号)； </w:t>
            </w:r>
          </w:p>
          <w:p>
            <w:pPr>
              <w:adjustRightInd w:val="0"/>
              <w:snapToGrid w:val="0"/>
              <w:ind w:firstLine="0" w:firstLineChars="0"/>
              <w:rPr>
                <w:rFonts w:cs="Times New Roman"/>
                <w:bCs/>
                <w:color w:val="000000"/>
                <w:szCs w:val="24"/>
              </w:rPr>
            </w:pPr>
            <w:r>
              <w:rPr>
                <w:rFonts w:cs="Times New Roman"/>
                <w:bCs/>
                <w:color w:val="000000"/>
                <w:szCs w:val="24"/>
              </w:rPr>
              <w:t>31、关于印发《排污许可证管理暂行规定》的通知(环水体〔2016〕186号)；</w:t>
            </w:r>
          </w:p>
          <w:p>
            <w:pPr>
              <w:adjustRightInd w:val="0"/>
              <w:snapToGrid w:val="0"/>
              <w:ind w:firstLine="0" w:firstLineChars="0"/>
              <w:rPr>
                <w:rFonts w:cs="Times New Roman"/>
                <w:bCs/>
                <w:color w:val="000000"/>
                <w:szCs w:val="24"/>
              </w:rPr>
            </w:pPr>
            <w:r>
              <w:rPr>
                <w:rFonts w:cs="Times New Roman"/>
                <w:bCs/>
                <w:color w:val="000000"/>
                <w:szCs w:val="24"/>
              </w:rPr>
              <w:t>32、《广东省环境保护“十三五”规划》粤环〔2016〕51号；</w:t>
            </w:r>
          </w:p>
          <w:p>
            <w:pPr>
              <w:adjustRightInd w:val="0"/>
              <w:snapToGrid w:val="0"/>
              <w:ind w:firstLine="0" w:firstLineChars="0"/>
              <w:rPr>
                <w:rFonts w:cs="Times New Roman"/>
                <w:bCs/>
                <w:color w:val="000000"/>
                <w:szCs w:val="24"/>
              </w:rPr>
            </w:pPr>
            <w:r>
              <w:rPr>
                <w:rFonts w:cs="Times New Roman"/>
                <w:bCs/>
                <w:color w:val="000000"/>
                <w:szCs w:val="24"/>
              </w:rPr>
              <w:t>33、《广东省人民政府关于印发广东省土壤污染防治行动计划实施方案的通知》（粤府〔2016〕145号）。</w:t>
            </w:r>
          </w:p>
          <w:p>
            <w:pPr>
              <w:pStyle w:val="4"/>
              <w:rPr>
                <w:rFonts w:ascii="Times New Roman" w:hAnsi="Times New Roman" w:cs="Times New Roman"/>
                <w:lang w:val="zh-CN"/>
              </w:rPr>
            </w:pPr>
            <w:r>
              <w:rPr>
                <w:rFonts w:ascii="Times New Roman" w:hAnsi="Times New Roman" w:cs="Times New Roman"/>
                <w:lang w:val="zh-CN"/>
              </w:rPr>
              <w:t>1.1.3建设内容</w:t>
            </w:r>
          </w:p>
          <w:p>
            <w:pPr>
              <w:adjustRightInd w:val="0"/>
              <w:snapToGrid w:val="0"/>
              <w:ind w:firstLine="480"/>
              <w:rPr>
                <w:rFonts w:cs="Times New Roman"/>
                <w:bCs/>
                <w:color w:val="000000"/>
                <w:kern w:val="0"/>
                <w:szCs w:val="24"/>
                <w:lang w:val="zh-CN"/>
              </w:rPr>
            </w:pPr>
            <w:r>
              <w:rPr>
                <w:rFonts w:hint="eastAsia" w:cs="Times New Roman"/>
                <w:bCs/>
                <w:color w:val="000000"/>
                <w:kern w:val="0"/>
                <w:szCs w:val="24"/>
                <w:lang w:val="zh-CN"/>
              </w:rPr>
              <w:t>1、</w:t>
            </w:r>
            <w:r>
              <w:rPr>
                <w:rFonts w:cs="Times New Roman"/>
                <w:bCs/>
                <w:color w:val="000000"/>
                <w:kern w:val="0"/>
                <w:szCs w:val="24"/>
                <w:lang w:val="zh-CN"/>
              </w:rPr>
              <w:t>项目名称：开平市水口镇新海洋五金水暖塑料厂建设项目；</w:t>
            </w:r>
          </w:p>
          <w:p>
            <w:pPr>
              <w:ind w:left="900" w:hanging="420" w:firstLineChars="0"/>
              <w:rPr>
                <w:rFonts w:cs="Times New Roman"/>
                <w:bCs/>
                <w:color w:val="000000"/>
                <w:kern w:val="0"/>
                <w:szCs w:val="24"/>
                <w:lang w:val="zh-CN"/>
              </w:rPr>
            </w:pPr>
            <w:r>
              <w:rPr>
                <w:rFonts w:cs="Times New Roman"/>
                <w:bCs/>
                <w:color w:val="000000"/>
                <w:kern w:val="0"/>
                <w:szCs w:val="24"/>
                <w:lang w:val="zh-CN"/>
              </w:rPr>
              <w:t>建设单位：开平市水口镇新海洋五金水暖塑料厂；</w:t>
            </w:r>
          </w:p>
          <w:p>
            <w:pPr>
              <w:adjustRightInd w:val="0"/>
              <w:snapToGrid w:val="0"/>
              <w:ind w:firstLine="480"/>
              <w:rPr>
                <w:rFonts w:cs="Times New Roman"/>
                <w:color w:val="000000"/>
              </w:rPr>
            </w:pPr>
            <w:r>
              <w:rPr>
                <w:rFonts w:cs="Times New Roman"/>
                <w:color w:val="000000"/>
              </w:rPr>
              <w:t>3、 建设地点：开平市水口镇水暖城C2区（地理坐标：112.776614°E，22.457876°N）；</w:t>
            </w:r>
          </w:p>
          <w:p>
            <w:pPr>
              <w:adjustRightInd w:val="0"/>
              <w:snapToGrid w:val="0"/>
              <w:ind w:firstLine="480"/>
              <w:rPr>
                <w:rFonts w:cs="Times New Roman"/>
                <w:color w:val="000000"/>
              </w:rPr>
            </w:pPr>
            <w:r>
              <w:rPr>
                <w:rFonts w:cs="Times New Roman"/>
                <w:color w:val="000000"/>
              </w:rPr>
              <w:t>4、项目投资：</w:t>
            </w:r>
            <w:r>
              <w:rPr>
                <w:rFonts w:hint="eastAsia" w:cs="Times New Roman"/>
                <w:color w:val="000000"/>
              </w:rPr>
              <w:t>总投资</w:t>
            </w:r>
            <w:r>
              <w:rPr>
                <w:rFonts w:cs="Times New Roman"/>
                <w:color w:val="000000"/>
              </w:rPr>
              <w:t>100万元</w:t>
            </w:r>
            <w:r>
              <w:rPr>
                <w:rFonts w:hint="eastAsia" w:cs="Times New Roman"/>
                <w:color w:val="000000"/>
              </w:rPr>
              <w:t>，其中环保投资3</w:t>
            </w:r>
            <w:r>
              <w:rPr>
                <w:rFonts w:cs="Times New Roman"/>
                <w:color w:val="000000"/>
              </w:rPr>
              <w:t>5</w:t>
            </w:r>
            <w:r>
              <w:rPr>
                <w:rFonts w:hint="eastAsia" w:cs="Times New Roman"/>
                <w:color w:val="000000"/>
              </w:rPr>
              <w:t>万元</w:t>
            </w:r>
            <w:r>
              <w:rPr>
                <w:rFonts w:cs="Times New Roman"/>
                <w:color w:val="000000"/>
              </w:rPr>
              <w:t>；</w:t>
            </w:r>
          </w:p>
          <w:p>
            <w:pPr>
              <w:adjustRightInd w:val="0"/>
              <w:snapToGrid w:val="0"/>
              <w:ind w:firstLine="480"/>
              <w:rPr>
                <w:rFonts w:cs="Times New Roman"/>
                <w:color w:val="000000"/>
              </w:rPr>
            </w:pPr>
            <w:r>
              <w:rPr>
                <w:rFonts w:cs="Times New Roman"/>
                <w:color w:val="000000"/>
              </w:rPr>
              <w:t>5、建设内容：本项目占地面积为1687.5m</w:t>
            </w:r>
            <w:r>
              <w:rPr>
                <w:rFonts w:cs="Times New Roman"/>
                <w:color w:val="000000"/>
                <w:vertAlign w:val="superscript"/>
              </w:rPr>
              <w:t>2</w:t>
            </w:r>
            <w:r>
              <w:rPr>
                <w:rFonts w:cs="Times New Roman"/>
                <w:color w:val="000000"/>
              </w:rPr>
              <w:t>，建筑面积为1687.5m</w:t>
            </w:r>
            <w:r>
              <w:rPr>
                <w:rFonts w:cs="Times New Roman"/>
                <w:color w:val="000000"/>
                <w:vertAlign w:val="superscript"/>
              </w:rPr>
              <w:t>2</w:t>
            </w:r>
            <w:r>
              <w:rPr>
                <w:rFonts w:cs="Times New Roman"/>
                <w:color w:val="000000"/>
              </w:rPr>
              <w:t>，土地用途为工业用地，总投资100万元，主要从事卫浴配件的生产，年生产卫浴配件30万件。厂房已经施工完毕。根据建设单位提供资料，厂区包括热冲车间、机加工车间、抛光车间、安装车间、办公室等。项目主要工程组成如下表所示</w:t>
            </w:r>
            <w:r>
              <w:rPr>
                <w:rFonts w:hint="eastAsia" w:cs="Times New Roman"/>
                <w:color w:val="000000"/>
              </w:rPr>
              <w:t>：</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 1</w:t>
            </w:r>
            <w:r>
              <w:rPr>
                <w:rFonts w:cs="Times New Roman"/>
                <w:b/>
                <w:color w:val="000000"/>
                <w:sz w:val="21"/>
                <w:lang w:val="zh-CN"/>
              </w:rPr>
              <w:noBreakHyphen/>
            </w:r>
            <w:r>
              <w:rPr>
                <w:rFonts w:cs="Times New Roman"/>
                <w:b/>
                <w:color w:val="000000"/>
                <w:sz w:val="21"/>
                <w:lang w:val="zh-CN"/>
              </w:rPr>
              <w:fldChar w:fldCharType="begin"/>
            </w:r>
            <w:r>
              <w:rPr>
                <w:rFonts w:cs="Times New Roman"/>
                <w:b/>
                <w:color w:val="000000"/>
                <w:sz w:val="21"/>
                <w:lang w:val="zh-CN"/>
              </w:rPr>
              <w:instrText xml:space="preserve"> STYLEREF 0 \s </w:instrText>
            </w:r>
            <w:r>
              <w:rPr>
                <w:rFonts w:cs="Times New Roman"/>
                <w:b/>
                <w:color w:val="000000"/>
                <w:sz w:val="21"/>
                <w:lang w:val="zh-CN"/>
              </w:rPr>
              <w:fldChar w:fldCharType="separate"/>
            </w:r>
            <w:r>
              <w:rPr>
                <w:rFonts w:hint="eastAsia" w:cs="Times New Roman"/>
                <w:bCs/>
                <w:color w:val="000000"/>
                <w:sz w:val="21"/>
                <w:lang w:val="zh-CN"/>
              </w:rPr>
              <w:t>错误!使用“开始”选项卡将 0 应用于要在此处显示的文字。</w:t>
            </w:r>
            <w:r>
              <w:rPr>
                <w:rFonts w:cs="Times New Roman"/>
                <w:b/>
                <w:color w:val="000000"/>
                <w:sz w:val="21"/>
                <w:lang w:val="zh-CN"/>
              </w:rPr>
              <w:fldChar w:fldCharType="end"/>
            </w:r>
            <w:r>
              <w:rPr>
                <w:rFonts w:cs="Times New Roman"/>
                <w:b/>
                <w:color w:val="000000"/>
                <w:sz w:val="21"/>
                <w:lang w:val="zh-CN"/>
              </w:rPr>
              <w:t>-</w:t>
            </w:r>
            <w:r>
              <w:rPr>
                <w:rFonts w:cs="Times New Roman"/>
                <w:b/>
                <w:color w:val="000000"/>
                <w:sz w:val="21"/>
                <w:lang w:val="zh-CN"/>
              </w:rPr>
              <w:fldChar w:fldCharType="begin"/>
            </w:r>
            <w:r>
              <w:rPr>
                <w:rFonts w:cs="Times New Roman"/>
                <w:b/>
                <w:color w:val="000000"/>
                <w:sz w:val="21"/>
                <w:lang w:val="zh-CN"/>
              </w:rPr>
              <w:instrText xml:space="preserve"> SEQ 表 \* ARABIC \s 0 </w:instrText>
            </w:r>
            <w:r>
              <w:rPr>
                <w:rFonts w:cs="Times New Roman"/>
                <w:b/>
                <w:color w:val="000000"/>
                <w:sz w:val="21"/>
                <w:lang w:val="zh-CN"/>
              </w:rPr>
              <w:fldChar w:fldCharType="separate"/>
            </w:r>
            <w:r>
              <w:rPr>
                <w:rFonts w:cs="Times New Roman"/>
                <w:b/>
                <w:color w:val="000000"/>
                <w:sz w:val="21"/>
                <w:lang w:val="zh-CN"/>
              </w:rPr>
              <w:t>1</w:t>
            </w:r>
            <w:r>
              <w:rPr>
                <w:rFonts w:cs="Times New Roman"/>
                <w:b/>
                <w:color w:val="000000"/>
                <w:sz w:val="21"/>
                <w:lang w:val="zh-CN"/>
              </w:rPr>
              <w:fldChar w:fldCharType="end"/>
            </w:r>
            <w:r>
              <w:rPr>
                <w:rFonts w:cs="Times New Roman"/>
                <w:b/>
                <w:color w:val="000000"/>
                <w:sz w:val="21"/>
                <w:lang w:val="zh-CN"/>
              </w:rPr>
              <w:t>项目主要工程组成一览表</w:t>
            </w:r>
          </w:p>
          <w:tbl>
            <w:tblPr>
              <w:tblStyle w:val="38"/>
              <w:tblW w:w="91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19"/>
              <w:gridCol w:w="1098"/>
              <w:gridCol w:w="136"/>
              <w:gridCol w:w="1381"/>
              <w:gridCol w:w="2614"/>
              <w:gridCol w:w="23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1619" w:type="dxa"/>
                  <w:vAlign w:val="center"/>
                </w:tcPr>
                <w:p>
                  <w:pPr>
                    <w:pStyle w:val="45"/>
                    <w:rPr>
                      <w:kern w:val="0"/>
                      <w:szCs w:val="20"/>
                    </w:rPr>
                  </w:pPr>
                  <w:r>
                    <w:rPr>
                      <w:kern w:val="0"/>
                      <w:szCs w:val="20"/>
                    </w:rPr>
                    <w:t>工程名称</w:t>
                  </w:r>
                </w:p>
              </w:tc>
              <w:tc>
                <w:tcPr>
                  <w:tcW w:w="2615" w:type="dxa"/>
                  <w:gridSpan w:val="3"/>
                  <w:vAlign w:val="center"/>
                </w:tcPr>
                <w:p>
                  <w:pPr>
                    <w:pStyle w:val="45"/>
                    <w:rPr>
                      <w:kern w:val="0"/>
                      <w:szCs w:val="20"/>
                    </w:rPr>
                  </w:pPr>
                  <w:r>
                    <w:rPr>
                      <w:kern w:val="0"/>
                      <w:szCs w:val="20"/>
                    </w:rPr>
                    <w:t>单项工程名称</w:t>
                  </w:r>
                </w:p>
              </w:tc>
              <w:tc>
                <w:tcPr>
                  <w:tcW w:w="2614" w:type="dxa"/>
                  <w:vAlign w:val="center"/>
                </w:tcPr>
                <w:p>
                  <w:pPr>
                    <w:pStyle w:val="45"/>
                    <w:rPr>
                      <w:kern w:val="0"/>
                      <w:szCs w:val="20"/>
                    </w:rPr>
                  </w:pPr>
                  <w:r>
                    <w:rPr>
                      <w:kern w:val="0"/>
                      <w:szCs w:val="20"/>
                    </w:rPr>
                    <w:t>内容说明</w:t>
                  </w:r>
                </w:p>
              </w:tc>
              <w:tc>
                <w:tcPr>
                  <w:tcW w:w="2329" w:type="dxa"/>
                  <w:vAlign w:val="center"/>
                </w:tcPr>
                <w:p>
                  <w:pPr>
                    <w:pStyle w:val="45"/>
                    <w:rPr>
                      <w:kern w:val="0"/>
                      <w:szCs w:val="20"/>
                    </w:rPr>
                  </w:pPr>
                  <w:r>
                    <w:rPr>
                      <w:kern w:val="0"/>
                      <w:szCs w:val="20"/>
                    </w:rPr>
                    <w:t>工程规模/设计能力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Align w:val="center"/>
                </w:tcPr>
                <w:p>
                  <w:pPr>
                    <w:pStyle w:val="45"/>
                    <w:rPr>
                      <w:bCs/>
                      <w:kern w:val="0"/>
                      <w:szCs w:val="20"/>
                    </w:rPr>
                  </w:pPr>
                  <w:r>
                    <w:rPr>
                      <w:bCs/>
                      <w:kern w:val="0"/>
                      <w:szCs w:val="20"/>
                    </w:rPr>
                    <w:t>主体工程</w:t>
                  </w:r>
                </w:p>
              </w:tc>
              <w:tc>
                <w:tcPr>
                  <w:tcW w:w="2615" w:type="dxa"/>
                  <w:gridSpan w:val="3"/>
                  <w:vAlign w:val="center"/>
                </w:tcPr>
                <w:p>
                  <w:pPr>
                    <w:pStyle w:val="45"/>
                    <w:rPr>
                      <w:bCs/>
                      <w:kern w:val="0"/>
                      <w:szCs w:val="20"/>
                    </w:rPr>
                  </w:pPr>
                  <w:r>
                    <w:rPr>
                      <w:bCs/>
                      <w:kern w:val="0"/>
                      <w:szCs w:val="20"/>
                    </w:rPr>
                    <w:t>生产车间</w:t>
                  </w:r>
                </w:p>
              </w:tc>
              <w:tc>
                <w:tcPr>
                  <w:tcW w:w="4943" w:type="dxa"/>
                  <w:gridSpan w:val="2"/>
                  <w:vAlign w:val="center"/>
                </w:tcPr>
                <w:p>
                  <w:pPr>
                    <w:pStyle w:val="45"/>
                    <w:rPr>
                      <w:bCs/>
                      <w:kern w:val="0"/>
                      <w:szCs w:val="20"/>
                    </w:rPr>
                  </w:pPr>
                  <w:r>
                    <w:rPr>
                      <w:bCs/>
                      <w:kern w:val="0"/>
                      <w:szCs w:val="20"/>
                    </w:rPr>
                    <w:t>一层，建筑面积约1500</w:t>
                  </w:r>
                  <w:r>
                    <w:rPr>
                      <w:kern w:val="0"/>
                      <w:szCs w:val="20"/>
                    </w:rPr>
                    <w:t xml:space="preserve"> m</w:t>
                  </w:r>
                  <w:r>
                    <w:rPr>
                      <w:kern w:val="0"/>
                      <w:szCs w:val="20"/>
                      <w:vertAlign w:val="superscript"/>
                    </w:rPr>
                    <w:t>2</w:t>
                  </w:r>
                  <w:r>
                    <w:rPr>
                      <w:kern w:val="0"/>
                      <w:szCs w:val="20"/>
                    </w:rPr>
                    <w:t>，包括热冲车间、抛光车间、机加车间、安装车间。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Align w:val="center"/>
                </w:tcPr>
                <w:p>
                  <w:pPr>
                    <w:pStyle w:val="45"/>
                    <w:rPr>
                      <w:bCs/>
                      <w:kern w:val="0"/>
                      <w:szCs w:val="20"/>
                    </w:rPr>
                  </w:pPr>
                  <w:r>
                    <w:rPr>
                      <w:bCs/>
                      <w:kern w:val="0"/>
                      <w:szCs w:val="20"/>
                    </w:rPr>
                    <w:t>配套工程</w:t>
                  </w:r>
                </w:p>
              </w:tc>
              <w:tc>
                <w:tcPr>
                  <w:tcW w:w="2615" w:type="dxa"/>
                  <w:gridSpan w:val="3"/>
                  <w:vAlign w:val="center"/>
                </w:tcPr>
                <w:p>
                  <w:pPr>
                    <w:pStyle w:val="45"/>
                    <w:rPr>
                      <w:bCs/>
                      <w:kern w:val="0"/>
                      <w:szCs w:val="20"/>
                    </w:rPr>
                  </w:pPr>
                  <w:r>
                    <w:rPr>
                      <w:bCs/>
                      <w:kern w:val="0"/>
                      <w:szCs w:val="20"/>
                    </w:rPr>
                    <w:t>办公室</w:t>
                  </w:r>
                </w:p>
              </w:tc>
              <w:tc>
                <w:tcPr>
                  <w:tcW w:w="4943" w:type="dxa"/>
                  <w:gridSpan w:val="2"/>
                  <w:vAlign w:val="center"/>
                </w:tcPr>
                <w:p>
                  <w:pPr>
                    <w:pStyle w:val="45"/>
                    <w:rPr>
                      <w:kern w:val="0"/>
                      <w:szCs w:val="20"/>
                    </w:rPr>
                  </w:pPr>
                  <w:r>
                    <w:rPr>
                      <w:kern w:val="0"/>
                      <w:szCs w:val="20"/>
                    </w:rPr>
                    <w:t>位于厂房内，约187</w:t>
                  </w:r>
                  <w:r>
                    <w:rPr>
                      <w:rFonts w:hint="eastAsia"/>
                      <w:kern w:val="0"/>
                      <w:szCs w:val="20"/>
                    </w:rPr>
                    <w:t>.5</w:t>
                  </w:r>
                  <w:r>
                    <w:rPr>
                      <w:kern w:val="0"/>
                      <w:szCs w:val="20"/>
                    </w:rPr>
                    <w:t>m</w:t>
                  </w:r>
                  <w:r>
                    <w:rPr>
                      <w:kern w:val="0"/>
                      <w:szCs w:val="20"/>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restart"/>
                  <w:vAlign w:val="center"/>
                </w:tcPr>
                <w:p>
                  <w:pPr>
                    <w:pStyle w:val="45"/>
                    <w:rPr>
                      <w:bCs/>
                      <w:kern w:val="0"/>
                      <w:szCs w:val="20"/>
                    </w:rPr>
                  </w:pPr>
                  <w:r>
                    <w:rPr>
                      <w:bCs/>
                      <w:kern w:val="0"/>
                      <w:szCs w:val="20"/>
                    </w:rPr>
                    <w:t>公用工程</w:t>
                  </w:r>
                </w:p>
              </w:tc>
              <w:tc>
                <w:tcPr>
                  <w:tcW w:w="2615" w:type="dxa"/>
                  <w:gridSpan w:val="3"/>
                  <w:vAlign w:val="center"/>
                </w:tcPr>
                <w:p>
                  <w:pPr>
                    <w:pStyle w:val="45"/>
                    <w:rPr>
                      <w:bCs/>
                      <w:kern w:val="0"/>
                      <w:szCs w:val="20"/>
                    </w:rPr>
                  </w:pPr>
                  <w:r>
                    <w:rPr>
                      <w:bCs/>
                      <w:kern w:val="0"/>
                      <w:szCs w:val="20"/>
                    </w:rPr>
                    <w:t>供水系统</w:t>
                  </w:r>
                </w:p>
              </w:tc>
              <w:tc>
                <w:tcPr>
                  <w:tcW w:w="2614" w:type="dxa"/>
                  <w:vAlign w:val="center"/>
                </w:tcPr>
                <w:p>
                  <w:pPr>
                    <w:pStyle w:val="45"/>
                    <w:rPr>
                      <w:bCs/>
                      <w:kern w:val="0"/>
                      <w:szCs w:val="20"/>
                    </w:rPr>
                  </w:pPr>
                  <w:r>
                    <w:rPr>
                      <w:bCs/>
                      <w:kern w:val="0"/>
                      <w:szCs w:val="20"/>
                    </w:rPr>
                    <w:t>市政管网供水</w:t>
                  </w:r>
                </w:p>
              </w:tc>
              <w:tc>
                <w:tcPr>
                  <w:tcW w:w="2329" w:type="dxa"/>
                  <w:vAlign w:val="center"/>
                </w:tcPr>
                <w:p>
                  <w:pPr>
                    <w:pStyle w:val="45"/>
                    <w:rPr>
                      <w:bCs/>
                      <w:kern w:val="0"/>
                      <w:szCs w:val="20"/>
                    </w:rPr>
                  </w:pPr>
                  <w:r>
                    <w:rPr>
                      <w:bCs/>
                      <w:kern w:val="0"/>
                      <w:szCs w:val="20"/>
                    </w:rPr>
                    <w:t>年用水量168.8m</w:t>
                  </w:r>
                  <w:r>
                    <w:rPr>
                      <w:bCs/>
                      <w:kern w:val="0"/>
                      <w:szCs w:val="20"/>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2615" w:type="dxa"/>
                  <w:gridSpan w:val="3"/>
                  <w:vAlign w:val="center"/>
                </w:tcPr>
                <w:p>
                  <w:pPr>
                    <w:pStyle w:val="45"/>
                    <w:rPr>
                      <w:bCs/>
                      <w:kern w:val="0"/>
                      <w:szCs w:val="20"/>
                    </w:rPr>
                  </w:pPr>
                  <w:r>
                    <w:rPr>
                      <w:bCs/>
                      <w:kern w:val="0"/>
                      <w:szCs w:val="20"/>
                    </w:rPr>
                    <w:t>供电系统</w:t>
                  </w:r>
                </w:p>
              </w:tc>
              <w:tc>
                <w:tcPr>
                  <w:tcW w:w="2614" w:type="dxa"/>
                  <w:vAlign w:val="center"/>
                </w:tcPr>
                <w:p>
                  <w:pPr>
                    <w:pStyle w:val="45"/>
                    <w:rPr>
                      <w:bCs/>
                      <w:kern w:val="0"/>
                      <w:szCs w:val="20"/>
                    </w:rPr>
                  </w:pPr>
                  <w:r>
                    <w:rPr>
                      <w:bCs/>
                      <w:kern w:val="0"/>
                      <w:szCs w:val="20"/>
                    </w:rPr>
                    <w:t>市政供电系统供应</w:t>
                  </w:r>
                </w:p>
              </w:tc>
              <w:tc>
                <w:tcPr>
                  <w:tcW w:w="2329" w:type="dxa"/>
                  <w:vAlign w:val="center"/>
                </w:tcPr>
                <w:p>
                  <w:pPr>
                    <w:pStyle w:val="45"/>
                    <w:rPr>
                      <w:bCs/>
                      <w:kern w:val="0"/>
                      <w:szCs w:val="20"/>
                    </w:rPr>
                  </w:pPr>
                  <w:r>
                    <w:rPr>
                      <w:bCs/>
                      <w:kern w:val="0"/>
                      <w:szCs w:val="20"/>
                    </w:rPr>
                    <w:t>年用电量6万度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restart"/>
                  <w:vAlign w:val="center"/>
                </w:tcPr>
                <w:p>
                  <w:pPr>
                    <w:pStyle w:val="45"/>
                    <w:rPr>
                      <w:bCs/>
                      <w:kern w:val="0"/>
                      <w:szCs w:val="20"/>
                    </w:rPr>
                  </w:pPr>
                  <w:r>
                    <w:rPr>
                      <w:bCs/>
                      <w:kern w:val="0"/>
                      <w:szCs w:val="20"/>
                    </w:rPr>
                    <w:t>环保工程</w:t>
                  </w:r>
                </w:p>
              </w:tc>
              <w:tc>
                <w:tcPr>
                  <w:tcW w:w="1098" w:type="dxa"/>
                  <w:vMerge w:val="restart"/>
                  <w:tcBorders>
                    <w:right w:val="single" w:color="auto" w:sz="4" w:space="0"/>
                  </w:tcBorders>
                  <w:vAlign w:val="center"/>
                </w:tcPr>
                <w:p>
                  <w:pPr>
                    <w:pStyle w:val="45"/>
                    <w:rPr>
                      <w:bCs/>
                      <w:kern w:val="0"/>
                      <w:szCs w:val="20"/>
                    </w:rPr>
                  </w:pPr>
                  <w:r>
                    <w:rPr>
                      <w:bCs/>
                      <w:kern w:val="0"/>
                      <w:szCs w:val="20"/>
                    </w:rPr>
                    <w:t>粉尘</w:t>
                  </w:r>
                </w:p>
              </w:tc>
              <w:tc>
                <w:tcPr>
                  <w:tcW w:w="1517" w:type="dxa"/>
                  <w:gridSpan w:val="2"/>
                  <w:tcBorders>
                    <w:left w:val="single" w:color="auto" w:sz="4" w:space="0"/>
                  </w:tcBorders>
                  <w:vAlign w:val="center"/>
                </w:tcPr>
                <w:p>
                  <w:pPr>
                    <w:pStyle w:val="45"/>
                    <w:rPr>
                      <w:bCs/>
                      <w:kern w:val="0"/>
                      <w:szCs w:val="20"/>
                    </w:rPr>
                  </w:pPr>
                  <w:r>
                    <w:rPr>
                      <w:bCs/>
                      <w:kern w:val="0"/>
                      <w:szCs w:val="20"/>
                    </w:rPr>
                    <w:t>切割、机加工</w:t>
                  </w:r>
                </w:p>
              </w:tc>
              <w:tc>
                <w:tcPr>
                  <w:tcW w:w="4943" w:type="dxa"/>
                  <w:gridSpan w:val="2"/>
                  <w:vAlign w:val="center"/>
                </w:tcPr>
                <w:p>
                  <w:pPr>
                    <w:pStyle w:val="45"/>
                    <w:rPr>
                      <w:bCs/>
                      <w:kern w:val="0"/>
                      <w:szCs w:val="20"/>
                    </w:rPr>
                  </w:pPr>
                  <w:r>
                    <w:rPr>
                      <w:bCs/>
                      <w:color w:val="000000" w:themeColor="text1"/>
                      <w:kern w:val="0"/>
                      <w:szCs w:val="20"/>
                    </w:rPr>
                    <w:t>定期清扫地面，车间通风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098" w:type="dxa"/>
                  <w:vMerge w:val="continue"/>
                  <w:tcBorders>
                    <w:right w:val="single" w:color="auto" w:sz="4" w:space="0"/>
                  </w:tcBorders>
                  <w:vAlign w:val="center"/>
                </w:tcPr>
                <w:p>
                  <w:pPr>
                    <w:pStyle w:val="45"/>
                    <w:rPr>
                      <w:bCs/>
                      <w:kern w:val="0"/>
                      <w:szCs w:val="20"/>
                    </w:rPr>
                  </w:pPr>
                </w:p>
              </w:tc>
              <w:tc>
                <w:tcPr>
                  <w:tcW w:w="1517" w:type="dxa"/>
                  <w:gridSpan w:val="2"/>
                  <w:tcBorders>
                    <w:left w:val="single" w:color="auto" w:sz="4" w:space="0"/>
                  </w:tcBorders>
                  <w:vAlign w:val="center"/>
                </w:tcPr>
                <w:p>
                  <w:pPr>
                    <w:pStyle w:val="45"/>
                    <w:rPr>
                      <w:bCs/>
                      <w:kern w:val="0"/>
                      <w:szCs w:val="20"/>
                    </w:rPr>
                  </w:pPr>
                  <w:r>
                    <w:rPr>
                      <w:bCs/>
                      <w:kern w:val="0"/>
                      <w:szCs w:val="20"/>
                    </w:rPr>
                    <w:t>热冲脱模</w:t>
                  </w:r>
                </w:p>
              </w:tc>
              <w:tc>
                <w:tcPr>
                  <w:tcW w:w="4943" w:type="dxa"/>
                  <w:gridSpan w:val="2"/>
                  <w:vAlign w:val="center"/>
                </w:tcPr>
                <w:p>
                  <w:pPr>
                    <w:pStyle w:val="45"/>
                    <w:rPr>
                      <w:bCs/>
                      <w:kern w:val="0"/>
                      <w:szCs w:val="20"/>
                    </w:rPr>
                  </w:pPr>
                  <w:r>
                    <w:rPr>
                      <w:rFonts w:hint="eastAsia"/>
                      <w:bCs/>
                      <w:kern w:val="0"/>
                      <w:szCs w:val="20"/>
                    </w:rPr>
                    <w:t>1套</w:t>
                  </w:r>
                  <w:r>
                    <w:rPr>
                      <w:bCs/>
                      <w:kern w:val="0"/>
                      <w:szCs w:val="20"/>
                    </w:rPr>
                    <w:t>水喷淋塔A+</w:t>
                  </w:r>
                  <w:r>
                    <w:rPr>
                      <w:rFonts w:hint="eastAsia"/>
                      <w:bCs/>
                      <w:kern w:val="0"/>
                      <w:szCs w:val="20"/>
                    </w:rPr>
                    <w:t>1套</w:t>
                  </w:r>
                  <w:r>
                    <w:rPr>
                      <w:bCs/>
                      <w:kern w:val="0"/>
                      <w:szCs w:val="20"/>
                    </w:rPr>
                    <w:t>油烟净化器+G1排气筒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098" w:type="dxa"/>
                  <w:vMerge w:val="continue"/>
                  <w:tcBorders>
                    <w:right w:val="single" w:color="auto" w:sz="4" w:space="0"/>
                  </w:tcBorders>
                  <w:vAlign w:val="center"/>
                </w:tcPr>
                <w:p>
                  <w:pPr>
                    <w:pStyle w:val="45"/>
                    <w:rPr>
                      <w:bCs/>
                      <w:kern w:val="0"/>
                      <w:szCs w:val="20"/>
                    </w:rPr>
                  </w:pPr>
                </w:p>
              </w:tc>
              <w:tc>
                <w:tcPr>
                  <w:tcW w:w="1517" w:type="dxa"/>
                  <w:gridSpan w:val="2"/>
                  <w:tcBorders>
                    <w:left w:val="single" w:color="auto" w:sz="4" w:space="0"/>
                  </w:tcBorders>
                  <w:vAlign w:val="center"/>
                </w:tcPr>
                <w:p>
                  <w:pPr>
                    <w:pStyle w:val="45"/>
                    <w:rPr>
                      <w:bCs/>
                      <w:kern w:val="0"/>
                      <w:szCs w:val="20"/>
                    </w:rPr>
                  </w:pPr>
                  <w:r>
                    <w:rPr>
                      <w:bCs/>
                      <w:kern w:val="0"/>
                      <w:szCs w:val="20"/>
                    </w:rPr>
                    <w:t>抛光打磨</w:t>
                  </w:r>
                </w:p>
              </w:tc>
              <w:tc>
                <w:tcPr>
                  <w:tcW w:w="4943" w:type="dxa"/>
                  <w:gridSpan w:val="2"/>
                  <w:vAlign w:val="center"/>
                </w:tcPr>
                <w:p>
                  <w:pPr>
                    <w:pStyle w:val="45"/>
                    <w:jc w:val="left"/>
                    <w:rPr>
                      <w:bCs/>
                      <w:kern w:val="0"/>
                      <w:szCs w:val="20"/>
                    </w:rPr>
                  </w:pPr>
                  <w:r>
                    <w:rPr>
                      <w:rFonts w:hint="eastAsia"/>
                      <w:bCs/>
                      <w:kern w:val="0"/>
                      <w:szCs w:val="20"/>
                    </w:rPr>
                    <w:t>4套（B、</w:t>
                  </w:r>
                  <w:r>
                    <w:rPr>
                      <w:bCs/>
                      <w:kern w:val="0"/>
                      <w:szCs w:val="20"/>
                    </w:rPr>
                    <w:t>C</w:t>
                  </w:r>
                  <w:r>
                    <w:rPr>
                      <w:rFonts w:hint="eastAsia"/>
                      <w:bCs/>
                      <w:kern w:val="0"/>
                      <w:szCs w:val="20"/>
                    </w:rPr>
                    <w:t>、</w:t>
                  </w:r>
                  <w:r>
                    <w:rPr>
                      <w:bCs/>
                      <w:kern w:val="0"/>
                      <w:szCs w:val="20"/>
                    </w:rPr>
                    <w:t>D</w:t>
                  </w:r>
                  <w:r>
                    <w:rPr>
                      <w:rFonts w:hint="eastAsia"/>
                      <w:bCs/>
                      <w:kern w:val="0"/>
                      <w:szCs w:val="20"/>
                    </w:rPr>
                    <w:t>、</w:t>
                  </w:r>
                  <w:r>
                    <w:rPr>
                      <w:bCs/>
                      <w:kern w:val="0"/>
                      <w:szCs w:val="20"/>
                    </w:rPr>
                    <w:t>E</w:t>
                  </w:r>
                  <w:r>
                    <w:rPr>
                      <w:rFonts w:hint="eastAsia"/>
                      <w:bCs/>
                      <w:kern w:val="0"/>
                      <w:szCs w:val="20"/>
                    </w:rPr>
                    <w:t>）</w:t>
                  </w:r>
                  <w:r>
                    <w:rPr>
                      <w:bCs/>
                      <w:kern w:val="0"/>
                      <w:szCs w:val="20"/>
                    </w:rPr>
                    <w:t>水喷淋塔+</w:t>
                  </w:r>
                  <w:r>
                    <w:rPr>
                      <w:rFonts w:hint="eastAsia"/>
                      <w:bCs/>
                      <w:kern w:val="0"/>
                      <w:szCs w:val="20"/>
                    </w:rPr>
                    <w:t>3条</w:t>
                  </w:r>
                  <w:r>
                    <w:rPr>
                      <w:bCs/>
                      <w:kern w:val="0"/>
                      <w:szCs w:val="20"/>
                    </w:rPr>
                    <w:t>15m 排气筒</w:t>
                  </w:r>
                  <w:r>
                    <w:rPr>
                      <w:rFonts w:hint="eastAsia"/>
                      <w:bCs/>
                      <w:kern w:val="0"/>
                      <w:szCs w:val="20"/>
                    </w:rPr>
                    <w:t>，其中1号抛光车间与热冲车间共用G</w:t>
                  </w:r>
                  <w:r>
                    <w:rPr>
                      <w:bCs/>
                      <w:kern w:val="0"/>
                      <w:szCs w:val="20"/>
                    </w:rPr>
                    <w:t>1</w:t>
                  </w:r>
                  <w:r>
                    <w:rPr>
                      <w:rFonts w:hint="eastAsia"/>
                      <w:bCs/>
                      <w:kern w:val="0"/>
                      <w:szCs w:val="20"/>
                    </w:rPr>
                    <w:t>排气筒</w:t>
                  </w:r>
                  <w:r>
                    <w:rPr>
                      <w:bCs/>
                      <w:kern w:val="0"/>
                      <w:szCs w:val="20"/>
                    </w:rPr>
                    <w:t>；</w:t>
                  </w:r>
                  <w:r>
                    <w:rPr>
                      <w:rFonts w:hint="eastAsia"/>
                      <w:bCs/>
                      <w:kern w:val="0"/>
                      <w:szCs w:val="20"/>
                    </w:rPr>
                    <w:t>2、3号抛光车间共用G</w:t>
                  </w:r>
                  <w:r>
                    <w:rPr>
                      <w:bCs/>
                      <w:kern w:val="0"/>
                      <w:szCs w:val="20"/>
                    </w:rPr>
                    <w:t>2</w:t>
                  </w:r>
                  <w:r>
                    <w:rPr>
                      <w:rFonts w:hint="eastAsia"/>
                      <w:bCs/>
                      <w:kern w:val="0"/>
                      <w:szCs w:val="20"/>
                    </w:rPr>
                    <w:t>排气筒；4号抛光车间使用G</w:t>
                  </w:r>
                  <w:r>
                    <w:rPr>
                      <w:bCs/>
                      <w:kern w:val="0"/>
                      <w:szCs w:val="20"/>
                    </w:rPr>
                    <w:t>3</w:t>
                  </w:r>
                  <w:r>
                    <w:rPr>
                      <w:rFonts w:hint="eastAsia"/>
                      <w:bCs/>
                      <w:kern w:val="0"/>
                      <w:szCs w:val="20"/>
                    </w:rPr>
                    <w:t>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2615" w:type="dxa"/>
                  <w:gridSpan w:val="3"/>
                  <w:vAlign w:val="center"/>
                </w:tcPr>
                <w:p>
                  <w:pPr>
                    <w:pStyle w:val="45"/>
                    <w:rPr>
                      <w:bCs/>
                      <w:kern w:val="0"/>
                      <w:szCs w:val="20"/>
                    </w:rPr>
                  </w:pPr>
                  <w:r>
                    <w:rPr>
                      <w:bCs/>
                      <w:kern w:val="0"/>
                      <w:szCs w:val="20"/>
                    </w:rPr>
                    <w:t>污水处理</w:t>
                  </w:r>
                </w:p>
              </w:tc>
              <w:tc>
                <w:tcPr>
                  <w:tcW w:w="4943" w:type="dxa"/>
                  <w:gridSpan w:val="2"/>
                  <w:vAlign w:val="center"/>
                </w:tcPr>
                <w:p>
                  <w:pPr>
                    <w:pStyle w:val="45"/>
                    <w:rPr>
                      <w:bCs/>
                      <w:kern w:val="0"/>
                      <w:szCs w:val="20"/>
                    </w:rPr>
                  </w:pPr>
                  <w:r>
                    <w:rPr>
                      <w:bCs/>
                      <w:kern w:val="0"/>
                      <w:szCs w:val="20"/>
                    </w:rPr>
                    <w:t>三级化粪池预处理后通过市政管网排入污水处理厂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2615" w:type="dxa"/>
                  <w:gridSpan w:val="3"/>
                  <w:vAlign w:val="center"/>
                </w:tcPr>
                <w:p>
                  <w:pPr>
                    <w:pStyle w:val="45"/>
                    <w:rPr>
                      <w:bCs/>
                      <w:kern w:val="0"/>
                      <w:szCs w:val="20"/>
                    </w:rPr>
                  </w:pPr>
                  <w:r>
                    <w:rPr>
                      <w:bCs/>
                      <w:kern w:val="0"/>
                      <w:szCs w:val="20"/>
                    </w:rPr>
                    <w:t>噪声处理</w:t>
                  </w:r>
                </w:p>
              </w:tc>
              <w:tc>
                <w:tcPr>
                  <w:tcW w:w="4943" w:type="dxa"/>
                  <w:gridSpan w:val="2"/>
                  <w:vAlign w:val="center"/>
                </w:tcPr>
                <w:p>
                  <w:pPr>
                    <w:pStyle w:val="45"/>
                    <w:rPr>
                      <w:bCs/>
                      <w:kern w:val="0"/>
                      <w:szCs w:val="20"/>
                    </w:rPr>
                  </w:pPr>
                  <w:r>
                    <w:rPr>
                      <w:bCs/>
                      <w:kern w:val="0"/>
                      <w:szCs w:val="20"/>
                    </w:rPr>
                    <w:t>低噪音设备、减震、隔声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restart"/>
                  <w:vAlign w:val="center"/>
                </w:tcPr>
                <w:p>
                  <w:pPr>
                    <w:pStyle w:val="45"/>
                    <w:rPr>
                      <w:bCs/>
                      <w:kern w:val="0"/>
                      <w:szCs w:val="20"/>
                    </w:rPr>
                  </w:pPr>
                  <w:r>
                    <w:rPr>
                      <w:bCs/>
                      <w:kern w:val="0"/>
                      <w:szCs w:val="20"/>
                    </w:rPr>
                    <w:t>固废处理</w:t>
                  </w:r>
                </w:p>
              </w:tc>
              <w:tc>
                <w:tcPr>
                  <w:tcW w:w="1381" w:type="dxa"/>
                  <w:vAlign w:val="center"/>
                </w:tcPr>
                <w:p>
                  <w:pPr>
                    <w:pStyle w:val="45"/>
                    <w:rPr>
                      <w:bCs/>
                      <w:color w:val="FF0000"/>
                      <w:kern w:val="0"/>
                      <w:szCs w:val="20"/>
                    </w:rPr>
                  </w:pPr>
                  <w:r>
                    <w:rPr>
                      <w:bCs/>
                      <w:color w:val="000000" w:themeColor="text1"/>
                      <w:kern w:val="0"/>
                      <w:szCs w:val="20"/>
                    </w:rPr>
                    <w:t>生活垃圾</w:t>
                  </w:r>
                </w:p>
              </w:tc>
              <w:tc>
                <w:tcPr>
                  <w:tcW w:w="4943" w:type="dxa"/>
                  <w:gridSpan w:val="2"/>
                  <w:vAlign w:val="center"/>
                </w:tcPr>
                <w:p>
                  <w:pPr>
                    <w:pStyle w:val="45"/>
                    <w:rPr>
                      <w:bCs/>
                      <w:color w:val="FF0000"/>
                      <w:kern w:val="0"/>
                      <w:szCs w:val="20"/>
                    </w:rPr>
                  </w:pPr>
                  <w:r>
                    <w:rPr>
                      <w:color w:val="000000" w:themeColor="text1"/>
                      <w:kern w:val="0"/>
                      <w:szCs w:val="20"/>
                    </w:rPr>
                    <w:t>收集定期由交环卫部门清运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000000" w:themeColor="text1"/>
                      <w:kern w:val="0"/>
                      <w:szCs w:val="20"/>
                    </w:rPr>
                  </w:pPr>
                  <w:r>
                    <w:rPr>
                      <w:bCs/>
                      <w:color w:val="000000" w:themeColor="text1"/>
                      <w:kern w:val="0"/>
                      <w:szCs w:val="20"/>
                    </w:rPr>
                    <w:t>含油抹布、手套</w:t>
                  </w:r>
                </w:p>
              </w:tc>
              <w:tc>
                <w:tcPr>
                  <w:tcW w:w="4943" w:type="dxa"/>
                  <w:gridSpan w:val="2"/>
                  <w:vAlign w:val="center"/>
                </w:tcPr>
                <w:p>
                  <w:pPr>
                    <w:pStyle w:val="45"/>
                    <w:rPr>
                      <w:color w:val="000000" w:themeColor="text1"/>
                      <w:kern w:val="0"/>
                      <w:szCs w:val="20"/>
                    </w:rPr>
                  </w:pPr>
                  <w:r>
                    <w:rPr>
                      <w:rFonts w:hint="eastAsia" w:ascii="Calibri" w:hAnsi="Calibri"/>
                      <w:color w:val="000000"/>
                      <w:kern w:val="0"/>
                      <w:szCs w:val="21"/>
                      <w:lang w:val="en-US"/>
                    </w:rPr>
                    <w:t>按危险废物豁免管理清单要求执行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000000" w:themeColor="text1"/>
                      <w:kern w:val="0"/>
                      <w:szCs w:val="20"/>
                    </w:rPr>
                  </w:pPr>
                  <w:r>
                    <w:rPr>
                      <w:rFonts w:hint="eastAsia"/>
                      <w:bCs/>
                      <w:color w:val="000000" w:themeColor="text1"/>
                      <w:kern w:val="0"/>
                      <w:szCs w:val="20"/>
                    </w:rPr>
                    <w:t>煤油包装桶</w:t>
                  </w:r>
                </w:p>
              </w:tc>
              <w:tc>
                <w:tcPr>
                  <w:tcW w:w="4943" w:type="dxa"/>
                  <w:gridSpan w:val="2"/>
                  <w:vAlign w:val="center"/>
                </w:tcPr>
                <w:p>
                  <w:pPr>
                    <w:pStyle w:val="45"/>
                    <w:rPr>
                      <w:rFonts w:ascii="Calibri" w:hAnsi="Calibri"/>
                      <w:color w:val="000000"/>
                      <w:kern w:val="0"/>
                      <w:szCs w:val="21"/>
                      <w:lang w:val="en-US"/>
                    </w:rPr>
                  </w:pPr>
                  <w:r>
                    <w:rPr>
                      <w:rFonts w:hint="eastAsia" w:ascii="Calibri" w:hAnsi="Calibri"/>
                      <w:color w:val="000000"/>
                      <w:kern w:val="0"/>
                      <w:szCs w:val="21"/>
                      <w:lang w:val="en-US"/>
                    </w:rPr>
                    <w:t>暂存于危废暂存间，定期交由有资质单位处理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FF0000"/>
                      <w:kern w:val="0"/>
                      <w:szCs w:val="20"/>
                    </w:rPr>
                  </w:pPr>
                  <w:r>
                    <w:rPr>
                      <w:bCs/>
                      <w:color w:val="000000" w:themeColor="text1"/>
                      <w:kern w:val="0"/>
                      <w:szCs w:val="20"/>
                    </w:rPr>
                    <w:t>边角料</w:t>
                  </w:r>
                </w:p>
              </w:tc>
              <w:tc>
                <w:tcPr>
                  <w:tcW w:w="4943" w:type="dxa"/>
                  <w:gridSpan w:val="2"/>
                  <w:vMerge w:val="restart"/>
                  <w:vAlign w:val="center"/>
                </w:tcPr>
                <w:p>
                  <w:pPr>
                    <w:pStyle w:val="45"/>
                    <w:rPr>
                      <w:bCs/>
                      <w:color w:val="FF0000"/>
                      <w:kern w:val="0"/>
                      <w:szCs w:val="20"/>
                    </w:rPr>
                  </w:pPr>
                  <w:r>
                    <w:rPr>
                      <w:kern w:val="0"/>
                      <w:szCs w:val="20"/>
                    </w:rPr>
                    <w:t>收集后统一外售处理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FF0000"/>
                      <w:kern w:val="0"/>
                      <w:szCs w:val="20"/>
                    </w:rPr>
                  </w:pPr>
                  <w:r>
                    <w:rPr>
                      <w:bCs/>
                      <w:color w:val="000000" w:themeColor="text1"/>
                      <w:kern w:val="0"/>
                      <w:szCs w:val="20"/>
                    </w:rPr>
                    <w:t>包装固废</w:t>
                  </w:r>
                </w:p>
              </w:tc>
              <w:tc>
                <w:tcPr>
                  <w:tcW w:w="4943" w:type="dxa"/>
                  <w:gridSpan w:val="2"/>
                  <w:vMerge w:val="continue"/>
                  <w:vAlign w:val="center"/>
                </w:tcPr>
                <w:p>
                  <w:pPr>
                    <w:pStyle w:val="45"/>
                    <w:rPr>
                      <w:bCs/>
                      <w:color w:val="FF0000"/>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FF0000"/>
                      <w:kern w:val="0"/>
                      <w:szCs w:val="20"/>
                    </w:rPr>
                  </w:pPr>
                  <w:r>
                    <w:rPr>
                      <w:bCs/>
                      <w:color w:val="000000" w:themeColor="text1"/>
                      <w:kern w:val="0"/>
                      <w:szCs w:val="20"/>
                    </w:rPr>
                    <w:t>机加工碎屑</w:t>
                  </w:r>
                </w:p>
              </w:tc>
              <w:tc>
                <w:tcPr>
                  <w:tcW w:w="4943" w:type="dxa"/>
                  <w:gridSpan w:val="2"/>
                  <w:vMerge w:val="continue"/>
                  <w:vAlign w:val="center"/>
                </w:tcPr>
                <w:p>
                  <w:pPr>
                    <w:pStyle w:val="45"/>
                    <w:rPr>
                      <w:bCs/>
                      <w:color w:val="FF0000"/>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1619" w:type="dxa"/>
                  <w:vMerge w:val="continue"/>
                  <w:vAlign w:val="center"/>
                </w:tcPr>
                <w:p>
                  <w:pPr>
                    <w:pStyle w:val="45"/>
                    <w:rPr>
                      <w:bCs/>
                      <w:kern w:val="0"/>
                      <w:szCs w:val="20"/>
                    </w:rPr>
                  </w:pPr>
                </w:p>
              </w:tc>
              <w:tc>
                <w:tcPr>
                  <w:tcW w:w="1234" w:type="dxa"/>
                  <w:gridSpan w:val="2"/>
                  <w:vMerge w:val="continue"/>
                  <w:vAlign w:val="center"/>
                </w:tcPr>
                <w:p>
                  <w:pPr>
                    <w:pStyle w:val="45"/>
                    <w:rPr>
                      <w:bCs/>
                      <w:kern w:val="0"/>
                      <w:szCs w:val="20"/>
                    </w:rPr>
                  </w:pPr>
                </w:p>
              </w:tc>
              <w:tc>
                <w:tcPr>
                  <w:tcW w:w="1381" w:type="dxa"/>
                  <w:vAlign w:val="center"/>
                </w:tcPr>
                <w:p>
                  <w:pPr>
                    <w:pStyle w:val="45"/>
                    <w:rPr>
                      <w:bCs/>
                      <w:color w:val="FF0000"/>
                      <w:kern w:val="0"/>
                      <w:szCs w:val="20"/>
                    </w:rPr>
                  </w:pPr>
                  <w:r>
                    <w:rPr>
                      <w:bCs/>
                      <w:color w:val="000000" w:themeColor="text1"/>
                      <w:kern w:val="0"/>
                      <w:szCs w:val="20"/>
                    </w:rPr>
                    <w:t>喷淋塔打捞渣</w:t>
                  </w:r>
                </w:p>
              </w:tc>
              <w:tc>
                <w:tcPr>
                  <w:tcW w:w="4943" w:type="dxa"/>
                  <w:gridSpan w:val="2"/>
                  <w:vAlign w:val="center"/>
                </w:tcPr>
                <w:p>
                  <w:pPr>
                    <w:pStyle w:val="45"/>
                    <w:rPr>
                      <w:bCs/>
                      <w:color w:val="FF0000"/>
                      <w:kern w:val="0"/>
                      <w:szCs w:val="20"/>
                    </w:rPr>
                  </w:pPr>
                  <w:r>
                    <w:rPr>
                      <w:color w:val="000000" w:themeColor="text1"/>
                      <w:kern w:val="0"/>
                      <w:szCs w:val="20"/>
                    </w:rPr>
                    <w:t>收集后交由专业的回收公司回收处理</w:t>
                  </w:r>
                </w:p>
              </w:tc>
            </w:tr>
          </w:tbl>
          <w:p>
            <w:pPr>
              <w:pStyle w:val="4"/>
              <w:rPr>
                <w:rFonts w:ascii="Times New Roman" w:hAnsi="Times New Roman" w:cs="Times New Roman"/>
                <w:lang w:val="zh-CN"/>
              </w:rPr>
            </w:pPr>
            <w:r>
              <w:rPr>
                <w:rFonts w:ascii="Times New Roman" w:hAnsi="Times New Roman" w:cs="Times New Roman"/>
                <w:lang w:val="zh-CN"/>
              </w:rPr>
              <w:t>1.1.4主要生产设备</w:t>
            </w:r>
          </w:p>
          <w:p>
            <w:pPr>
              <w:tabs>
                <w:tab w:val="center" w:pos="4775"/>
              </w:tabs>
              <w:adjustRightInd w:val="0"/>
              <w:snapToGrid w:val="0"/>
              <w:ind w:firstLine="480"/>
              <w:rPr>
                <w:rFonts w:cs="Times New Roman"/>
                <w:color w:val="000000"/>
              </w:rPr>
            </w:pPr>
            <w:r>
              <w:rPr>
                <w:rFonts w:cs="Times New Roman"/>
                <w:color w:val="000000"/>
              </w:rPr>
              <w:t>项目主要生产设备见下表。</w:t>
            </w:r>
            <w:r>
              <w:rPr>
                <w:rFonts w:cs="Times New Roman"/>
                <w:color w:val="000000"/>
              </w:rPr>
              <w:tab/>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 1-2 项目主要生产设备表</w:t>
            </w:r>
          </w:p>
          <w:tbl>
            <w:tblPr>
              <w:tblStyle w:val="34"/>
              <w:tblW w:w="89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2346"/>
              <w:gridCol w:w="1761"/>
              <w:gridCol w:w="1280"/>
              <w:gridCol w:w="23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1216" w:type="dxa"/>
                  <w:vAlign w:val="center"/>
                </w:tcPr>
                <w:p>
                  <w:pPr>
                    <w:pStyle w:val="45"/>
                    <w:rPr>
                      <w:kern w:val="0"/>
                      <w:szCs w:val="20"/>
                    </w:rPr>
                  </w:pPr>
                  <w:r>
                    <w:rPr>
                      <w:kern w:val="0"/>
                      <w:szCs w:val="20"/>
                    </w:rPr>
                    <w:t>序号</w:t>
                  </w:r>
                </w:p>
              </w:tc>
              <w:tc>
                <w:tcPr>
                  <w:tcW w:w="2346" w:type="dxa"/>
                  <w:vAlign w:val="center"/>
                </w:tcPr>
                <w:p>
                  <w:pPr>
                    <w:pStyle w:val="45"/>
                    <w:rPr>
                      <w:kern w:val="0"/>
                      <w:szCs w:val="20"/>
                    </w:rPr>
                  </w:pPr>
                  <w:r>
                    <w:rPr>
                      <w:kern w:val="0"/>
                      <w:szCs w:val="20"/>
                    </w:rPr>
                    <w:t>设备名称</w:t>
                  </w:r>
                </w:p>
              </w:tc>
              <w:tc>
                <w:tcPr>
                  <w:tcW w:w="1761" w:type="dxa"/>
                  <w:vAlign w:val="center"/>
                </w:tcPr>
                <w:p>
                  <w:pPr>
                    <w:pStyle w:val="45"/>
                    <w:rPr>
                      <w:kern w:val="0"/>
                      <w:szCs w:val="20"/>
                    </w:rPr>
                  </w:pPr>
                  <w:r>
                    <w:rPr>
                      <w:kern w:val="0"/>
                      <w:szCs w:val="20"/>
                    </w:rPr>
                    <w:t>规格/型号</w:t>
                  </w:r>
                </w:p>
              </w:tc>
              <w:tc>
                <w:tcPr>
                  <w:tcW w:w="1280" w:type="dxa"/>
                  <w:vAlign w:val="center"/>
                </w:tcPr>
                <w:p>
                  <w:pPr>
                    <w:pStyle w:val="45"/>
                    <w:rPr>
                      <w:kern w:val="0"/>
                      <w:szCs w:val="20"/>
                    </w:rPr>
                  </w:pPr>
                  <w:r>
                    <w:rPr>
                      <w:kern w:val="0"/>
                      <w:szCs w:val="20"/>
                    </w:rPr>
                    <w:t>数量</w:t>
                  </w:r>
                </w:p>
              </w:tc>
              <w:tc>
                <w:tcPr>
                  <w:tcW w:w="2346" w:type="dxa"/>
                  <w:vAlign w:val="center"/>
                </w:tcPr>
                <w:p>
                  <w:pPr>
                    <w:pStyle w:val="45"/>
                    <w:rPr>
                      <w:kern w:val="0"/>
                      <w:szCs w:val="20"/>
                    </w:rPr>
                  </w:pPr>
                  <w:r>
                    <w:rPr>
                      <w:kern w:val="0"/>
                      <w:szCs w:val="20"/>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bCs/>
                      <w:kern w:val="0"/>
                      <w:szCs w:val="20"/>
                    </w:rPr>
                    <w:t>数控车床</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5</w:t>
                  </w:r>
                </w:p>
              </w:tc>
              <w:tc>
                <w:tcPr>
                  <w:tcW w:w="2346" w:type="dxa"/>
                  <w:vAlign w:val="center"/>
                </w:tcPr>
                <w:p>
                  <w:pPr>
                    <w:pStyle w:val="45"/>
                    <w:rPr>
                      <w:bCs/>
                      <w:kern w:val="0"/>
                      <w:szCs w:val="20"/>
                    </w:rPr>
                  </w:pPr>
                  <w:r>
                    <w:rPr>
                      <w:bCs/>
                      <w:kern w:val="0"/>
                      <w:szCs w:val="20"/>
                    </w:rPr>
                    <w:t>机加工工序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2</w:t>
                  </w:r>
                </w:p>
              </w:tc>
              <w:tc>
                <w:tcPr>
                  <w:tcW w:w="2346" w:type="dxa"/>
                  <w:vAlign w:val="center"/>
                </w:tcPr>
                <w:p>
                  <w:pPr>
                    <w:pStyle w:val="45"/>
                    <w:rPr>
                      <w:bCs/>
                      <w:kern w:val="0"/>
                      <w:szCs w:val="20"/>
                    </w:rPr>
                  </w:pPr>
                  <w:r>
                    <w:rPr>
                      <w:bCs/>
                      <w:kern w:val="0"/>
                      <w:szCs w:val="20"/>
                    </w:rPr>
                    <w:t>冲床</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2</w:t>
                  </w:r>
                </w:p>
              </w:tc>
              <w:tc>
                <w:tcPr>
                  <w:tcW w:w="2346" w:type="dxa"/>
                  <w:vAlign w:val="center"/>
                </w:tcPr>
                <w:p>
                  <w:pPr>
                    <w:pStyle w:val="45"/>
                    <w:rPr>
                      <w:bCs/>
                      <w:kern w:val="0"/>
                      <w:szCs w:val="20"/>
                    </w:rPr>
                  </w:pPr>
                  <w:r>
                    <w:rPr>
                      <w:rFonts w:hint="eastAsia"/>
                      <w:bCs/>
                      <w:kern w:val="0"/>
                      <w:szCs w:val="20"/>
                    </w:rPr>
                    <w:t>热冲</w:t>
                  </w:r>
                  <w:r>
                    <w:rPr>
                      <w:bCs/>
                      <w:kern w:val="0"/>
                      <w:szCs w:val="20"/>
                    </w:rPr>
                    <w:t>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3</w:t>
                  </w:r>
                </w:p>
              </w:tc>
              <w:tc>
                <w:tcPr>
                  <w:tcW w:w="2346" w:type="dxa"/>
                  <w:vAlign w:val="center"/>
                </w:tcPr>
                <w:p>
                  <w:pPr>
                    <w:pStyle w:val="45"/>
                    <w:rPr>
                      <w:bCs/>
                      <w:kern w:val="0"/>
                      <w:szCs w:val="20"/>
                    </w:rPr>
                  </w:pPr>
                  <w:r>
                    <w:rPr>
                      <w:bCs/>
                      <w:kern w:val="0"/>
                      <w:szCs w:val="20"/>
                    </w:rPr>
                    <w:t>滚砂床</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rFonts w:hint="eastAsia"/>
                      <w:bCs/>
                      <w:kern w:val="0"/>
                      <w:szCs w:val="20"/>
                    </w:rPr>
                    <w:t>抛光</w:t>
                  </w:r>
                  <w:r>
                    <w:rPr>
                      <w:bCs/>
                      <w:kern w:val="0"/>
                      <w:szCs w:val="20"/>
                    </w:rPr>
                    <w:t>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4</w:t>
                  </w:r>
                </w:p>
              </w:tc>
              <w:tc>
                <w:tcPr>
                  <w:tcW w:w="2346" w:type="dxa"/>
                  <w:vAlign w:val="center"/>
                </w:tcPr>
                <w:p>
                  <w:pPr>
                    <w:pStyle w:val="45"/>
                    <w:rPr>
                      <w:bCs/>
                      <w:kern w:val="0"/>
                      <w:szCs w:val="20"/>
                    </w:rPr>
                  </w:pPr>
                  <w:r>
                    <w:rPr>
                      <w:bCs/>
                      <w:kern w:val="0"/>
                      <w:szCs w:val="20"/>
                    </w:rPr>
                    <w:t>钻床</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5</w:t>
                  </w:r>
                </w:p>
              </w:tc>
              <w:tc>
                <w:tcPr>
                  <w:tcW w:w="2346" w:type="dxa"/>
                  <w:vAlign w:val="center"/>
                </w:tcPr>
                <w:p>
                  <w:pPr>
                    <w:pStyle w:val="45"/>
                    <w:rPr>
                      <w:bCs/>
                      <w:kern w:val="0"/>
                      <w:szCs w:val="20"/>
                    </w:rPr>
                  </w:pPr>
                  <w:r>
                    <w:rPr>
                      <w:bCs/>
                      <w:kern w:val="0"/>
                      <w:szCs w:val="20"/>
                    </w:rPr>
                    <w:t>机加工工序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5</w:t>
                  </w:r>
                </w:p>
              </w:tc>
              <w:tc>
                <w:tcPr>
                  <w:tcW w:w="2346" w:type="dxa"/>
                  <w:vAlign w:val="center"/>
                </w:tcPr>
                <w:p>
                  <w:pPr>
                    <w:pStyle w:val="45"/>
                    <w:rPr>
                      <w:bCs/>
                      <w:kern w:val="0"/>
                      <w:szCs w:val="20"/>
                    </w:rPr>
                  </w:pPr>
                  <w:r>
                    <w:rPr>
                      <w:bCs/>
                      <w:kern w:val="0"/>
                      <w:szCs w:val="20"/>
                    </w:rPr>
                    <w:t>开料机</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bCs/>
                      <w:kern w:val="0"/>
                      <w:szCs w:val="20"/>
                    </w:rPr>
                    <w:t>机加工工序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6</w:t>
                  </w:r>
                </w:p>
              </w:tc>
              <w:tc>
                <w:tcPr>
                  <w:tcW w:w="2346" w:type="dxa"/>
                  <w:vAlign w:val="center"/>
                </w:tcPr>
                <w:p>
                  <w:pPr>
                    <w:pStyle w:val="45"/>
                    <w:rPr>
                      <w:bCs/>
                      <w:kern w:val="0"/>
                      <w:szCs w:val="20"/>
                    </w:rPr>
                  </w:pPr>
                  <w:r>
                    <w:rPr>
                      <w:bCs/>
                      <w:kern w:val="0"/>
                      <w:szCs w:val="20"/>
                    </w:rPr>
                    <w:t>空压机</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bCs/>
                      <w:kern w:val="0"/>
                      <w:szCs w:val="20"/>
                    </w:rPr>
                    <w:t>机加工工序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7</w:t>
                  </w:r>
                </w:p>
              </w:tc>
              <w:tc>
                <w:tcPr>
                  <w:tcW w:w="2346" w:type="dxa"/>
                  <w:vAlign w:val="center"/>
                </w:tcPr>
                <w:p>
                  <w:pPr>
                    <w:pStyle w:val="45"/>
                    <w:rPr>
                      <w:bCs/>
                      <w:kern w:val="0"/>
                      <w:szCs w:val="20"/>
                    </w:rPr>
                  </w:pPr>
                  <w:r>
                    <w:rPr>
                      <w:bCs/>
                      <w:kern w:val="0"/>
                      <w:szCs w:val="20"/>
                    </w:rPr>
                    <w:t>试水机</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bCs/>
                      <w:kern w:val="0"/>
                      <w:szCs w:val="20"/>
                    </w:rPr>
                    <w:t>测试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8</w:t>
                  </w:r>
                </w:p>
              </w:tc>
              <w:tc>
                <w:tcPr>
                  <w:tcW w:w="2346" w:type="dxa"/>
                  <w:vAlign w:val="center"/>
                </w:tcPr>
                <w:p>
                  <w:pPr>
                    <w:pStyle w:val="45"/>
                    <w:rPr>
                      <w:bCs/>
                      <w:kern w:val="0"/>
                      <w:szCs w:val="20"/>
                    </w:rPr>
                  </w:pPr>
                  <w:r>
                    <w:rPr>
                      <w:bCs/>
                      <w:kern w:val="0"/>
                      <w:szCs w:val="20"/>
                    </w:rPr>
                    <w:t>普通车床</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w:t>
                  </w:r>
                </w:p>
              </w:tc>
              <w:tc>
                <w:tcPr>
                  <w:tcW w:w="2346" w:type="dxa"/>
                  <w:vAlign w:val="center"/>
                </w:tcPr>
                <w:p>
                  <w:pPr>
                    <w:pStyle w:val="45"/>
                    <w:rPr>
                      <w:bCs/>
                      <w:kern w:val="0"/>
                      <w:szCs w:val="20"/>
                    </w:rPr>
                  </w:pPr>
                  <w:r>
                    <w:rPr>
                      <w:bCs/>
                      <w:kern w:val="0"/>
                      <w:szCs w:val="20"/>
                    </w:rPr>
                    <w:t>机加工工序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216" w:type="dxa"/>
                  <w:vAlign w:val="center"/>
                </w:tcPr>
                <w:p>
                  <w:pPr>
                    <w:pStyle w:val="45"/>
                    <w:rPr>
                      <w:bCs/>
                      <w:kern w:val="0"/>
                      <w:szCs w:val="20"/>
                    </w:rPr>
                  </w:pPr>
                  <w:r>
                    <w:rPr>
                      <w:bCs/>
                      <w:kern w:val="0"/>
                      <w:szCs w:val="20"/>
                    </w:rPr>
                    <w:t>9</w:t>
                  </w:r>
                </w:p>
              </w:tc>
              <w:tc>
                <w:tcPr>
                  <w:tcW w:w="2346" w:type="dxa"/>
                  <w:vAlign w:val="center"/>
                </w:tcPr>
                <w:p>
                  <w:pPr>
                    <w:pStyle w:val="45"/>
                    <w:rPr>
                      <w:bCs/>
                      <w:kern w:val="0"/>
                      <w:szCs w:val="20"/>
                    </w:rPr>
                  </w:pPr>
                  <w:r>
                    <w:rPr>
                      <w:bCs/>
                      <w:kern w:val="0"/>
                      <w:szCs w:val="20"/>
                    </w:rPr>
                    <w:t>抛光机</w:t>
                  </w:r>
                </w:p>
              </w:tc>
              <w:tc>
                <w:tcPr>
                  <w:tcW w:w="1761" w:type="dxa"/>
                  <w:vAlign w:val="center"/>
                </w:tcPr>
                <w:p>
                  <w:pPr>
                    <w:pStyle w:val="45"/>
                    <w:rPr>
                      <w:bCs/>
                      <w:kern w:val="0"/>
                      <w:szCs w:val="20"/>
                    </w:rPr>
                  </w:pPr>
                  <w:r>
                    <w:rPr>
                      <w:bCs/>
                      <w:kern w:val="0"/>
                      <w:szCs w:val="20"/>
                    </w:rPr>
                    <w:t>/</w:t>
                  </w:r>
                </w:p>
              </w:tc>
              <w:tc>
                <w:tcPr>
                  <w:tcW w:w="1280" w:type="dxa"/>
                  <w:vAlign w:val="center"/>
                </w:tcPr>
                <w:p>
                  <w:pPr>
                    <w:pStyle w:val="45"/>
                    <w:rPr>
                      <w:bCs/>
                      <w:kern w:val="0"/>
                      <w:szCs w:val="20"/>
                    </w:rPr>
                  </w:pPr>
                  <w:r>
                    <w:rPr>
                      <w:bCs/>
                      <w:kern w:val="0"/>
                      <w:szCs w:val="20"/>
                    </w:rPr>
                    <w:t>15</w:t>
                  </w:r>
                </w:p>
              </w:tc>
              <w:tc>
                <w:tcPr>
                  <w:tcW w:w="2346" w:type="dxa"/>
                  <w:vAlign w:val="center"/>
                </w:tcPr>
                <w:p>
                  <w:pPr>
                    <w:pStyle w:val="45"/>
                    <w:rPr>
                      <w:bCs/>
                      <w:kern w:val="0"/>
                      <w:szCs w:val="20"/>
                    </w:rPr>
                  </w:pPr>
                  <w:r>
                    <w:rPr>
                      <w:bCs/>
                      <w:kern w:val="0"/>
                      <w:szCs w:val="20"/>
                    </w:rPr>
                    <w:t>抛光工序</w:t>
                  </w:r>
                </w:p>
              </w:tc>
            </w:tr>
          </w:tbl>
          <w:p>
            <w:pPr>
              <w:pStyle w:val="4"/>
              <w:rPr>
                <w:rFonts w:ascii="Times New Roman" w:hAnsi="Times New Roman" w:cs="Times New Roman"/>
                <w:lang w:val="zh-CN"/>
              </w:rPr>
            </w:pPr>
            <w:r>
              <w:rPr>
                <w:rFonts w:ascii="Times New Roman" w:hAnsi="Times New Roman" w:cs="Times New Roman"/>
                <w:lang w:val="zh-CN"/>
              </w:rPr>
              <w:t>1.1.5主要原辅材料及能耗情况</w:t>
            </w:r>
          </w:p>
          <w:p>
            <w:pPr>
              <w:adjustRightInd w:val="0"/>
              <w:snapToGrid w:val="0"/>
              <w:ind w:firstLine="480"/>
              <w:rPr>
                <w:rFonts w:cs="Times New Roman"/>
                <w:color w:val="000000"/>
              </w:rPr>
            </w:pPr>
            <w:r>
              <w:rPr>
                <w:rFonts w:cs="Times New Roman"/>
                <w:color w:val="000000"/>
              </w:rPr>
              <w:t>（1）项目主要原辅材料见下表。</w:t>
            </w:r>
          </w:p>
          <w:p>
            <w:pPr>
              <w:adjustRightInd w:val="0"/>
              <w:snapToGrid w:val="0"/>
              <w:spacing w:line="240" w:lineRule="auto"/>
              <w:ind w:firstLine="0" w:firstLineChars="0"/>
              <w:jc w:val="center"/>
              <w:rPr>
                <w:rFonts w:cs="Times New Roman"/>
                <w:b/>
                <w:bCs/>
                <w:color w:val="000000"/>
                <w:sz w:val="21"/>
                <w:lang w:val="zh-CN"/>
              </w:rPr>
            </w:pPr>
            <w:r>
              <w:rPr>
                <w:rFonts w:cs="Times New Roman"/>
                <w:b/>
                <w:color w:val="000000"/>
                <w:sz w:val="21"/>
                <w:lang w:val="zh-CN"/>
              </w:rPr>
              <w:t>表 1-3 主要原辅材料消耗情况表</w:t>
            </w:r>
          </w:p>
          <w:tbl>
            <w:tblPr>
              <w:tblStyle w:val="34"/>
              <w:tblW w:w="888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00"/>
              <w:gridCol w:w="2902"/>
              <w:gridCol w:w="1582"/>
              <w:gridCol w:w="2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5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序号</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原辅材料名称</w:t>
                  </w:r>
                </w:p>
              </w:tc>
              <w:tc>
                <w:tcPr>
                  <w:tcW w:w="158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年用量</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15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铜棒</w:t>
                  </w:r>
                </w:p>
              </w:tc>
              <w:tc>
                <w:tcPr>
                  <w:tcW w:w="158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50吨</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5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2</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煤油</w:t>
                  </w:r>
                </w:p>
              </w:tc>
              <w:tc>
                <w:tcPr>
                  <w:tcW w:w="1582" w:type="dxa"/>
                  <w:vAlign w:val="center"/>
                </w:tcPr>
                <w:p>
                  <w:pPr>
                    <w:adjustRightInd w:val="0"/>
                    <w:snapToGrid w:val="0"/>
                    <w:spacing w:line="240" w:lineRule="auto"/>
                    <w:ind w:firstLine="0" w:firstLineChars="0"/>
                    <w:rPr>
                      <w:rFonts w:cs="Times New Roman"/>
                      <w:color w:val="000000" w:themeColor="text1"/>
                      <w:kern w:val="0"/>
                      <w:sz w:val="21"/>
                      <w:szCs w:val="20"/>
                      <w:lang w:val="zh-CN"/>
                    </w:rPr>
                  </w:pPr>
                  <w:r>
                    <w:rPr>
                      <w:rFonts w:cs="Times New Roman"/>
                      <w:color w:val="000000" w:themeColor="text1"/>
                      <w:kern w:val="0"/>
                      <w:sz w:val="21"/>
                      <w:szCs w:val="20"/>
                      <w:lang w:val="zh-CN"/>
                    </w:rPr>
                    <w:t>2吨</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外购</w:t>
                  </w:r>
                  <w:r>
                    <w:rPr>
                      <w:rFonts w:hint="eastAsia" w:cs="Times New Roman"/>
                      <w:color w:val="000000"/>
                      <w:kern w:val="0"/>
                      <w:sz w:val="21"/>
                      <w:szCs w:val="20"/>
                      <w:lang w:val="zh-CN"/>
                    </w:rPr>
                    <w:t>，1</w:t>
                  </w:r>
                  <w:r>
                    <w:rPr>
                      <w:rFonts w:cs="Times New Roman"/>
                      <w:color w:val="000000"/>
                      <w:kern w:val="0"/>
                      <w:sz w:val="21"/>
                      <w:szCs w:val="20"/>
                      <w:lang w:val="zh-CN"/>
                    </w:rPr>
                    <w:t>00kg</w:t>
                  </w:r>
                  <w:r>
                    <w:rPr>
                      <w:rFonts w:hint="eastAsia" w:cs="Times New Roman"/>
                      <w:color w:val="000000"/>
                      <w:kern w:val="0"/>
                      <w:sz w:val="21"/>
                      <w:szCs w:val="20"/>
                      <w:lang w:val="zh-CN"/>
                    </w:rPr>
                    <w:t>/桶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15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3</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棕油</w:t>
                  </w:r>
                </w:p>
              </w:tc>
              <w:tc>
                <w:tcPr>
                  <w:tcW w:w="158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themeColor="text1"/>
                      <w:kern w:val="0"/>
                      <w:sz w:val="21"/>
                      <w:szCs w:val="20"/>
                      <w:lang w:val="zh-CN"/>
                    </w:rPr>
                    <w:t>0.05吨</w:t>
                  </w:r>
                </w:p>
              </w:tc>
              <w:tc>
                <w:tcPr>
                  <w:tcW w:w="2902"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外购</w:t>
                  </w:r>
                </w:p>
              </w:tc>
            </w:tr>
          </w:tbl>
          <w:p>
            <w:pPr>
              <w:adjustRightInd w:val="0"/>
              <w:snapToGrid w:val="0"/>
              <w:ind w:firstLine="480"/>
              <w:rPr>
                <w:rFonts w:cs="Times New Roman"/>
                <w:color w:val="000000"/>
              </w:rPr>
            </w:pPr>
            <w:r>
              <w:rPr>
                <w:rFonts w:cs="Times New Roman"/>
                <w:color w:val="000000"/>
              </w:rPr>
              <w:t>煤油：作为加温冲压的加热燃料，通过喷火枪将加工件加热烧红再冲压成所需的形状。主要成分是饱和烃类，含少量不饱和烃和芳香烃。</w:t>
            </w:r>
            <w:r>
              <w:rPr>
                <w:rFonts w:hint="eastAsia" w:cs="Times New Roman"/>
                <w:color w:val="000000"/>
              </w:rPr>
              <w:t>纯品为无色透明液体，含有杂质时呈淡黄色。沸程180～310℃。闪点40℃以上。</w:t>
            </w:r>
            <w:r>
              <w:rPr>
                <w:rFonts w:cs="Times New Roman"/>
                <w:color w:val="000000"/>
              </w:rPr>
              <w:t>燃烧完全，亮度足，火焰稳定，不冒黑烟，不结灯花，无明显异味，对环境污染小。</w:t>
            </w:r>
          </w:p>
          <w:p>
            <w:pPr>
              <w:adjustRightInd w:val="0"/>
              <w:snapToGrid w:val="0"/>
              <w:ind w:firstLine="480"/>
              <w:rPr>
                <w:rFonts w:cs="Times New Roman"/>
              </w:rPr>
            </w:pPr>
            <w:r>
              <w:rPr>
                <w:rFonts w:cs="Times New Roman"/>
                <w:color w:val="000000"/>
              </w:rPr>
              <w:t>棕油：棕油又名棕榈油，</w:t>
            </w:r>
            <w:r>
              <w:rPr>
                <w:rFonts w:cs="Times New Roman"/>
                <w:color w:val="333333"/>
                <w:szCs w:val="24"/>
                <w:shd w:val="clear" w:color="auto" w:fill="FFFFFF"/>
              </w:rPr>
              <w:t>由</w:t>
            </w:r>
            <w:r>
              <w:fldChar w:fldCharType="begin"/>
            </w:r>
            <w:r>
              <w:instrText xml:space="preserve"> HYPERLINK "https://baike.so.com/doc/5576160.html" \t "_blank" </w:instrText>
            </w:r>
            <w:r>
              <w:fldChar w:fldCharType="separate"/>
            </w:r>
            <w:r>
              <w:rPr>
                <w:rFonts w:cs="Times New Roman"/>
                <w:szCs w:val="24"/>
                <w:shd w:val="clear" w:color="auto" w:fill="FFFFFF"/>
              </w:rPr>
              <w:t>油棕</w:t>
            </w:r>
            <w:r>
              <w:rPr>
                <w:rFonts w:cs="Times New Roman"/>
                <w:szCs w:val="24"/>
                <w:shd w:val="clear" w:color="auto" w:fill="FFFFFF"/>
              </w:rPr>
              <w:fldChar w:fldCharType="end"/>
            </w:r>
            <w:r>
              <w:rPr>
                <w:rFonts w:cs="Times New Roman"/>
                <w:szCs w:val="24"/>
                <w:shd w:val="clear" w:color="auto" w:fill="FFFFFF"/>
              </w:rPr>
              <w:t>树上的棕榈果压榨而成</w:t>
            </w:r>
            <w:r>
              <w:rPr>
                <w:rFonts w:cs="Times New Roman"/>
                <w:color w:val="333333"/>
                <w:szCs w:val="24"/>
                <w:shd w:val="clear" w:color="auto" w:fill="FFFFFF"/>
              </w:rPr>
              <w:t>，</w:t>
            </w:r>
            <w:r>
              <w:rPr>
                <w:rFonts w:hint="eastAsia" w:cs="Times New Roman"/>
                <w:szCs w:val="24"/>
                <w:shd w:val="clear" w:color="auto" w:fill="FFFFFF"/>
              </w:rPr>
              <w:t>其主要成分是甘三酯</w:t>
            </w:r>
            <w:r>
              <w:rPr>
                <w:rFonts w:cs="Times New Roman"/>
                <w:szCs w:val="24"/>
                <w:shd w:val="clear" w:color="auto" w:fill="FFFFFF"/>
              </w:rPr>
              <w:t>，</w:t>
            </w:r>
            <w:r>
              <w:rPr>
                <w:rFonts w:cs="Times New Roman"/>
              </w:rPr>
              <w:t>可用在两个彼此易于粘着的物体表面的一个界面涂层，使物体表面易于脱离。本项目在热冲工艺中，棕油作为脱模剂，在模具上涂上一层棕油，有利于金属制品与模具的分离。</w:t>
            </w:r>
          </w:p>
          <w:p>
            <w:pPr>
              <w:adjustRightInd w:val="0"/>
              <w:snapToGrid w:val="0"/>
              <w:ind w:firstLine="480"/>
              <w:rPr>
                <w:rFonts w:cs="Times New Roman"/>
                <w:color w:val="000000"/>
              </w:rPr>
            </w:pPr>
            <w:r>
              <w:rPr>
                <w:rFonts w:hint="eastAsia" w:cs="Times New Roman"/>
                <w:color w:val="000000"/>
              </w:rPr>
              <w:t>（2）</w:t>
            </w:r>
            <w:r>
              <w:rPr>
                <w:rFonts w:cs="Times New Roman"/>
                <w:color w:val="000000"/>
              </w:rPr>
              <w:t>产品名称和产品产量</w:t>
            </w:r>
          </w:p>
          <w:p>
            <w:pPr>
              <w:adjustRightInd w:val="0"/>
              <w:snapToGrid w:val="0"/>
              <w:ind w:firstLine="480"/>
              <w:rPr>
                <w:rFonts w:cs="Times New Roman"/>
                <w:color w:val="000000"/>
              </w:rPr>
            </w:pPr>
            <w:r>
              <w:rPr>
                <w:rFonts w:cs="Times New Roman"/>
                <w:color w:val="000000"/>
              </w:rPr>
              <w:t>项目产品名称和产品产量见下表。</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 1-4 项目产品名称和产品产量表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94"/>
              <w:gridCol w:w="2294"/>
              <w:gridCol w:w="2294"/>
              <w:gridCol w:w="22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250" w:type="pct"/>
                  <w:vAlign w:val="center"/>
                </w:tcPr>
                <w:p>
                  <w:pPr>
                    <w:pStyle w:val="45"/>
                    <w:rPr>
                      <w:kern w:val="0"/>
                      <w:szCs w:val="20"/>
                    </w:rPr>
                  </w:pPr>
                  <w:r>
                    <w:rPr>
                      <w:kern w:val="0"/>
                      <w:szCs w:val="20"/>
                    </w:rPr>
                    <w:t>序号</w:t>
                  </w:r>
                </w:p>
              </w:tc>
              <w:tc>
                <w:tcPr>
                  <w:tcW w:w="1250" w:type="pct"/>
                  <w:vAlign w:val="center"/>
                </w:tcPr>
                <w:p>
                  <w:pPr>
                    <w:pStyle w:val="45"/>
                    <w:rPr>
                      <w:kern w:val="0"/>
                      <w:szCs w:val="20"/>
                    </w:rPr>
                  </w:pPr>
                  <w:r>
                    <w:rPr>
                      <w:kern w:val="0"/>
                      <w:szCs w:val="20"/>
                    </w:rPr>
                    <w:t>产品</w:t>
                  </w:r>
                </w:p>
              </w:tc>
              <w:tc>
                <w:tcPr>
                  <w:tcW w:w="1250" w:type="pct"/>
                  <w:vAlign w:val="center"/>
                </w:tcPr>
                <w:p>
                  <w:pPr>
                    <w:pStyle w:val="45"/>
                    <w:rPr>
                      <w:kern w:val="0"/>
                      <w:szCs w:val="20"/>
                    </w:rPr>
                  </w:pPr>
                  <w:r>
                    <w:rPr>
                      <w:kern w:val="0"/>
                      <w:szCs w:val="20"/>
                    </w:rPr>
                    <w:t>年产量</w:t>
                  </w:r>
                </w:p>
              </w:tc>
              <w:tc>
                <w:tcPr>
                  <w:tcW w:w="1250" w:type="pct"/>
                  <w:vAlign w:val="center"/>
                </w:tcPr>
                <w:p>
                  <w:pPr>
                    <w:pStyle w:val="45"/>
                    <w:rPr>
                      <w:kern w:val="0"/>
                      <w:szCs w:val="20"/>
                    </w:rPr>
                  </w:pPr>
                  <w:r>
                    <w:rPr>
                      <w:kern w:val="0"/>
                      <w:szCs w:val="20"/>
                    </w:rPr>
                    <w:t>单件产品平均重量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50" w:type="pct"/>
                  <w:vAlign w:val="center"/>
                </w:tcPr>
                <w:p>
                  <w:pPr>
                    <w:pStyle w:val="45"/>
                    <w:rPr>
                      <w:kern w:val="0"/>
                      <w:szCs w:val="20"/>
                    </w:rPr>
                  </w:pPr>
                  <w:r>
                    <w:rPr>
                      <w:kern w:val="0"/>
                      <w:szCs w:val="20"/>
                    </w:rPr>
                    <w:t>1</w:t>
                  </w:r>
                </w:p>
              </w:tc>
              <w:tc>
                <w:tcPr>
                  <w:tcW w:w="1250" w:type="pct"/>
                  <w:vAlign w:val="center"/>
                </w:tcPr>
                <w:p>
                  <w:pPr>
                    <w:pStyle w:val="45"/>
                    <w:rPr>
                      <w:kern w:val="0"/>
                      <w:szCs w:val="20"/>
                    </w:rPr>
                  </w:pPr>
                  <w:r>
                    <w:rPr>
                      <w:kern w:val="0"/>
                      <w:szCs w:val="20"/>
                    </w:rPr>
                    <w:t>卫浴配件</w:t>
                  </w:r>
                </w:p>
              </w:tc>
              <w:tc>
                <w:tcPr>
                  <w:tcW w:w="1250" w:type="pct"/>
                  <w:vAlign w:val="center"/>
                </w:tcPr>
                <w:p>
                  <w:pPr>
                    <w:pStyle w:val="45"/>
                    <w:rPr>
                      <w:kern w:val="0"/>
                      <w:szCs w:val="20"/>
                    </w:rPr>
                  </w:pPr>
                  <w:r>
                    <w:rPr>
                      <w:kern w:val="0"/>
                      <w:szCs w:val="20"/>
                    </w:rPr>
                    <w:t>30万件</w:t>
                  </w:r>
                </w:p>
              </w:tc>
              <w:tc>
                <w:tcPr>
                  <w:tcW w:w="1250" w:type="pct"/>
                  <w:vAlign w:val="center"/>
                </w:tcPr>
                <w:p>
                  <w:pPr>
                    <w:pStyle w:val="45"/>
                    <w:rPr>
                      <w:kern w:val="0"/>
                      <w:szCs w:val="20"/>
                    </w:rPr>
                  </w:pPr>
                  <w:r>
                    <w:rPr>
                      <w:color w:val="000000" w:themeColor="text1"/>
                      <w:kern w:val="0"/>
                      <w:szCs w:val="20"/>
                    </w:rPr>
                    <w:t>1.665</w:t>
                  </w:r>
                  <m:oMath>
                    <m:r>
                      <w:rPr>
                        <w:rFonts w:ascii="Cambria Math" w:hAnsi="Cambria Math"/>
                        <w:color w:val="000000" w:themeColor="text1"/>
                        <w:kern w:val="0"/>
                        <w:szCs w:val="20"/>
                      </w:rPr>
                      <m:t>×</m:t>
                    </m:r>
                  </m:oMath>
                  <w:r>
                    <w:rPr>
                      <w:color w:val="000000" w:themeColor="text1"/>
                      <w:kern w:val="0"/>
                      <w:szCs w:val="20"/>
                    </w:rPr>
                    <w:t>10</w:t>
                  </w:r>
                  <w:r>
                    <w:rPr>
                      <w:color w:val="000000" w:themeColor="text1"/>
                      <w:kern w:val="0"/>
                      <w:szCs w:val="20"/>
                      <w:vertAlign w:val="superscript"/>
                    </w:rPr>
                    <w:t>-4</w:t>
                  </w:r>
                  <w:r>
                    <w:rPr>
                      <w:color w:val="000000" w:themeColor="text1"/>
                      <w:kern w:val="0"/>
                      <w:szCs w:val="20"/>
                    </w:rPr>
                    <w:t>t</w:t>
                  </w:r>
                </w:p>
              </w:tc>
            </w:tr>
          </w:tbl>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pict>
                <v:shape id="文本框 25" o:spid="_x0000_s1026" o:spt="202" type="#_x0000_t202" style="position:absolute;left:0pt;margin-left:270.6pt;margin-top:6.9pt;height:26.05pt;width:46.7pt;z-index:251726848;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">
                  <v:path/>
                  <v:fill on="t" focussize="0,0"/>
                  <v:stroke on="f" weight="0.5pt" joinstyle="miter"/>
                  <v:imagedata o:title=""/>
                  <o:lock v:ext="edit"/>
                  <v:textbox>
                    <w:txbxContent>
                      <w:p>
                        <w:pPr>
                          <w:ind w:firstLine="0" w:firstLineChars="0"/>
                          <w:rPr>
                            <w:sz w:val="18"/>
                            <w:szCs w:val="18"/>
                          </w:rPr>
                        </w:pPr>
                        <w:r>
                          <w:rPr>
                            <w:rFonts w:hint="eastAsia"/>
                            <w:sz w:val="18"/>
                            <w:szCs w:val="18"/>
                          </w:rPr>
                          <w:t>3</w:t>
                        </w:r>
                        <w:r>
                          <w:rPr>
                            <w:sz w:val="18"/>
                            <w:szCs w:val="18"/>
                          </w:rPr>
                          <w:t>0</w:t>
                        </w:r>
                        <w:r>
                          <w:rPr>
                            <w:rFonts w:hint="eastAsia"/>
                            <w:sz w:val="18"/>
                            <w:szCs w:val="18"/>
                          </w:rPr>
                          <w:t>万件</w:t>
                        </w:r>
                      </w:p>
                    </w:txbxContent>
                  </v:textbox>
                </v:shape>
              </w:pic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rPr>
              <w:pict>
                <v:shape id="文本框 149" o:spid="_x0000_s1027" o:spt="202" type="#_x0000_t202" style="position:absolute;left:0pt;margin-left:325.3pt;margin-top:1.6pt;height:31.05pt;width:126.75pt;z-index:251720704;mso-width-relative:margin;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">
                  <v:path/>
                  <v:fill on="t" focussize="0,0"/>
                  <v:stroke weight="0.5pt" joinstyle="miter"/>
                  <v:imagedata o:title=""/>
                  <o:lock v:ext="edit"/>
                  <v:textbox>
                    <w:txbxContent>
                      <w:p>
                        <w:pPr>
                          <w:spacing w:line="240" w:lineRule="auto"/>
                          <w:ind w:firstLine="0" w:firstLineChars="0"/>
                          <w:jc w:val="center"/>
                          <w:rPr>
                            <w:color w:val="000000" w:themeColor="text1"/>
                          </w:rPr>
                        </w:pPr>
                        <w:r>
                          <w:rPr>
                            <w:rFonts w:hint="eastAsia"/>
                            <w:color w:val="000000" w:themeColor="text1"/>
                          </w:rPr>
                          <w:t>单件成品</w:t>
                        </w:r>
                        <w:r>
                          <w:rPr>
                            <w:rFonts w:cs="Times New Roman"/>
                            <w:color w:val="000000" w:themeColor="text1"/>
                          </w:rPr>
                          <w:t>1.665</w:t>
                        </w:r>
                        <m:oMath>
                          <m:r>
                            <w:rPr>
                              <w:rFonts w:ascii="Cambria Math" w:hAnsi="Cambria Math" w:cs="Times New Roman"/>
                              <w:color w:val="000000" w:themeColor="text1"/>
                            </w:rPr>
                            <m:t>×</m:t>
                          </m:r>
                        </m:oMath>
                        <w:r>
                          <w:rPr>
                            <w:rFonts w:cs="Times New Roman"/>
                            <w:color w:val="000000" w:themeColor="text1"/>
                          </w:rPr>
                          <w:t>10</w:t>
                        </w:r>
                        <w:r>
                          <w:rPr>
                            <w:rFonts w:cs="Times New Roman"/>
                            <w:color w:val="000000" w:themeColor="text1"/>
                            <w:vertAlign w:val="superscript"/>
                          </w:rPr>
                          <w:t>-4</w:t>
                        </w:r>
                        <w:r>
                          <w:rPr>
                            <w:color w:val="000000" w:themeColor="text1"/>
                          </w:rPr>
                          <w:t>t</w:t>
                        </w:r>
                      </w:p>
                    </w:txbxContent>
                  </v:textbox>
                </v:shape>
              </w:pict>
            </w:r>
            <w:r>
              <w:rPr>
                <w:rFonts w:cs="Times New Roman"/>
                <w:b/>
                <w:color w:val="000000"/>
                <w:sz w:val="21"/>
              </w:rPr>
              <w:pict>
                <v:shape id="文本框 21" o:spid="_x0000_s1028" o:spt="202" type="#_x0000_t202" style="position:absolute;left:0pt;margin-left:160.5pt;margin-top:1.8pt;height:30.6pt;width:95.75pt;z-index:251724800;mso-width-relative:margin;mso-height-relative:page;"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">
                  <v:path/>
                  <v:fill on="t" focussize="0,0"/>
                  <v:stroke weight="0.5pt" joinstyle="miter"/>
                  <v:imagedata o:title=""/>
                  <o:lock v:ext="edit"/>
                  <v:textbox>
                    <w:txbxContent>
                      <w:p>
                        <w:pPr>
                          <w:ind w:firstLine="0" w:firstLineChars="0"/>
                        </w:pPr>
                        <w:r>
                          <w:rPr>
                            <w:rFonts w:hint="eastAsia"/>
                          </w:rPr>
                          <w:t>成品用量4</w:t>
                        </w:r>
                        <w:r>
                          <w:t>9.95t</w:t>
                        </w:r>
                      </w:p>
                    </w:txbxContent>
                  </v:textbox>
                </v:shape>
              </w:pic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rPr>
              <w:pict>
                <v:shape id="直接箭头连接符 32" o:spid="_x0000_s1069" o:spt="32" type="#_x0000_t32" style="position:absolute;left:0pt;flip:y;margin-left:262.4pt;margin-top:5pt;height:0.75pt;width:56.7pt;z-index:2517278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">
                  <v:path arrowok="t"/>
                  <v:fill on="f" focussize="0,0"/>
                  <v:stroke weight="0.5pt" color="#000000" joinstyle="miter" endarrow="block"/>
                  <v:imagedata o:title=""/>
                  <o:lock v:ext="edit"/>
                </v:shape>
              </w:pict>
            </w:r>
            <w:r>
              <w:rPr>
                <w:rFonts w:cs="Times New Roman"/>
                <w:b/>
                <w:color w:val="000000"/>
                <w:sz w:val="21"/>
              </w:rPr>
              <w:pict>
                <v:shape id="直接箭头连接符 151" o:spid="_x0000_s1068" o:spt="32" type="#_x0000_t32" style="position:absolute;left:0pt;flip:y;margin-left:106.25pt;margin-top:4.45pt;height:26.2pt;width:51.55pt;z-index:2517227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">
                  <v:path arrowok="t"/>
                  <v:fill on="f" focussize="0,0"/>
                  <v:stroke weight="1pt" color="#000000" joinstyle="miter" endarrow="block"/>
                  <v:imagedata o:title=""/>
                  <o:lock v:ext="edit"/>
                </v:shape>
              </w:pict>
            </w:r>
          </w:p>
          <w:p>
            <w:pPr>
              <w:adjustRightInd w:val="0"/>
              <w:snapToGrid w:val="0"/>
              <w:ind w:firstLine="480"/>
              <w:jc w:val="center"/>
              <w:rPr>
                <w:rFonts w:cs="Times New Roman"/>
                <w:color w:val="000000"/>
                <w:lang w:val="zh-CN"/>
              </w:rPr>
            </w:pPr>
            <w:r>
              <w:rPr>
                <w:rFonts w:cs="Times New Roman"/>
                <w:color w:val="000000"/>
              </w:rPr>
              <w:pict>
                <v:shape id="直接箭头连接符 152" o:spid="_x0000_s1067" o:spt="32" type="#_x0000_t32" style="position:absolute;left:0pt;margin-left:107pt;margin-top:20.8pt;height:36.05pt;width:55.65pt;z-index:2517237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">
                  <v:path arrowok="t"/>
                  <v:fill on="f" focussize="0,0"/>
                  <v:stroke weight="1pt" color="#000000" joinstyle="miter" endarrow="block"/>
                  <v:imagedata o:title=""/>
                  <o:lock v:ext="edit"/>
                </v:shape>
              </w:pict>
            </w:r>
            <w:r>
              <w:rPr>
                <w:rFonts w:cs="Times New Roman"/>
                <w:color w:val="000000"/>
              </w:rPr>
              <w:pict>
                <v:shape id="文本框 148" o:spid="_x0000_s1029" o:spt="202" type="#_x0000_t202" style="position:absolute;left:0pt;margin-left:11.55pt;margin-top:6.15pt;height:27.8pt;width:91.65pt;z-index:251719680;mso-width-relative:margin;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">
                  <v:path/>
                  <v:fill on="t" focussize="0,0"/>
                  <v:stroke weight="0.5pt" joinstyle="miter"/>
                  <v:imagedata o:title=""/>
                  <o:lock v:ext="edit"/>
                  <v:textbox>
                    <w:txbxContent>
                      <w:p>
                        <w:pPr>
                          <w:spacing w:line="240" w:lineRule="auto"/>
                          <w:ind w:firstLine="0" w:firstLineChars="0"/>
                          <w:jc w:val="center"/>
                        </w:pPr>
                        <w:r>
                          <w:rPr>
                            <w:rFonts w:hint="eastAsia"/>
                          </w:rPr>
                          <w:t>铜棒</w:t>
                        </w:r>
                        <w:r>
                          <w:rPr>
                            <w:rFonts w:cs="Times New Roman"/>
                          </w:rPr>
                          <w:t>50t/a</w:t>
                        </w:r>
                      </w:p>
                    </w:txbxContent>
                  </v:textbox>
                </v:shape>
              </w:pict>
            </w:r>
          </w:p>
          <w:p>
            <w:pPr>
              <w:adjustRightInd w:val="0"/>
              <w:snapToGrid w:val="0"/>
              <w:ind w:firstLine="480"/>
              <w:jc w:val="center"/>
              <w:rPr>
                <w:rFonts w:cs="Times New Roman"/>
                <w:color w:val="000000"/>
                <w:lang w:val="zh-CN"/>
              </w:rPr>
            </w:pPr>
            <w:r>
              <w:rPr>
                <w:rFonts w:cs="Times New Roman"/>
                <w:color w:val="000000"/>
              </w:rPr>
              <w:pict>
                <v:shape id="文本框 150" o:spid="_x0000_s1030" o:spt="202" type="#_x0000_t202" style="position:absolute;left:0pt;margin-left:164.2pt;margin-top:15.9pt;height:35.2pt;width:106.35pt;z-index:251721728;mso-width-relative:margin;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">
                  <v:path/>
                  <v:fill on="t" focussize="0,0"/>
                  <v:stroke weight="0.5pt" joinstyle="miter"/>
                  <v:imagedata o:title=""/>
                  <o:lock v:ext="edit"/>
                  <v:textbox>
                    <w:txbxContent>
                      <w:p>
                        <w:pPr>
                          <w:spacing w:line="240" w:lineRule="auto"/>
                          <w:ind w:firstLine="0" w:firstLineChars="0"/>
                          <w:jc w:val="center"/>
                          <w:rPr>
                            <w:color w:val="000000" w:themeColor="text1"/>
                          </w:rPr>
                        </w:pPr>
                        <w:r>
                          <w:rPr>
                            <w:rFonts w:hint="eastAsia"/>
                            <w:color w:val="000000" w:themeColor="text1"/>
                          </w:rPr>
                          <w:t>边角料</w:t>
                        </w:r>
                        <w:r>
                          <w:rPr>
                            <w:rFonts w:cs="Times New Roman"/>
                            <w:color w:val="000000" w:themeColor="text1"/>
                          </w:rPr>
                          <w:t>0.05t/a</w:t>
                        </w:r>
                      </w:p>
                    </w:txbxContent>
                  </v:textbox>
                </v:shape>
              </w:pict>
            </w:r>
          </w:p>
          <w:p>
            <w:pPr>
              <w:adjustRightInd w:val="0"/>
              <w:snapToGrid w:val="0"/>
              <w:ind w:firstLine="480"/>
              <w:rPr>
                <w:rFonts w:cs="Times New Roman"/>
                <w:color w:val="000000"/>
                <w:lang w:val="zh-CN"/>
              </w:rPr>
            </w:pPr>
          </w:p>
          <w:p>
            <w:pPr>
              <w:adjustRightInd w:val="0"/>
              <w:snapToGrid w:val="0"/>
              <w:ind w:firstLine="480"/>
              <w:rPr>
                <w:rFonts w:cs="Times New Roman"/>
                <w:color w:val="000000"/>
                <w:lang w:val="zh-CN"/>
              </w:rPr>
            </w:pP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图1-1 物料平衡图</w:t>
            </w:r>
          </w:p>
          <w:p>
            <w:pPr>
              <w:adjustRightInd w:val="0"/>
              <w:snapToGrid w:val="0"/>
              <w:ind w:firstLine="480"/>
              <w:rPr>
                <w:rFonts w:cs="Times New Roman"/>
                <w:color w:val="FF0000"/>
              </w:rPr>
            </w:pPr>
          </w:p>
          <w:p>
            <w:pPr>
              <w:adjustRightInd w:val="0"/>
              <w:snapToGrid w:val="0"/>
              <w:ind w:firstLine="480"/>
              <w:rPr>
                <w:rFonts w:cs="Times New Roman"/>
                <w:color w:val="000000"/>
              </w:rPr>
            </w:pPr>
            <w:r>
              <w:rPr>
                <w:rFonts w:cs="Times New Roman"/>
                <w:color w:val="000000"/>
              </w:rPr>
              <w:t>（2）本项目能耗情况如下表：</w:t>
            </w:r>
          </w:p>
          <w:p>
            <w:pPr>
              <w:adjustRightInd w:val="0"/>
              <w:snapToGrid w:val="0"/>
              <w:spacing w:line="240" w:lineRule="auto"/>
              <w:ind w:firstLine="0" w:firstLineChars="0"/>
              <w:jc w:val="center"/>
              <w:rPr>
                <w:rFonts w:cs="Times New Roman"/>
                <w:b/>
                <w:color w:val="000000"/>
                <w:sz w:val="21"/>
                <w:lang w:val="zh-CN"/>
              </w:rPr>
            </w:pPr>
          </w:p>
          <w:p>
            <w:pPr>
              <w:adjustRightInd w:val="0"/>
              <w:snapToGrid w:val="0"/>
              <w:spacing w:line="240" w:lineRule="auto"/>
              <w:ind w:firstLine="0" w:firstLineChars="0"/>
              <w:jc w:val="center"/>
              <w:rPr>
                <w:rFonts w:cs="Times New Roman"/>
                <w:b/>
                <w:color w:val="000000"/>
                <w:sz w:val="21"/>
                <w:lang w:val="zh-CN"/>
              </w:rPr>
            </w:pPr>
          </w:p>
          <w:p>
            <w:pPr>
              <w:adjustRightInd w:val="0"/>
              <w:snapToGrid w:val="0"/>
              <w:spacing w:line="240" w:lineRule="auto"/>
              <w:ind w:firstLine="0" w:firstLineChars="0"/>
              <w:jc w:val="center"/>
              <w:rPr>
                <w:rFonts w:cs="Times New Roman"/>
                <w:b/>
                <w:bCs/>
                <w:color w:val="000000"/>
                <w:sz w:val="21"/>
                <w:lang w:val="zh-CN"/>
              </w:rPr>
            </w:pPr>
            <w:r>
              <w:rPr>
                <w:rFonts w:cs="Times New Roman"/>
                <w:b/>
                <w:color w:val="000000"/>
                <w:sz w:val="21"/>
                <w:lang w:val="zh-CN"/>
              </w:rPr>
              <w:t>表 1-5 项目水电能耗情况</w:t>
            </w:r>
          </w:p>
          <w:tbl>
            <w:tblPr>
              <w:tblStyle w:val="34"/>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9"/>
              <w:gridCol w:w="2218"/>
              <w:gridCol w:w="2977"/>
              <w:gridCol w:w="26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17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序号</w:t>
                  </w:r>
                </w:p>
              </w:tc>
              <w:tc>
                <w:tcPr>
                  <w:tcW w:w="221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名称</w:t>
                  </w:r>
                </w:p>
              </w:tc>
              <w:tc>
                <w:tcPr>
                  <w:tcW w:w="297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年用量</w:t>
                  </w:r>
                </w:p>
              </w:tc>
              <w:tc>
                <w:tcPr>
                  <w:tcW w:w="268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17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21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电</w:t>
                  </w:r>
                </w:p>
              </w:tc>
              <w:tc>
                <w:tcPr>
                  <w:tcW w:w="2977"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6万度</w:t>
                  </w:r>
                </w:p>
              </w:tc>
              <w:tc>
                <w:tcPr>
                  <w:tcW w:w="268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市政电网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17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2</w:t>
                  </w:r>
                </w:p>
              </w:tc>
              <w:tc>
                <w:tcPr>
                  <w:tcW w:w="221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水</w:t>
                  </w:r>
                </w:p>
              </w:tc>
              <w:tc>
                <w:tcPr>
                  <w:tcW w:w="2977"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168.8m</w:t>
                  </w:r>
                  <w:r>
                    <w:rPr>
                      <w:rFonts w:cs="Times New Roman"/>
                      <w:kern w:val="0"/>
                      <w:sz w:val="21"/>
                      <w:szCs w:val="20"/>
                      <w:vertAlign w:val="superscript"/>
                      <w:lang w:val="zh-CN"/>
                    </w:rPr>
                    <w:t>3</w:t>
                  </w:r>
                </w:p>
              </w:tc>
              <w:tc>
                <w:tcPr>
                  <w:tcW w:w="268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市政自来水管网</w:t>
                  </w:r>
                </w:p>
              </w:tc>
            </w:tr>
          </w:tbl>
          <w:p>
            <w:pPr>
              <w:pStyle w:val="4"/>
              <w:rPr>
                <w:rFonts w:ascii="Times New Roman" w:hAnsi="Times New Roman" w:cs="Times New Roman"/>
                <w:lang w:val="zh-CN"/>
              </w:rPr>
            </w:pPr>
            <w:r>
              <w:rPr>
                <w:rFonts w:ascii="Times New Roman" w:hAnsi="Times New Roman" w:cs="Times New Roman"/>
                <w:lang w:val="zh-CN"/>
              </w:rPr>
              <w:t>1.1.6人员定员及工作制度</w:t>
            </w:r>
          </w:p>
          <w:p>
            <w:pPr>
              <w:adjustRightInd w:val="0"/>
              <w:snapToGrid w:val="0"/>
              <w:ind w:firstLine="480"/>
              <w:rPr>
                <w:rFonts w:cs="Times New Roman"/>
                <w:bCs/>
                <w:color w:val="000000"/>
              </w:rPr>
            </w:pPr>
            <w:r>
              <w:rPr>
                <w:rFonts w:cs="Times New Roman"/>
                <w:bCs/>
                <w:color w:val="000000"/>
              </w:rPr>
              <w:t>项目劳动定员为12人，均不在厂内食宿，每日工作8小时，年工作310天。</w:t>
            </w:r>
          </w:p>
          <w:p>
            <w:pPr>
              <w:pStyle w:val="4"/>
              <w:rPr>
                <w:rFonts w:ascii="Times New Roman" w:hAnsi="Times New Roman" w:cs="Times New Roman"/>
                <w:lang w:val="zh-CN"/>
              </w:rPr>
            </w:pPr>
            <w:r>
              <w:rPr>
                <w:rFonts w:ascii="Times New Roman" w:hAnsi="Times New Roman" w:cs="Times New Roman"/>
                <w:lang w:val="zh-CN"/>
              </w:rPr>
              <w:t>1.1.7公用工程</w:t>
            </w:r>
          </w:p>
          <w:p>
            <w:pPr>
              <w:adjustRightInd w:val="0"/>
              <w:snapToGrid w:val="0"/>
              <w:ind w:firstLine="480"/>
              <w:rPr>
                <w:rFonts w:cs="Times New Roman"/>
                <w:bCs/>
                <w:color w:val="000000"/>
              </w:rPr>
            </w:pPr>
            <w:r>
              <w:rPr>
                <w:rFonts w:cs="Times New Roman"/>
                <w:bCs/>
                <w:color w:val="000000"/>
              </w:rPr>
              <w:t>（1）给水</w:t>
            </w:r>
          </w:p>
          <w:p>
            <w:pPr>
              <w:adjustRightInd w:val="0"/>
              <w:snapToGrid w:val="0"/>
              <w:ind w:firstLine="480"/>
              <w:rPr>
                <w:rFonts w:cs="Times New Roman"/>
                <w:bCs/>
                <w:color w:val="000000"/>
              </w:rPr>
            </w:pPr>
            <w:r>
              <w:rPr>
                <w:rFonts w:hint="eastAsia" w:ascii="宋体" w:hAnsi="宋体" w:cs="宋体"/>
                <w:bCs/>
                <w:color w:val="000000"/>
              </w:rPr>
              <w:t>①</w:t>
            </w:r>
            <w:r>
              <w:rPr>
                <w:rFonts w:cs="Times New Roman"/>
                <w:bCs/>
                <w:color w:val="000000"/>
              </w:rPr>
              <w:t>生活用水</w:t>
            </w:r>
          </w:p>
          <w:p>
            <w:pPr>
              <w:adjustRightInd w:val="0"/>
              <w:snapToGrid w:val="0"/>
              <w:ind w:firstLine="480"/>
              <w:rPr>
                <w:rFonts w:cs="Times New Roman"/>
                <w:bCs/>
                <w:color w:val="000000"/>
              </w:rPr>
            </w:pPr>
            <w:r>
              <w:rPr>
                <w:rFonts w:cs="Times New Roman"/>
                <w:bCs/>
                <w:color w:val="000000"/>
              </w:rPr>
              <w:t>项目由市政自来水管网供应，用水主要为员工日常生活用水，项目共有员工12人，</w:t>
            </w:r>
            <w:r>
              <w:rPr>
                <w:rFonts w:cs="Times New Roman"/>
                <w:bCs/>
                <w:color w:val="000000" w:themeColor="text1"/>
              </w:rPr>
              <w:t>均不提供食宿</w:t>
            </w:r>
            <w:r>
              <w:rPr>
                <w:rFonts w:cs="Times New Roman"/>
                <w:bCs/>
                <w:color w:val="000000"/>
              </w:rPr>
              <w:t>生活用水量参考《广东省用水定额》（DB44/T1461-2014），人均用水按40升/人·日计算，则用水量为0.48m</w:t>
            </w:r>
            <w:r>
              <w:rPr>
                <w:rFonts w:cs="Times New Roman"/>
                <w:bCs/>
                <w:color w:val="000000"/>
                <w:vertAlign w:val="superscript"/>
              </w:rPr>
              <w:t>3</w:t>
            </w:r>
            <w:r>
              <w:rPr>
                <w:rFonts w:cs="Times New Roman"/>
                <w:bCs/>
                <w:color w:val="000000"/>
              </w:rPr>
              <w:t>/d，148.8m</w:t>
            </w:r>
            <w:r>
              <w:rPr>
                <w:rFonts w:cs="Times New Roman"/>
                <w:bCs/>
                <w:color w:val="000000"/>
                <w:vertAlign w:val="superscript"/>
              </w:rPr>
              <w:t>3</w:t>
            </w:r>
            <w:r>
              <w:rPr>
                <w:rFonts w:cs="Times New Roman"/>
                <w:bCs/>
                <w:color w:val="000000"/>
              </w:rPr>
              <w:t>/a。</w:t>
            </w:r>
          </w:p>
          <w:p>
            <w:pPr>
              <w:adjustRightInd w:val="0"/>
              <w:snapToGrid w:val="0"/>
              <w:ind w:firstLine="480"/>
              <w:rPr>
                <w:rFonts w:cs="Times New Roman"/>
                <w:bCs/>
                <w:color w:val="000000"/>
              </w:rPr>
            </w:pPr>
            <w:r>
              <w:rPr>
                <w:rFonts w:cs="Times New Roman"/>
                <w:bCs/>
                <w:color w:val="000000"/>
              </w:rPr>
              <w:fldChar w:fldCharType="begin"/>
            </w:r>
            <w:r>
              <w:rPr>
                <w:rFonts w:cs="Times New Roman"/>
                <w:bCs/>
                <w:color w:val="000000"/>
              </w:rPr>
              <w:instrText xml:space="preserve"> = 2 \* GB3 </w:instrText>
            </w:r>
            <w:r>
              <w:rPr>
                <w:rFonts w:cs="Times New Roman"/>
                <w:bCs/>
                <w:color w:val="000000"/>
              </w:rPr>
              <w:fldChar w:fldCharType="separate"/>
            </w:r>
            <w:r>
              <w:rPr>
                <w:rFonts w:hint="eastAsia" w:ascii="宋体" w:hAnsi="宋体" w:cs="宋体"/>
                <w:bCs/>
                <w:color w:val="000000"/>
              </w:rPr>
              <w:t>②</w:t>
            </w:r>
            <w:r>
              <w:rPr>
                <w:rFonts w:cs="Times New Roman"/>
                <w:bCs/>
                <w:color w:val="000000"/>
              </w:rPr>
              <w:fldChar w:fldCharType="end"/>
            </w:r>
            <w:r>
              <w:rPr>
                <w:rFonts w:cs="Times New Roman"/>
              </w:rPr>
              <w:t>本项目A水喷淋系统水</w:t>
            </w:r>
            <w:r>
              <w:rPr>
                <w:rFonts w:hint="eastAsia" w:cs="Times New Roman"/>
              </w:rPr>
              <w:t>经排出和浮油打捞回收后</w:t>
            </w:r>
            <w:r>
              <w:rPr>
                <w:rFonts w:cs="Times New Roman"/>
              </w:rPr>
              <w:t>循环使用，B</w:t>
            </w:r>
            <w:r>
              <w:rPr>
                <w:rFonts w:hint="eastAsia" w:cs="Times New Roman"/>
              </w:rPr>
              <w:t>、</w:t>
            </w:r>
            <w:r>
              <w:rPr>
                <w:rFonts w:cs="Times New Roman"/>
              </w:rPr>
              <w:t>C</w:t>
            </w:r>
            <w:r>
              <w:rPr>
                <w:rFonts w:hint="eastAsia" w:cs="Times New Roman"/>
              </w:rPr>
              <w:t>、</w:t>
            </w:r>
            <w:r>
              <w:rPr>
                <w:rFonts w:cs="Times New Roman"/>
              </w:rPr>
              <w:t>D</w:t>
            </w:r>
            <w:r>
              <w:rPr>
                <w:rFonts w:hint="eastAsia" w:cs="Times New Roman"/>
              </w:rPr>
              <w:t>、</w:t>
            </w:r>
            <w:r>
              <w:rPr>
                <w:rFonts w:cs="Times New Roman"/>
              </w:rPr>
              <w:t>E</w:t>
            </w:r>
            <w:r>
              <w:rPr>
                <w:rFonts w:hint="eastAsia" w:cs="Times New Roman"/>
              </w:rPr>
              <w:t>水喷淋系统水循环使用</w:t>
            </w:r>
            <w:r>
              <w:rPr>
                <w:rFonts w:cs="Times New Roman"/>
              </w:rPr>
              <w:t>不外排，定期补充损耗，补充水量约为20t/a。</w:t>
            </w:r>
          </w:p>
          <w:p>
            <w:pPr>
              <w:adjustRightInd w:val="0"/>
              <w:snapToGrid w:val="0"/>
              <w:ind w:firstLine="480"/>
              <w:rPr>
                <w:rFonts w:cs="Times New Roman"/>
                <w:bCs/>
                <w:color w:val="000000"/>
              </w:rPr>
            </w:pPr>
            <w:r>
              <w:rPr>
                <w:rFonts w:cs="Times New Roman"/>
                <w:bCs/>
                <w:color w:val="000000"/>
              </w:rPr>
              <w:t>（2）排水</w:t>
            </w:r>
          </w:p>
          <w:p>
            <w:pPr>
              <w:adjustRightInd w:val="0"/>
              <w:snapToGrid w:val="0"/>
              <w:ind w:firstLine="480"/>
              <w:rPr>
                <w:rFonts w:cs="Times New Roman"/>
                <w:bCs/>
                <w:color w:val="FF0000"/>
              </w:rPr>
            </w:pPr>
            <w:r>
              <w:rPr>
                <w:rFonts w:cs="Times New Roman"/>
                <w:bCs/>
                <w:color w:val="000000"/>
              </w:rPr>
              <w:t>本项目无生产废水产生，项目外排的废水主要为生活污水。厂区内采取雨污分流制，雨水经雨水管网收集后，排放至市政雨水管网；生活污水排放系数按0.9计算，排放量预计0.432m</w:t>
            </w:r>
            <w:r>
              <w:rPr>
                <w:rFonts w:cs="Times New Roman"/>
                <w:bCs/>
                <w:color w:val="000000"/>
                <w:vertAlign w:val="superscript"/>
              </w:rPr>
              <w:t>3</w:t>
            </w:r>
            <w:r>
              <w:rPr>
                <w:rFonts w:cs="Times New Roman"/>
                <w:bCs/>
                <w:color w:val="000000"/>
              </w:rPr>
              <w:t>/d，133.92m</w:t>
            </w:r>
            <w:r>
              <w:rPr>
                <w:rFonts w:cs="Times New Roman"/>
                <w:bCs/>
                <w:color w:val="000000"/>
                <w:vertAlign w:val="superscript"/>
              </w:rPr>
              <w:t>3</w:t>
            </w:r>
            <w:r>
              <w:rPr>
                <w:rFonts w:cs="Times New Roman"/>
                <w:bCs/>
                <w:color w:val="000000"/>
              </w:rPr>
              <w:t>/a，属于开平市水口污水处理厂集水范围，生活污水经三级化粪池预处理达到</w:t>
            </w:r>
            <w:r>
              <w:rPr>
                <w:rFonts w:cs="Times New Roman"/>
                <w:bCs/>
                <w:color w:val="000000" w:themeColor="text1"/>
              </w:rPr>
              <w:t>广东省地方标准《水污染物排放限值》（DB44/26-2001）第二时段三级标准后</w:t>
            </w:r>
            <w:r>
              <w:rPr>
                <w:rFonts w:cs="Times New Roman"/>
                <w:bCs/>
                <w:color w:val="000000"/>
              </w:rPr>
              <w:t>和《污水排入城镇下水道水质标准》（GB/T31962-2015）一级</w:t>
            </w:r>
            <w:r>
              <w:rPr>
                <w:rFonts w:hint="eastAsia" w:cs="Times New Roman"/>
                <w:bCs/>
                <w:color w:val="000000"/>
              </w:rPr>
              <w:t>B</w:t>
            </w:r>
            <w:r>
              <w:rPr>
                <w:rFonts w:cs="Times New Roman"/>
                <w:bCs/>
                <w:color w:val="000000"/>
              </w:rPr>
              <w:t>标准后</w:t>
            </w:r>
            <w:r>
              <w:rPr>
                <w:rFonts w:cs="Times New Roman"/>
                <w:bCs/>
                <w:color w:val="000000" w:themeColor="text1"/>
              </w:rPr>
              <w:t>，经市政污水管网进入开平市水口污水处理厂处理。开平市水口污水处理厂尾水执行广东省地方标准《水污染物排放限值》（DB44/26-2001）第二时段一级标准及《城镇污水处理厂污染物排放标准》（GB18918-2002）一级A标准的较严者。</w:t>
            </w:r>
          </w:p>
          <w:p>
            <w:pPr>
              <w:adjustRightInd w:val="0"/>
              <w:snapToGrid w:val="0"/>
              <w:ind w:firstLine="480"/>
              <w:rPr>
                <w:rFonts w:cs="Times New Roman"/>
                <w:bCs/>
                <w:color w:val="000000"/>
              </w:rPr>
            </w:pPr>
            <w:r>
              <w:rPr>
                <w:rFonts w:cs="Times New Roman"/>
                <w:bCs/>
                <w:color w:val="000000"/>
              </w:rPr>
              <w:t>（3）供电</w:t>
            </w:r>
          </w:p>
          <w:p>
            <w:pPr>
              <w:adjustRightInd w:val="0"/>
              <w:snapToGrid w:val="0"/>
              <w:ind w:firstLine="480"/>
              <w:rPr>
                <w:rFonts w:cs="Times New Roman"/>
                <w:bCs/>
                <w:color w:val="000000"/>
              </w:rPr>
            </w:pPr>
            <w:r>
              <w:rPr>
                <w:rFonts w:cs="Times New Roman"/>
                <w:bCs/>
                <w:color w:val="000000"/>
              </w:rPr>
              <w:t>项目用电由当地市政电网供应，年用6万度电。</w:t>
            </w:r>
          </w:p>
          <w:p>
            <w:pPr>
              <w:adjustRightInd w:val="0"/>
              <w:snapToGrid w:val="0"/>
              <w:ind w:firstLine="0" w:firstLineChars="0"/>
              <w:jc w:val="left"/>
              <w:rPr>
                <w:rStyle w:val="33"/>
              </w:rPr>
            </w:pPr>
            <w:r>
              <w:rPr>
                <w:rStyle w:val="33"/>
                <w:rFonts w:hint="eastAsia"/>
              </w:rPr>
              <w:t>1.1.8与法律法规、政策、规划和规划环评的相符性产业政策、选址及平面布局符合性分析</w:t>
            </w:r>
          </w:p>
          <w:p>
            <w:pPr>
              <w:adjustRightInd w:val="0"/>
              <w:snapToGrid w:val="0"/>
              <w:ind w:firstLine="360" w:firstLineChars="150"/>
              <w:jc w:val="left"/>
              <w:rPr>
                <w:rFonts w:cs="Times New Roman"/>
                <w:bCs/>
                <w:color w:val="000000"/>
              </w:rPr>
            </w:pPr>
            <w:r>
              <w:rPr>
                <w:rFonts w:hint="eastAsia" w:cs="Times New Roman"/>
                <w:bCs/>
                <w:color w:val="000000"/>
              </w:rPr>
              <w:t>（1）产业政策相符性分析</w:t>
            </w:r>
          </w:p>
          <w:p>
            <w:pPr>
              <w:adjustRightInd w:val="0"/>
              <w:snapToGrid w:val="0"/>
              <w:ind w:firstLine="480"/>
              <w:rPr>
                <w:rFonts w:cs="Times New Roman"/>
                <w:bCs/>
                <w:color w:val="000000"/>
              </w:rPr>
            </w:pPr>
            <w:r>
              <w:rPr>
                <w:rFonts w:cs="Times New Roman"/>
                <w:bCs/>
                <w:color w:val="000000"/>
              </w:rPr>
              <w:t>按照《国民经济行业分类代码》中的规定，本项目的行业类别及代码为C制造业——3383，金属制卫生器具制造，不属于《产业结构调整指导目录》（2019年本）、《关于发布珠江三角洲地区产业结构调整优化和产业导向目录的通知》（粤经函[2011]891号）中的限制类和淘汰类产业。</w:t>
            </w:r>
          </w:p>
          <w:p>
            <w:pPr>
              <w:adjustRightInd w:val="0"/>
              <w:snapToGrid w:val="0"/>
              <w:ind w:firstLine="480"/>
              <w:rPr>
                <w:rFonts w:cs="Times New Roman"/>
                <w:bCs/>
                <w:color w:val="000000"/>
              </w:rPr>
            </w:pPr>
            <w:r>
              <w:rPr>
                <w:rFonts w:cs="Times New Roman"/>
                <w:bCs/>
                <w:color w:val="000000"/>
              </w:rPr>
              <w:t>项目所使用的原材料、生产设备及生产工艺均不属于《产业结构调整指导目录》（2019年本）中的限制类和淘汰类产品及设备；不属于《广东省进一步加强淘汰落后产能工作实施方案》中的重点淘汰类和重点整治类符合国家和地方相关产业政策。</w:t>
            </w:r>
          </w:p>
          <w:p>
            <w:pPr>
              <w:adjustRightInd w:val="0"/>
              <w:snapToGrid w:val="0"/>
              <w:ind w:firstLine="480"/>
              <w:rPr>
                <w:rFonts w:cs="Times New Roman"/>
                <w:bCs/>
                <w:color w:val="000000"/>
              </w:rPr>
            </w:pPr>
            <w:r>
              <w:rPr>
                <w:rFonts w:hint="eastAsia" w:cs="Times New Roman"/>
                <w:bCs/>
                <w:color w:val="000000"/>
              </w:rPr>
              <w:t>（</w:t>
            </w:r>
            <w:r>
              <w:rPr>
                <w:rFonts w:cs="Times New Roman"/>
                <w:bCs/>
                <w:color w:val="000000"/>
              </w:rPr>
              <w:t>2</w:t>
            </w:r>
            <w:r>
              <w:rPr>
                <w:rFonts w:hint="eastAsia" w:cs="Times New Roman"/>
                <w:bCs/>
                <w:color w:val="000000"/>
              </w:rPr>
              <w:t>）选址规划相符性符合性分析</w:t>
            </w:r>
          </w:p>
          <w:p>
            <w:pPr>
              <w:adjustRightInd w:val="0"/>
              <w:snapToGrid w:val="0"/>
              <w:ind w:firstLine="480"/>
              <w:rPr>
                <w:rFonts w:cs="Times New Roman"/>
                <w:bCs/>
                <w:color w:val="000000"/>
              </w:rPr>
            </w:pPr>
            <w:r>
              <w:rPr>
                <w:rFonts w:cs="Times New Roman"/>
                <w:bCs/>
                <w:color w:val="000000"/>
              </w:rPr>
              <w:t>开平市水口镇新海洋五金水暖塑料厂位于开平市水口镇水暖城C2区，属二类工业用地，符合《开平市水口中心镇总体规划修编（2004-2024）》的用地性质。</w:t>
            </w:r>
          </w:p>
          <w:p>
            <w:pPr>
              <w:adjustRightInd w:val="0"/>
              <w:snapToGrid w:val="0"/>
              <w:ind w:firstLine="480"/>
              <w:rPr>
                <w:rFonts w:cs="Times New Roman"/>
                <w:bCs/>
                <w:color w:val="000000"/>
              </w:rPr>
            </w:pPr>
            <w:r>
              <w:rPr>
                <w:rFonts w:cs="Times New Roman"/>
                <w:bCs/>
                <w:color w:val="000000"/>
              </w:rPr>
              <w:t>（3）平面布局合理性分析</w:t>
            </w:r>
          </w:p>
          <w:p>
            <w:pPr>
              <w:adjustRightInd w:val="0"/>
              <w:snapToGrid w:val="0"/>
              <w:ind w:firstLine="480"/>
              <w:rPr>
                <w:rFonts w:cs="Times New Roman"/>
                <w:bCs/>
                <w:color w:val="000000"/>
              </w:rPr>
            </w:pPr>
            <w:r>
              <w:rPr>
                <w:rFonts w:cs="Times New Roman"/>
                <w:bCs/>
                <w:color w:val="000000"/>
              </w:rPr>
              <w:t>本项目建筑面积为1687.5</w:t>
            </w:r>
            <w:r>
              <w:rPr>
                <w:rFonts w:cs="Times New Roman"/>
                <w:bCs/>
                <w:color w:val="000000" w:themeColor="text1"/>
              </w:rPr>
              <w:t>m</w:t>
            </w:r>
            <w:r>
              <w:rPr>
                <w:rFonts w:cs="Times New Roman"/>
                <w:bCs/>
                <w:color w:val="000000" w:themeColor="text1"/>
                <w:vertAlign w:val="superscript"/>
              </w:rPr>
              <w:t>2</w:t>
            </w:r>
            <w:r>
              <w:rPr>
                <w:rFonts w:cs="Times New Roman"/>
                <w:bCs/>
                <w:color w:val="000000"/>
              </w:rPr>
              <w:t>，从厂房门口进入，其布局依次为机加车间、安装车间热冲车间、办公室和抛光车间。根据工艺流程的需要，各车间设置紧凑，保证生产效率；办公室设置在厂房中央，易于办公；安装车间靠近门口，便于出货、节省时间。总的平面布局符合《工业企业总平面设计规范》（GB50187-2012）。</w:t>
            </w:r>
          </w:p>
          <w:p>
            <w:pPr>
              <w:adjustRightInd w:val="0"/>
              <w:snapToGrid w:val="0"/>
              <w:ind w:firstLine="480"/>
              <w:rPr>
                <w:rFonts w:cs="Times New Roman"/>
                <w:bCs/>
                <w:color w:val="000000"/>
              </w:rPr>
            </w:pPr>
            <w:r>
              <w:rPr>
                <w:rFonts w:hint="eastAsia" w:cs="Times New Roman"/>
                <w:bCs/>
                <w:color w:val="000000"/>
              </w:rPr>
              <w:t>（4）与环境功能区划的符合性分析</w:t>
            </w:r>
          </w:p>
          <w:p>
            <w:pPr>
              <w:adjustRightInd w:val="0"/>
              <w:snapToGrid w:val="0"/>
              <w:ind w:firstLine="480"/>
              <w:rPr>
                <w:rFonts w:cs="Times New Roman"/>
                <w:bCs/>
                <w:color w:val="000000"/>
              </w:rPr>
            </w:pPr>
            <w:r>
              <w:rPr>
                <w:rFonts w:cs="Times New Roman"/>
                <w:bCs/>
                <w:color w:val="000000"/>
              </w:rPr>
              <w:t>项目所在区域属于开平市水口污水处理厂纳污范围，开平市水口污水处理厂东面排污河涌属III类水体，项目生活污水经三级化粪池预处理达到广东省地方标准《水污染物排放限值》（DB44/26-2001）第二时段三级标准</w:t>
            </w:r>
            <w:r>
              <w:rPr>
                <w:rFonts w:hint="eastAsia" w:cs="Times New Roman"/>
                <w:bCs/>
                <w:color w:val="000000"/>
              </w:rPr>
              <w:t>和《污水排入城镇下水道水质标准》（GB/T31962-2015）一级B标准后排入开平市水口污水处理厂处理达标后排放，符合区域水环境功能区划分要求。</w:t>
            </w:r>
          </w:p>
          <w:p>
            <w:pPr>
              <w:adjustRightInd w:val="0"/>
              <w:snapToGrid w:val="0"/>
              <w:ind w:firstLine="480"/>
              <w:rPr>
                <w:rFonts w:cs="Times New Roman"/>
                <w:bCs/>
                <w:color w:val="000000" w:themeColor="text1"/>
              </w:rPr>
            </w:pPr>
            <w:r>
              <w:rPr>
                <w:rFonts w:cs="Times New Roman"/>
                <w:bCs/>
                <w:color w:val="000000"/>
              </w:rPr>
              <w:t>项目所在地大气环境为《环境空气质量标准》（GB3095-2012）二类区，项目所在地不属于自然保护区、风景名胜区和其他需要特殊保护的地区，符合区域大气环境功能区划分要求。</w:t>
            </w:r>
          </w:p>
          <w:p>
            <w:pPr>
              <w:adjustRightInd w:val="0"/>
              <w:snapToGrid w:val="0"/>
              <w:ind w:firstLine="480"/>
              <w:rPr>
                <w:rFonts w:cs="Times New Roman"/>
                <w:bCs/>
                <w:color w:val="FF0000"/>
              </w:rPr>
            </w:pPr>
            <w:r>
              <w:rPr>
                <w:rFonts w:cs="Times New Roman"/>
                <w:bCs/>
                <w:color w:val="000000" w:themeColor="text1"/>
              </w:rPr>
              <w:t>项目所在区域边界噪声执行声环境为《声环境质量标准》（GB3096-2008）中的3类功能区，执行《声环境质量标准》（GB3096-2008）中3类标准</w:t>
            </w:r>
            <w:r>
              <w:rPr>
                <w:rFonts w:cs="Times New Roman"/>
                <w:bCs/>
                <w:color w:val="FF0000"/>
              </w:rPr>
              <w:t>。</w:t>
            </w:r>
          </w:p>
          <w:p>
            <w:pPr>
              <w:adjustRightInd w:val="0"/>
              <w:snapToGrid w:val="0"/>
              <w:ind w:firstLine="480"/>
              <w:rPr>
                <w:rFonts w:cs="Times New Roman"/>
                <w:bCs/>
                <w:color w:val="000000"/>
              </w:rPr>
            </w:pPr>
            <w:r>
              <w:rPr>
                <w:rFonts w:cs="Times New Roman"/>
                <w:bCs/>
                <w:color w:val="000000"/>
              </w:rPr>
              <w:t>因此，项目</w:t>
            </w:r>
            <w:r>
              <w:rPr>
                <w:rFonts w:hint="eastAsia" w:cs="Times New Roman"/>
                <w:bCs/>
                <w:color w:val="000000"/>
              </w:rPr>
              <w:t>建设符合产业政策，选址符合相关规划要求，平面布局合理，是合理合法的。</w:t>
            </w:r>
          </w:p>
          <w:p>
            <w:pPr>
              <w:pStyle w:val="4"/>
              <w:rPr>
                <w:rFonts w:ascii="Times New Roman" w:hAnsi="Times New Roman" w:cs="Times New Roman"/>
              </w:rPr>
            </w:pPr>
            <w:r>
              <w:rPr>
                <w:rFonts w:ascii="Times New Roman" w:hAnsi="Times New Roman" w:cs="Times New Roman"/>
              </w:rPr>
              <w:t>1.1.9项目四至情况</w:t>
            </w:r>
          </w:p>
          <w:p>
            <w:pPr>
              <w:adjustRightInd w:val="0"/>
              <w:snapToGrid w:val="0"/>
              <w:ind w:firstLine="480"/>
              <w:rPr>
                <w:rFonts w:cs="Times New Roman"/>
                <w:color w:val="000000"/>
              </w:rPr>
            </w:pPr>
            <w:r>
              <w:rPr>
                <w:rFonts w:cs="Times New Roman"/>
                <w:color w:val="000000"/>
              </w:rPr>
              <w:t>本项目位于开平市水口镇水暖城C2区（地理坐标：112.788188°E，22.461203°N），项目南为永乐五金厂，西为新光卫浴有限公司、东</w:t>
            </w:r>
            <w:r>
              <w:rPr>
                <w:rFonts w:hint="eastAsia" w:cs="Times New Roman"/>
                <w:color w:val="000000"/>
              </w:rPr>
              <w:t>以及东南隔东昌路</w:t>
            </w:r>
            <w:r>
              <w:rPr>
                <w:rFonts w:cs="Times New Roman"/>
                <w:color w:val="000000"/>
              </w:rPr>
              <w:t>为工厂区，北为连合汽修厂；项目四至</w:t>
            </w:r>
            <w:r>
              <w:rPr>
                <w:rFonts w:hint="eastAsia" w:cs="Times New Roman"/>
                <w:color w:val="000000"/>
              </w:rPr>
              <w:t>图及四至照片</w:t>
            </w:r>
            <w:r>
              <w:rPr>
                <w:rFonts w:cs="Times New Roman"/>
                <w:color w:val="000000"/>
              </w:rPr>
              <w:t>详见附图3。</w:t>
            </w:r>
          </w:p>
          <w:p>
            <w:pPr>
              <w:adjustRightInd w:val="0"/>
              <w:snapToGrid w:val="0"/>
              <w:spacing w:line="240" w:lineRule="auto"/>
              <w:ind w:firstLine="0" w:firstLineChars="0"/>
              <w:jc w:val="center"/>
              <w:rPr>
                <w:rFonts w:cs="Times New Roman"/>
                <w:color w:val="000000"/>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6" w:hRule="atLeast"/>
          <w:jc w:val="center"/>
        </w:trPr>
        <w:tc>
          <w:tcPr>
            <w:tcW w:w="9286" w:type="dxa"/>
            <w:gridSpan w:val="8"/>
          </w:tcPr>
          <w:p>
            <w:pPr>
              <w:pStyle w:val="20"/>
              <w:ind w:firstLine="0" w:firstLineChars="0"/>
              <w:rPr>
                <w:rFonts w:ascii="Times New Roman" w:hAnsi="Times New Roman" w:cs="Times New Roman"/>
                <w:lang w:val="zh-CN"/>
              </w:rPr>
            </w:pPr>
            <w:bookmarkStart w:id="4" w:name="_Toc22823013"/>
            <w:r>
              <w:rPr>
                <w:rFonts w:ascii="Times New Roman" w:hAnsi="Times New Roman" w:cs="Times New Roman"/>
                <w:lang w:val="zh-CN"/>
              </w:rPr>
              <w:t>1.2与本项目有关的原有污染情况及主要环境问题：</w:t>
            </w:r>
            <w:bookmarkEnd w:id="4"/>
          </w:p>
          <w:p>
            <w:pPr>
              <w:adjustRightInd w:val="0"/>
              <w:snapToGrid w:val="0"/>
              <w:ind w:firstLine="480"/>
              <w:rPr>
                <w:rFonts w:cs="Times New Roman"/>
                <w:color w:val="000000"/>
              </w:rPr>
            </w:pPr>
            <w:r>
              <w:rPr>
                <w:rFonts w:cs="Times New Roman"/>
                <w:color w:val="000000"/>
              </w:rPr>
              <w:t>本项目为新建项目，不存在原有污染情况。</w:t>
            </w:r>
          </w:p>
          <w:p>
            <w:pPr>
              <w:adjustRightInd w:val="0"/>
              <w:snapToGrid w:val="0"/>
              <w:ind w:firstLine="480"/>
              <w:rPr>
                <w:rFonts w:cs="Times New Roman"/>
                <w:color w:val="000000"/>
              </w:rPr>
            </w:pPr>
            <w:r>
              <w:rPr>
                <w:rFonts w:cs="Times New Roman"/>
                <w:color w:val="000000"/>
              </w:rPr>
              <w:t>从现场勘查可知，本项目周边主要环境问题为周边工厂产生的废水、废气、固废、噪声等，以及项目周边道路产生的交通尾气及噪声。项目所在地周围的现有污染源为项目周边生产企业产生的三废等。</w:t>
            </w:r>
          </w:p>
          <w:p>
            <w:pPr>
              <w:adjustRightInd w:val="0"/>
              <w:snapToGrid w:val="0"/>
              <w:ind w:firstLine="0" w:firstLineChars="0"/>
              <w:rPr>
                <w:rFonts w:cs="Times New Roman"/>
                <w:color w:val="000000"/>
                <w:szCs w:val="24"/>
              </w:rPr>
            </w:pPr>
          </w:p>
        </w:tc>
      </w:tr>
    </w:tbl>
    <w:p>
      <w:pPr>
        <w:ind w:firstLine="0" w:firstLineChars="0"/>
        <w:rPr>
          <w:rFonts w:cs="Times New Roman"/>
        </w:rPr>
        <w:sectPr>
          <w:footerReference r:id="rId9" w:type="default"/>
          <w:pgSz w:w="11906" w:h="16838"/>
          <w:pgMar w:top="1418" w:right="1418" w:bottom="1418" w:left="1797" w:header="851" w:footer="992" w:gutter="0"/>
          <w:pgNumType w:start="1"/>
          <w:cols w:space="425" w:num="1"/>
          <w:docGrid w:type="lines" w:linePitch="312" w:charSpace="0"/>
        </w:sectPr>
      </w:pPr>
    </w:p>
    <w:p>
      <w:pPr>
        <w:pStyle w:val="2"/>
        <w:numPr>
          <w:ilvl w:val="0"/>
          <w:numId w:val="2"/>
        </w:numPr>
        <w:rPr>
          <w:rFonts w:cs="Times New Roman"/>
        </w:rPr>
      </w:pPr>
      <w:bookmarkStart w:id="5" w:name="_Toc27729831"/>
      <w:r>
        <w:rPr>
          <w:rFonts w:cs="Times New Roman"/>
        </w:rPr>
        <w:t>建设项目所在地自然环境简况</w:t>
      </w:r>
      <w:bookmarkEnd w:id="5"/>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39" w:hRule="atLeast"/>
          <w:jc w:val="center"/>
        </w:trPr>
        <w:tc>
          <w:tcPr>
            <w:tcW w:w="9286" w:type="dxa"/>
            <w:vAlign w:val="center"/>
          </w:tcPr>
          <w:p>
            <w:pPr>
              <w:pStyle w:val="20"/>
              <w:ind w:firstLine="0" w:firstLineChars="0"/>
              <w:rPr>
                <w:rFonts w:ascii="Times New Roman" w:hAnsi="Times New Roman" w:cs="Times New Roman"/>
                <w:lang w:val="zh-CN"/>
              </w:rPr>
            </w:pPr>
            <w:bookmarkStart w:id="6" w:name="_Toc22823015"/>
            <w:bookmarkStart w:id="7" w:name="_Hlk23340141"/>
            <w:r>
              <w:rPr>
                <w:rFonts w:ascii="Times New Roman" w:hAnsi="Times New Roman" w:cs="Times New Roman"/>
                <w:lang w:val="zh-CN"/>
              </w:rPr>
              <w:t>2.1自然环境简况（地形、地貌、气候、气象、水文、植物、生物多样性等）：</w:t>
            </w:r>
            <w:bookmarkEnd w:id="6"/>
          </w:p>
          <w:p>
            <w:pPr>
              <w:adjustRightInd w:val="0"/>
              <w:snapToGrid w:val="0"/>
              <w:ind w:firstLine="480"/>
              <w:rPr>
                <w:rFonts w:cs="Times New Roman"/>
                <w:bCs/>
                <w:color w:val="000000"/>
              </w:rPr>
            </w:pPr>
            <w:r>
              <w:rPr>
                <w:rFonts w:cs="Times New Roman"/>
                <w:bCs/>
                <w:color w:val="000000"/>
              </w:rPr>
              <w:t>开平市位于广东省中南部，珠江三角洲西南面，东经112°45'47"，北纬22°28'02"；开平市地处江门五邑的中心位置，东北连新会，正北靠鹤山，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年被国家定为二类市。现辖13个镇和三埠、长沙2个办事处以及1个省示范性产业转移工业园。</w:t>
            </w:r>
          </w:p>
          <w:p>
            <w:pPr>
              <w:pStyle w:val="4"/>
              <w:rPr>
                <w:rFonts w:ascii="Times New Roman" w:hAnsi="Times New Roman" w:cs="Times New Roman"/>
                <w:lang w:val="zh-CN"/>
              </w:rPr>
            </w:pPr>
            <w:r>
              <w:rPr>
                <w:rFonts w:ascii="Times New Roman" w:hAnsi="Times New Roman" w:cs="Times New Roman"/>
                <w:lang w:val="zh-CN"/>
              </w:rPr>
              <w:t>2.1.1地理位置</w:t>
            </w:r>
          </w:p>
          <w:p>
            <w:pPr>
              <w:adjustRightInd w:val="0"/>
              <w:snapToGrid w:val="0"/>
              <w:ind w:firstLine="480"/>
              <w:rPr>
                <w:rFonts w:cs="Times New Roman"/>
                <w:bCs/>
                <w:color w:val="000000"/>
              </w:rPr>
            </w:pPr>
            <w:r>
              <w:rPr>
                <w:rFonts w:cs="Times New Roman"/>
                <w:bCs/>
                <w:color w:val="000000"/>
              </w:rPr>
              <w:t>本项目位于开平市水口镇水暖城C2区（地理坐标：112.776614°E，22.457876°N），水口镇地处珠江三角洲、潭江北岸平原区，位于广东省开平市东郊，距三 埠市区10公里，总面积33.1平方公里，水口镇地理环境优越，水陆交通方便，是台山、新会、鹤山、开平的交汇处，设有对外开放口岸，325国道、佛开高速公路、开阳高速公路、江开公路贯通全境，东通香港、澳门和广州、深圳、珠海，西至湛江、海南岛。</w:t>
            </w:r>
          </w:p>
          <w:p>
            <w:pPr>
              <w:pStyle w:val="4"/>
              <w:rPr>
                <w:rFonts w:ascii="Times New Roman" w:hAnsi="Times New Roman" w:cs="Times New Roman"/>
                <w:lang w:val="zh-CN"/>
              </w:rPr>
            </w:pPr>
            <w:r>
              <w:rPr>
                <w:rFonts w:ascii="Times New Roman" w:hAnsi="Times New Roman" w:cs="Times New Roman"/>
                <w:lang w:val="zh-CN"/>
              </w:rPr>
              <w:t>2.1.2地形地貌与地质结构</w:t>
            </w:r>
          </w:p>
          <w:p>
            <w:pPr>
              <w:adjustRightInd w:val="0"/>
              <w:snapToGrid w:val="0"/>
              <w:ind w:firstLine="480"/>
              <w:rPr>
                <w:rFonts w:cs="Times New Roman"/>
                <w:bCs/>
                <w:color w:val="000000"/>
              </w:rPr>
            </w:pPr>
            <w:r>
              <w:rPr>
                <w:rFonts w:cs="Times New Roman"/>
                <w:bCs/>
                <w:color w:val="000000"/>
              </w:rPr>
              <w:t>开平市地势自南、北两面向潭江河谷倾斜，东、中部地势低。南部、北部多低山丘</w:t>
            </w:r>
          </w:p>
          <w:p>
            <w:pPr>
              <w:adjustRightInd w:val="0"/>
              <w:snapToGrid w:val="0"/>
              <w:ind w:firstLine="0" w:firstLineChars="0"/>
              <w:rPr>
                <w:rFonts w:cs="Times New Roman"/>
                <w:bCs/>
                <w:color w:val="000000"/>
              </w:rPr>
            </w:pPr>
            <w:r>
              <w:rPr>
                <w:rFonts w:cs="Times New Roman"/>
                <w:bCs/>
                <w:color w:val="000000"/>
              </w:rPr>
              <w:t>陵，西北部的天露山海拔1250米，是江门五邑最高峰；东部、中部多丘陵平原，大部分在海拔50米以下，海拔较的有梁金山（456米）、百立山（394米）。主要山脉有天 露山、梁金山、百立山、罗汉山等。主要矿藏有煤、铁、钨、铜、石英石等。地势自南 北两面向潭江河各地带倾斜，海拔50米以下的平原面积占全市面积的69%，丘陵面积占29%，山地面积占2%。开平市的地质大部分为花岗岩和沙页岩结构。有两条断裂带横贯域内。一条是海陵断裂带，南起阳江市南部沿海，经恩平市大槐、恩城、沙湖进入 域内马冈、苍城、大罗村，再过鹤山、花县、河源、和平至江西龙南县；另一条是金鸡 至鹤城断裂带（属活性断裂带），南起台山市挪扶，经域内金鸡墟、瓦片坑、蚬冈、赤 坎、交流渡、梁金山、月山至鹤城。两条断裂带把市域划分为南、北、中三块。</w:t>
            </w:r>
          </w:p>
          <w:p>
            <w:pPr>
              <w:pStyle w:val="4"/>
              <w:rPr>
                <w:rFonts w:ascii="Times New Roman" w:hAnsi="Times New Roman" w:cs="Times New Roman"/>
                <w:lang w:val="zh-CN"/>
              </w:rPr>
            </w:pPr>
            <w:r>
              <w:rPr>
                <w:rFonts w:ascii="Times New Roman" w:hAnsi="Times New Roman" w:cs="Times New Roman"/>
                <w:lang w:val="zh-CN"/>
              </w:rPr>
              <w:t>2.1.3水文水系特征</w:t>
            </w:r>
          </w:p>
          <w:p>
            <w:pPr>
              <w:adjustRightInd w:val="0"/>
              <w:snapToGrid w:val="0"/>
              <w:ind w:firstLine="480"/>
              <w:rPr>
                <w:rFonts w:cs="Times New Roman"/>
                <w:color w:val="000000"/>
              </w:rPr>
            </w:pPr>
            <w:r>
              <w:rPr>
                <w:rFonts w:cs="Times New Roman"/>
                <w:color w:val="000000"/>
              </w:rPr>
              <w:t>开平市内主要水系为潭江。潭江是珠三角水系的</w:t>
            </w:r>
            <w:r>
              <w:rPr>
                <w:rFonts w:hint="eastAsia" w:ascii="宋体" w:hAnsi="宋体" w:cs="宋体"/>
                <w:color w:val="000000"/>
              </w:rPr>
              <w:t>Ⅰ</w:t>
            </w:r>
            <w:r>
              <w:rPr>
                <w:rFonts w:cs="Times New Roman"/>
                <w:color w:val="000000"/>
              </w:rPr>
              <w:t>级支流，主流发源于阳江市阳东</w:t>
            </w:r>
          </w:p>
          <w:p>
            <w:pPr>
              <w:adjustRightInd w:val="0"/>
              <w:snapToGrid w:val="0"/>
              <w:ind w:firstLine="0" w:firstLineChars="0"/>
              <w:rPr>
                <w:rFonts w:cs="Times New Roman"/>
                <w:color w:val="000000"/>
              </w:rPr>
            </w:pPr>
            <w:r>
              <w:rPr>
                <w:rFonts w:cs="Times New Roman"/>
                <w:color w:val="000000"/>
              </w:rPr>
              <w:t>县牛围岭，与莲塘水汇合入境，经百合、三埠、水口入新会市境，直泻珠江三角河口区， 向崖门奔注南海。潭江全长248km，流域面积5068km</w:t>
            </w:r>
            <w:r>
              <w:rPr>
                <w:rFonts w:cs="Times New Roman"/>
                <w:color w:val="000000"/>
                <w:vertAlign w:val="superscript"/>
              </w:rPr>
              <w:t>2</w:t>
            </w:r>
            <w:r>
              <w:rPr>
                <w:rFonts w:cs="Times New Roman"/>
                <w:color w:val="000000"/>
              </w:rPr>
              <w:t>；在开平境内河长56km，流域面积1580km</w:t>
            </w:r>
            <w:r>
              <w:rPr>
                <w:rFonts w:cs="Times New Roman"/>
                <w:color w:val="000000"/>
                <w:vertAlign w:val="superscript"/>
              </w:rPr>
              <w:t>2</w:t>
            </w:r>
            <w:r>
              <w:rPr>
                <w:rFonts w:cs="Times New Roman"/>
                <w:color w:val="000000"/>
              </w:rPr>
              <w:t>，全河平均坡降为0.45％。上游多高山峻岭，坡急流，山林较茂密，植被较好；中下游地势较为平坦开阔，坡度平缓，河道较为弯曲，低水时河沿沙洲毕露，从赤 坎到三埠，比较大的江心洲有河南洲、羊咩洲、滘堤洲、祥龙洲、海心洲、长沙洲、沙 皇洲等。</w:t>
            </w:r>
          </w:p>
          <w:p>
            <w:pPr>
              <w:adjustRightInd w:val="0"/>
              <w:snapToGrid w:val="0"/>
              <w:ind w:firstLine="480"/>
              <w:rPr>
                <w:rFonts w:cs="Times New Roman"/>
                <w:color w:val="000000"/>
              </w:rPr>
            </w:pPr>
            <w:r>
              <w:rPr>
                <w:rFonts w:cs="Times New Roman"/>
                <w:color w:val="000000"/>
              </w:rPr>
              <w:t>潭江常年受潮汐影响，属弱径流强潮流的河道。据长沙、石咀、三江口、黄冲四水 位站资料统计分析，潭江潮汐作用较强，而径流影响亦不可忽略。四站历年平均潮差依 次为，涨潮：2.96m、3.09m、2.94m、2.59m，落潮：2.76m、2.88m、2.85m、2.75m，上 游大于下游。潭江地处暴雨区，汛期洪水峰高量大；枯水期则因径流量不大，河床逐年淤积，通航能力较差。三埠镇以下可通航600吨的机动船，可直通广州、江门、香港和澳门。潭江干流水位变幅一般在2米到9米之间。据潢步水文站1956年到1959年实测资料统计，多年平均年径流量为21.29亿m</w:t>
            </w:r>
            <w:r>
              <w:rPr>
                <w:rFonts w:cs="Times New Roman"/>
                <w:color w:val="000000"/>
                <w:vertAlign w:val="superscript"/>
              </w:rPr>
              <w:t>3</w:t>
            </w:r>
            <w:r>
              <w:rPr>
                <w:rFonts w:cs="Times New Roman"/>
                <w:color w:val="000000"/>
              </w:rPr>
              <w:t>，最大洪峰流量2870m</w:t>
            </w:r>
            <w:r>
              <w:rPr>
                <w:rFonts w:cs="Times New Roman"/>
                <w:color w:val="000000"/>
                <w:vertAlign w:val="superscript"/>
              </w:rPr>
              <w:t>3</w:t>
            </w:r>
            <w:r>
              <w:rPr>
                <w:rFonts w:cs="Times New Roman"/>
                <w:color w:val="000000"/>
              </w:rPr>
              <w:t>/s（1968年5月）。最小枯水流量为0.003m</w:t>
            </w:r>
            <w:r>
              <w:rPr>
                <w:rFonts w:cs="Times New Roman"/>
                <w:color w:val="000000"/>
                <w:vertAlign w:val="superscript"/>
              </w:rPr>
              <w:t>3</w:t>
            </w:r>
            <w:r>
              <w:rPr>
                <w:rFonts w:cs="Times New Roman"/>
                <w:color w:val="000000"/>
              </w:rPr>
              <w:t>/s（1960年3月），多年平均含沙量0.108kg/m</w:t>
            </w:r>
            <w:r>
              <w:rPr>
                <w:rFonts w:cs="Times New Roman"/>
                <w:color w:val="000000"/>
                <w:vertAlign w:val="superscript"/>
              </w:rPr>
              <w:t>3</w:t>
            </w:r>
            <w:r>
              <w:rPr>
                <w:rFonts w:cs="Times New Roman"/>
                <w:color w:val="000000"/>
              </w:rPr>
              <w:t>，多年平均悬移 质输沙量23万吨，多年平均枯水量4.37m</w:t>
            </w:r>
            <w:r>
              <w:rPr>
                <w:rFonts w:cs="Times New Roman"/>
                <w:color w:val="000000"/>
                <w:vertAlign w:val="superscript"/>
              </w:rPr>
              <w:t>3</w:t>
            </w:r>
            <w:r>
              <w:rPr>
                <w:rFonts w:cs="Times New Roman"/>
                <w:color w:val="000000"/>
              </w:rPr>
              <w:t>/s，最高水位9.88m，最低水量0.95m。</w:t>
            </w:r>
          </w:p>
          <w:p>
            <w:pPr>
              <w:adjustRightInd w:val="0"/>
              <w:snapToGrid w:val="0"/>
              <w:ind w:firstLine="480"/>
              <w:rPr>
                <w:rFonts w:cs="Times New Roman"/>
                <w:color w:val="000000"/>
              </w:rPr>
            </w:pPr>
            <w:r>
              <w:rPr>
                <w:rFonts w:cs="Times New Roman"/>
                <w:color w:val="000000"/>
              </w:rPr>
              <w:t>开平境内潭江的主要支流包括镇海水、新昌水、新桥水、公益水、白沙水和蚬岗水等。</w:t>
            </w:r>
          </w:p>
          <w:p>
            <w:pPr>
              <w:pStyle w:val="4"/>
              <w:rPr>
                <w:rFonts w:ascii="Times New Roman" w:hAnsi="Times New Roman" w:cs="Times New Roman"/>
                <w:lang w:val="zh-CN"/>
              </w:rPr>
            </w:pPr>
            <w:r>
              <w:rPr>
                <w:rFonts w:ascii="Times New Roman" w:hAnsi="Times New Roman" w:cs="Times New Roman"/>
                <w:lang w:val="zh-CN"/>
              </w:rPr>
              <w:t>2.1.4气候与气象</w:t>
            </w:r>
          </w:p>
          <w:p>
            <w:pPr>
              <w:adjustRightInd w:val="0"/>
              <w:snapToGrid w:val="0"/>
              <w:ind w:firstLine="480"/>
              <w:rPr>
                <w:rFonts w:cs="Times New Roman"/>
                <w:color w:val="000000"/>
              </w:rPr>
            </w:pPr>
            <w:r>
              <w:rPr>
                <w:rFonts w:cs="Times New Roman"/>
                <w:color w:val="000000"/>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根据开平市气象部门1997～2016年的气象观测资料统计，全年主导风向为东北风，开平市</w:t>
            </w:r>
            <w:r>
              <w:rPr>
                <w:rFonts w:hint="eastAsia" w:cs="Times New Roman"/>
                <w:color w:val="000000"/>
              </w:rPr>
              <w:t>1997～2016年的气象要素</w:t>
            </w:r>
            <w:r>
              <w:rPr>
                <w:rFonts w:cs="Times New Roman"/>
                <w:color w:val="000000"/>
              </w:rPr>
              <w:t>统计表</w:t>
            </w:r>
            <w:r>
              <w:rPr>
                <w:rFonts w:hint="eastAsia" w:cs="Times New Roman"/>
                <w:color w:val="000000"/>
              </w:rPr>
              <w:t>详</w:t>
            </w:r>
            <w:r>
              <w:rPr>
                <w:rFonts w:cs="Times New Roman"/>
                <w:color w:val="000000"/>
              </w:rPr>
              <w:t>见下表</w:t>
            </w:r>
            <w:r>
              <w:rPr>
                <w:rFonts w:hint="eastAsia" w:cs="Times New Roman"/>
                <w:color w:val="000000"/>
              </w:rPr>
              <w:t>：</w:t>
            </w:r>
          </w:p>
          <w:p>
            <w:pPr>
              <w:adjustRightInd w:val="0"/>
              <w:snapToGrid w:val="0"/>
              <w:spacing w:line="240" w:lineRule="auto"/>
              <w:ind w:firstLine="0" w:firstLineChars="0"/>
              <w:jc w:val="center"/>
              <w:rPr>
                <w:rFonts w:cs="Times New Roman"/>
                <w:b/>
                <w:color w:val="000000"/>
                <w:sz w:val="21"/>
                <w:lang w:val="zh-CN"/>
              </w:rPr>
            </w:pPr>
            <w:r>
              <w:rPr>
                <w:rFonts w:hint="eastAsia" w:cs="Times New Roman"/>
                <w:b/>
                <w:color w:val="000000"/>
                <w:sz w:val="21"/>
                <w:lang w:val="zh-CN"/>
              </w:rPr>
              <w:t>表2-1</w:t>
            </w:r>
            <w:r>
              <w:rPr>
                <w:rFonts w:cs="Times New Roman"/>
                <w:b/>
                <w:color w:val="000000"/>
                <w:sz w:val="21"/>
                <w:lang w:val="zh-CN"/>
              </w:rPr>
              <w:t xml:space="preserve">  </w:t>
            </w:r>
            <w:r>
              <w:rPr>
                <w:rFonts w:hint="eastAsia" w:cs="Times New Roman"/>
                <w:b/>
                <w:color w:val="000000"/>
                <w:sz w:val="21"/>
                <w:lang w:val="zh-CN"/>
              </w:rPr>
              <w:t>开平市1997-2016 年的气象要素统计表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24"/>
              <w:gridCol w:w="3024"/>
              <w:gridCol w:w="3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气象要素</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单位</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平均（极值）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年平</w:t>
                  </w:r>
                  <w:r>
                    <w:rPr>
                      <w:rFonts w:cs="Times New Roman"/>
                      <w:spacing w:val="-3"/>
                      <w:kern w:val="0"/>
                      <w:sz w:val="21"/>
                      <w:szCs w:val="20"/>
                      <w:lang w:val="zh-CN"/>
                    </w:rPr>
                    <w:t>均</w:t>
                  </w:r>
                  <w:r>
                    <w:rPr>
                      <w:rFonts w:cs="Times New Roman"/>
                      <w:kern w:val="0"/>
                      <w:sz w:val="21"/>
                      <w:szCs w:val="20"/>
                      <w:lang w:val="zh-CN"/>
                    </w:rPr>
                    <w:t>气压</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3"/>
                      <w:kern w:val="0"/>
                      <w:sz w:val="21"/>
                      <w:szCs w:val="20"/>
                      <w:lang w:val="zh-CN"/>
                    </w:rPr>
                    <w:t>h</w:t>
                  </w:r>
                  <w:r>
                    <w:rPr>
                      <w:rFonts w:eastAsia="Times New Roman" w:cs="Times New Roman"/>
                      <w:spacing w:val="2"/>
                      <w:kern w:val="0"/>
                      <w:sz w:val="21"/>
                      <w:szCs w:val="20"/>
                      <w:lang w:val="zh-CN"/>
                    </w:rPr>
                    <w:t>P</w:t>
                  </w:r>
                  <w:r>
                    <w:rPr>
                      <w:rFonts w:eastAsia="Times New Roman" w:cs="Times New Roman"/>
                      <w:kern w:val="0"/>
                      <w:sz w:val="21"/>
                      <w:szCs w:val="20"/>
                      <w:lang w:val="zh-CN"/>
                    </w:rPr>
                    <w:t>a</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1010.2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年平</w:t>
                  </w:r>
                  <w:r>
                    <w:rPr>
                      <w:rFonts w:cs="Times New Roman"/>
                      <w:spacing w:val="-3"/>
                      <w:kern w:val="0"/>
                      <w:sz w:val="21"/>
                      <w:szCs w:val="20"/>
                      <w:lang w:val="zh-CN"/>
                    </w:rPr>
                    <w:t>均</w:t>
                  </w:r>
                  <w:r>
                    <w:rPr>
                      <w:rFonts w:cs="Times New Roman"/>
                      <w:kern w:val="0"/>
                      <w:sz w:val="21"/>
                      <w:szCs w:val="20"/>
                      <w:lang w:val="zh-CN"/>
                    </w:rPr>
                    <w:t>温度</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hint="eastAsia" w:ascii="宋体" w:hAnsi="宋体" w:cs="宋体"/>
                      <w:kern w:val="0"/>
                      <w:sz w:val="21"/>
                      <w:szCs w:val="20"/>
                      <w:lang w:val="zh-CN"/>
                    </w:rPr>
                    <w:t>℃</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23.0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极端</w:t>
                  </w:r>
                  <w:r>
                    <w:rPr>
                      <w:rFonts w:cs="Times New Roman"/>
                      <w:spacing w:val="-3"/>
                      <w:kern w:val="0"/>
                      <w:sz w:val="21"/>
                      <w:szCs w:val="20"/>
                      <w:lang w:val="zh-CN"/>
                    </w:rPr>
                    <w:t>最</w:t>
                  </w:r>
                  <w:r>
                    <w:rPr>
                      <w:rFonts w:cs="Times New Roman"/>
                      <w:kern w:val="0"/>
                      <w:sz w:val="21"/>
                      <w:szCs w:val="20"/>
                      <w:lang w:val="zh-CN"/>
                    </w:rPr>
                    <w:t>高</w:t>
                  </w:r>
                  <w:r>
                    <w:rPr>
                      <w:rFonts w:cs="Times New Roman"/>
                      <w:spacing w:val="-3"/>
                      <w:kern w:val="0"/>
                      <w:sz w:val="21"/>
                      <w:szCs w:val="20"/>
                      <w:lang w:val="zh-CN"/>
                    </w:rPr>
                    <w:t>气</w:t>
                  </w:r>
                  <w:r>
                    <w:rPr>
                      <w:rFonts w:cs="Times New Roman"/>
                      <w:kern w:val="0"/>
                      <w:sz w:val="21"/>
                      <w:szCs w:val="20"/>
                      <w:lang w:val="zh-CN"/>
                    </w:rPr>
                    <w:t>温</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hint="eastAsia" w:ascii="宋体" w:hAnsi="宋体" w:cs="宋体"/>
                      <w:kern w:val="0"/>
                      <w:sz w:val="21"/>
                      <w:szCs w:val="20"/>
                      <w:lang w:val="zh-CN"/>
                    </w:rPr>
                    <w:t>℃</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39.4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极端</w:t>
                  </w:r>
                  <w:r>
                    <w:rPr>
                      <w:rFonts w:cs="Times New Roman"/>
                      <w:spacing w:val="-3"/>
                      <w:kern w:val="0"/>
                      <w:sz w:val="21"/>
                      <w:szCs w:val="20"/>
                      <w:lang w:val="zh-CN"/>
                    </w:rPr>
                    <w:t>最</w:t>
                  </w:r>
                  <w:r>
                    <w:rPr>
                      <w:rFonts w:cs="Times New Roman"/>
                      <w:kern w:val="0"/>
                      <w:sz w:val="21"/>
                      <w:szCs w:val="20"/>
                      <w:lang w:val="zh-CN"/>
                    </w:rPr>
                    <w:t>低</w:t>
                  </w:r>
                  <w:r>
                    <w:rPr>
                      <w:rFonts w:cs="Times New Roman"/>
                      <w:spacing w:val="-3"/>
                      <w:kern w:val="0"/>
                      <w:sz w:val="21"/>
                      <w:szCs w:val="20"/>
                      <w:lang w:val="zh-CN"/>
                    </w:rPr>
                    <w:t>气</w:t>
                  </w:r>
                  <w:r>
                    <w:rPr>
                      <w:rFonts w:cs="Times New Roman"/>
                      <w:kern w:val="0"/>
                      <w:sz w:val="21"/>
                      <w:szCs w:val="20"/>
                      <w:lang w:val="zh-CN"/>
                    </w:rPr>
                    <w:t>温</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hint="eastAsia" w:ascii="宋体" w:hAnsi="宋体" w:cs="宋体"/>
                      <w:kern w:val="0"/>
                      <w:sz w:val="21"/>
                      <w:szCs w:val="20"/>
                      <w:lang w:val="zh-CN"/>
                    </w:rPr>
                    <w:t>℃</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年平</w:t>
                  </w:r>
                  <w:r>
                    <w:rPr>
                      <w:rFonts w:cs="Times New Roman"/>
                      <w:spacing w:val="-3"/>
                      <w:kern w:val="0"/>
                      <w:sz w:val="21"/>
                      <w:szCs w:val="20"/>
                      <w:lang w:val="zh-CN"/>
                    </w:rPr>
                    <w:t>均</w:t>
                  </w:r>
                  <w:r>
                    <w:rPr>
                      <w:rFonts w:cs="Times New Roman"/>
                      <w:kern w:val="0"/>
                      <w:sz w:val="21"/>
                      <w:szCs w:val="20"/>
                      <w:lang w:val="zh-CN"/>
                    </w:rPr>
                    <w:t>相</w:t>
                  </w:r>
                  <w:r>
                    <w:rPr>
                      <w:rFonts w:cs="Times New Roman"/>
                      <w:spacing w:val="-3"/>
                      <w:kern w:val="0"/>
                      <w:sz w:val="21"/>
                      <w:szCs w:val="20"/>
                      <w:lang w:val="zh-CN"/>
                    </w:rPr>
                    <w:t>对</w:t>
                  </w:r>
                  <w:r>
                    <w:rPr>
                      <w:rFonts w:cs="Times New Roman"/>
                      <w:kern w:val="0"/>
                      <w:sz w:val="21"/>
                      <w:szCs w:val="20"/>
                      <w:lang w:val="zh-CN"/>
                    </w:rPr>
                    <w:t>湿度</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全年</w:t>
                  </w:r>
                  <w:r>
                    <w:rPr>
                      <w:rFonts w:cs="Times New Roman"/>
                      <w:spacing w:val="-3"/>
                      <w:kern w:val="0"/>
                      <w:sz w:val="21"/>
                      <w:szCs w:val="20"/>
                      <w:lang w:val="zh-CN"/>
                    </w:rPr>
                    <w:t>降</w:t>
                  </w:r>
                  <w:r>
                    <w:rPr>
                      <w:rFonts w:cs="Times New Roman"/>
                      <w:kern w:val="0"/>
                      <w:sz w:val="21"/>
                      <w:szCs w:val="20"/>
                      <w:lang w:val="zh-CN"/>
                    </w:rPr>
                    <w:t>雨量</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2"/>
                      <w:kern w:val="0"/>
                      <w:sz w:val="21"/>
                      <w:szCs w:val="20"/>
                      <w:lang w:val="zh-CN"/>
                    </w:rPr>
                    <w:t>mm</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1844.7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最大</w:t>
                  </w:r>
                  <w:r>
                    <w:rPr>
                      <w:rFonts w:cs="Times New Roman"/>
                      <w:spacing w:val="-3"/>
                      <w:kern w:val="0"/>
                      <w:sz w:val="21"/>
                      <w:szCs w:val="20"/>
                      <w:lang w:val="zh-CN"/>
                    </w:rPr>
                    <w:t>日</w:t>
                  </w:r>
                  <w:r>
                    <w:rPr>
                      <w:rFonts w:cs="Times New Roman"/>
                      <w:kern w:val="0"/>
                      <w:sz w:val="21"/>
                      <w:szCs w:val="20"/>
                      <w:lang w:val="zh-CN"/>
                    </w:rPr>
                    <w:t>降</w:t>
                  </w:r>
                  <w:r>
                    <w:rPr>
                      <w:rFonts w:cs="Times New Roman"/>
                      <w:spacing w:val="-3"/>
                      <w:kern w:val="0"/>
                      <w:sz w:val="21"/>
                      <w:szCs w:val="20"/>
                      <w:lang w:val="zh-CN"/>
                    </w:rPr>
                    <w:t>水</w:t>
                  </w:r>
                  <w:r>
                    <w:rPr>
                      <w:rFonts w:cs="Times New Roman"/>
                      <w:kern w:val="0"/>
                      <w:sz w:val="21"/>
                      <w:szCs w:val="20"/>
                      <w:lang w:val="zh-CN"/>
                    </w:rPr>
                    <w:t>量</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2"/>
                      <w:kern w:val="0"/>
                      <w:sz w:val="21"/>
                      <w:szCs w:val="20"/>
                      <w:lang w:val="zh-CN"/>
                    </w:rPr>
                    <w:t>mm</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287.0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雨日</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day</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年平</w:t>
                  </w:r>
                  <w:r>
                    <w:rPr>
                      <w:rFonts w:cs="Times New Roman"/>
                      <w:spacing w:val="-3"/>
                      <w:kern w:val="0"/>
                      <w:sz w:val="21"/>
                      <w:szCs w:val="20"/>
                      <w:lang w:val="zh-CN"/>
                    </w:rPr>
                    <w:t>均</w:t>
                  </w:r>
                  <w:r>
                    <w:rPr>
                      <w:rFonts w:cs="Times New Roman"/>
                      <w:kern w:val="0"/>
                      <w:sz w:val="21"/>
                      <w:szCs w:val="20"/>
                      <w:lang w:val="zh-CN"/>
                    </w:rPr>
                    <w:t>风速</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4"/>
                      <w:kern w:val="0"/>
                      <w:sz w:val="21"/>
                      <w:szCs w:val="20"/>
                      <w:lang w:val="zh-CN"/>
                    </w:rPr>
                    <w:t>m</w:t>
                  </w:r>
                  <w:r>
                    <w:rPr>
                      <w:rFonts w:eastAsia="Times New Roman" w:cs="Times New Roman"/>
                      <w:spacing w:val="-2"/>
                      <w:kern w:val="0"/>
                      <w:sz w:val="21"/>
                      <w:szCs w:val="20"/>
                      <w:lang w:val="zh-CN"/>
                    </w:rPr>
                    <w:t>/</w:t>
                  </w:r>
                  <w:r>
                    <w:rPr>
                      <w:rFonts w:eastAsia="Times New Roman" w:cs="Times New Roman"/>
                      <w:kern w:val="0"/>
                      <w:sz w:val="21"/>
                      <w:szCs w:val="20"/>
                      <w:lang w:val="zh-CN"/>
                    </w:rPr>
                    <w:t>s</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最大</w:t>
                  </w:r>
                  <w:r>
                    <w:rPr>
                      <w:rFonts w:cs="Times New Roman"/>
                      <w:spacing w:val="-3"/>
                      <w:kern w:val="0"/>
                      <w:sz w:val="21"/>
                      <w:szCs w:val="20"/>
                      <w:lang w:val="zh-CN"/>
                    </w:rPr>
                    <w:t>风</w:t>
                  </w:r>
                  <w:r>
                    <w:rPr>
                      <w:rFonts w:cs="Times New Roman"/>
                      <w:kern w:val="0"/>
                      <w:sz w:val="21"/>
                      <w:szCs w:val="20"/>
                      <w:lang w:val="zh-CN"/>
                    </w:rPr>
                    <w:t>速</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4"/>
                      <w:kern w:val="0"/>
                      <w:sz w:val="21"/>
                      <w:szCs w:val="20"/>
                      <w:lang w:val="zh-CN"/>
                    </w:rPr>
                    <w:t>m</w:t>
                  </w:r>
                  <w:r>
                    <w:rPr>
                      <w:rFonts w:eastAsia="Times New Roman" w:cs="Times New Roman"/>
                      <w:spacing w:val="-2"/>
                      <w:kern w:val="0"/>
                      <w:sz w:val="21"/>
                      <w:szCs w:val="20"/>
                      <w:lang w:val="zh-CN"/>
                    </w:rPr>
                    <w:t>/</w:t>
                  </w:r>
                  <w:r>
                    <w:rPr>
                      <w:rFonts w:eastAsia="Times New Roman" w:cs="Times New Roman"/>
                      <w:kern w:val="0"/>
                      <w:sz w:val="21"/>
                      <w:szCs w:val="20"/>
                      <w:lang w:val="zh-CN"/>
                    </w:rPr>
                    <w:t>s</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24.8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年日</w:t>
                  </w:r>
                  <w:r>
                    <w:rPr>
                      <w:rFonts w:cs="Times New Roman"/>
                      <w:spacing w:val="-3"/>
                      <w:kern w:val="0"/>
                      <w:sz w:val="21"/>
                      <w:szCs w:val="20"/>
                      <w:lang w:val="zh-CN"/>
                    </w:rPr>
                    <w:t>照</w:t>
                  </w:r>
                  <w:r>
                    <w:rPr>
                      <w:rFonts w:cs="Times New Roman"/>
                      <w:kern w:val="0"/>
                      <w:sz w:val="21"/>
                      <w:szCs w:val="20"/>
                      <w:lang w:val="zh-CN"/>
                    </w:rPr>
                    <w:t>时数</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3"/>
                      <w:kern w:val="0"/>
                      <w:sz w:val="21"/>
                      <w:szCs w:val="20"/>
                      <w:lang w:val="zh-CN"/>
                    </w:rPr>
                    <w:t>h</w:t>
                  </w:r>
                  <w:r>
                    <w:rPr>
                      <w:rFonts w:eastAsia="Times New Roman" w:cs="Times New Roman"/>
                      <w:spacing w:val="2"/>
                      <w:kern w:val="0"/>
                      <w:sz w:val="21"/>
                      <w:szCs w:val="20"/>
                      <w:lang w:val="zh-CN"/>
                    </w:rPr>
                    <w:t>P</w:t>
                  </w:r>
                  <w:r>
                    <w:rPr>
                      <w:rFonts w:eastAsia="Times New Roman" w:cs="Times New Roman"/>
                      <w:kern w:val="0"/>
                      <w:sz w:val="21"/>
                      <w:szCs w:val="20"/>
                      <w:lang w:val="zh-CN"/>
                    </w:rPr>
                    <w:t>a</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1696.8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年蒸</w:t>
                  </w:r>
                  <w:r>
                    <w:rPr>
                      <w:rFonts w:cs="Times New Roman"/>
                      <w:spacing w:val="-3"/>
                      <w:kern w:val="0"/>
                      <w:sz w:val="21"/>
                      <w:szCs w:val="20"/>
                      <w:lang w:val="zh-CN"/>
                    </w:rPr>
                    <w:t>发</w:t>
                  </w:r>
                  <w:r>
                    <w:rPr>
                      <w:rFonts w:cs="Times New Roman"/>
                      <w:kern w:val="0"/>
                      <w:sz w:val="21"/>
                      <w:szCs w:val="20"/>
                      <w:lang w:val="zh-CN"/>
                    </w:rPr>
                    <w:t>量</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2"/>
                      <w:kern w:val="0"/>
                      <w:sz w:val="21"/>
                      <w:szCs w:val="20"/>
                      <w:lang w:val="zh-CN"/>
                    </w:rPr>
                    <w:t>mm</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1721.6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最近</w:t>
                  </w:r>
                  <w:r>
                    <w:rPr>
                      <w:rFonts w:cs="Times New Roman"/>
                      <w:spacing w:val="-3"/>
                      <w:kern w:val="0"/>
                      <w:sz w:val="21"/>
                      <w:szCs w:val="20"/>
                      <w:lang w:val="zh-CN"/>
                    </w:rPr>
                    <w:t>五</w:t>
                  </w:r>
                  <w:r>
                    <w:rPr>
                      <w:rFonts w:cs="Times New Roman"/>
                      <w:kern w:val="0"/>
                      <w:sz w:val="21"/>
                      <w:szCs w:val="20"/>
                      <w:lang w:val="zh-CN"/>
                    </w:rPr>
                    <w:t>年</w:t>
                  </w:r>
                  <w:r>
                    <w:rPr>
                      <w:rFonts w:cs="Times New Roman"/>
                      <w:spacing w:val="-3"/>
                      <w:kern w:val="0"/>
                      <w:sz w:val="21"/>
                      <w:szCs w:val="20"/>
                      <w:lang w:val="zh-CN"/>
                    </w:rPr>
                    <w:t>平</w:t>
                  </w:r>
                  <w:r>
                    <w:rPr>
                      <w:rFonts w:cs="Times New Roman"/>
                      <w:kern w:val="0"/>
                      <w:sz w:val="21"/>
                      <w:szCs w:val="20"/>
                      <w:lang w:val="zh-CN"/>
                    </w:rPr>
                    <w:t>均</w:t>
                  </w:r>
                  <w:r>
                    <w:rPr>
                      <w:rFonts w:cs="Times New Roman"/>
                      <w:spacing w:val="-3"/>
                      <w:kern w:val="0"/>
                      <w:sz w:val="21"/>
                      <w:szCs w:val="20"/>
                      <w:lang w:val="zh-CN"/>
                    </w:rPr>
                    <w:t>风</w:t>
                  </w:r>
                  <w:r>
                    <w:rPr>
                      <w:rFonts w:cs="Times New Roman"/>
                      <w:kern w:val="0"/>
                      <w:sz w:val="21"/>
                      <w:szCs w:val="20"/>
                      <w:lang w:val="zh-CN"/>
                    </w:rPr>
                    <w:t>速</w:t>
                  </w:r>
                </w:p>
              </w:tc>
              <w:tc>
                <w:tcPr>
                  <w:tcW w:w="1667"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4"/>
                      <w:kern w:val="0"/>
                      <w:sz w:val="21"/>
                      <w:szCs w:val="20"/>
                      <w:lang w:val="zh-CN"/>
                    </w:rPr>
                    <w:t>m</w:t>
                  </w:r>
                  <w:r>
                    <w:rPr>
                      <w:rFonts w:eastAsia="Times New Roman" w:cs="Times New Roman"/>
                      <w:spacing w:val="-2"/>
                      <w:kern w:val="0"/>
                      <w:sz w:val="21"/>
                      <w:szCs w:val="20"/>
                      <w:lang w:val="zh-CN"/>
                    </w:rPr>
                    <w:t>/</w:t>
                  </w:r>
                  <w:r>
                    <w:rPr>
                      <w:rFonts w:eastAsia="Times New Roman" w:cs="Times New Roman"/>
                      <w:kern w:val="0"/>
                      <w:sz w:val="21"/>
                      <w:szCs w:val="20"/>
                      <w:lang w:val="zh-CN"/>
                    </w:rPr>
                    <w:t>s</w:t>
                  </w:r>
                </w:p>
              </w:tc>
              <w:tc>
                <w:tcPr>
                  <w:tcW w:w="1666"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kern w:val="0"/>
                      <w:sz w:val="21"/>
                      <w:szCs w:val="20"/>
                      <w:lang w:val="zh-CN"/>
                    </w:rPr>
                    <w:t>1.9</w:t>
                  </w:r>
                </w:p>
              </w:tc>
            </w:tr>
          </w:tbl>
          <w:p>
            <w:pPr>
              <w:pStyle w:val="4"/>
              <w:rPr>
                <w:rFonts w:ascii="Times New Roman" w:hAnsi="Times New Roman" w:cs="Times New Roman"/>
                <w:lang w:val="zh-CN"/>
              </w:rPr>
            </w:pPr>
            <w:r>
              <w:rPr>
                <w:rFonts w:ascii="Times New Roman" w:hAnsi="Times New Roman" w:cs="Times New Roman"/>
                <w:lang w:val="zh-CN"/>
              </w:rPr>
              <w:t>2.1.5植被</w:t>
            </w:r>
          </w:p>
          <w:p>
            <w:pPr>
              <w:adjustRightInd w:val="0"/>
              <w:snapToGrid w:val="0"/>
              <w:ind w:firstLine="480"/>
              <w:rPr>
                <w:rFonts w:cs="Times New Roman"/>
                <w:color w:val="000000"/>
              </w:rPr>
            </w:pPr>
            <w:r>
              <w:rPr>
                <w:rFonts w:cs="Times New Roman"/>
                <w:color w:val="000000"/>
              </w:rPr>
              <w:t>据现场调查，项目所在地厂房已建成，地表植被为人工种植风景树。地表植被项目周围区域树种多为人工种植风景树为主。区域未发现重点保护的野生植物种类和古树名 木。</w:t>
            </w:r>
          </w:p>
          <w:p>
            <w:pPr>
              <w:pStyle w:val="4"/>
              <w:rPr>
                <w:rFonts w:ascii="Times New Roman" w:hAnsi="Times New Roman" w:cs="Times New Roman"/>
                <w:lang w:val="zh-CN"/>
              </w:rPr>
            </w:pPr>
            <w:r>
              <w:rPr>
                <w:rFonts w:ascii="Times New Roman" w:hAnsi="Times New Roman" w:cs="Times New Roman"/>
                <w:lang w:val="zh-CN"/>
              </w:rPr>
              <w:t xml:space="preserve">2.1.6矿产资源 </w:t>
            </w:r>
          </w:p>
          <w:p>
            <w:pPr>
              <w:adjustRightInd w:val="0"/>
              <w:snapToGrid w:val="0"/>
              <w:ind w:firstLine="480"/>
              <w:rPr>
                <w:rFonts w:cs="Times New Roman"/>
                <w:color w:val="000000"/>
              </w:rPr>
            </w:pPr>
            <w:r>
              <w:rPr>
                <w:rFonts w:cs="Times New Roman"/>
                <w:color w:val="000000"/>
              </w:rPr>
              <w:t>开平市矿产资源丰富，矿产资源已探明和开采的有铁、锰、铜、锡、金、铀、煤、独居石、耐火石、钾长石等33种。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pStyle w:val="4"/>
              <w:rPr>
                <w:rFonts w:ascii="Times New Roman" w:hAnsi="Times New Roman" w:cs="Times New Roman"/>
                <w:lang w:val="zh-CN"/>
              </w:rPr>
            </w:pPr>
            <w:r>
              <w:rPr>
                <w:rFonts w:ascii="Times New Roman" w:hAnsi="Times New Roman" w:cs="Times New Roman"/>
                <w:lang w:val="zh-CN"/>
              </w:rPr>
              <w:t>2.1.7土地、土壤资源</w:t>
            </w:r>
          </w:p>
          <w:p>
            <w:pPr>
              <w:adjustRightInd w:val="0"/>
              <w:snapToGrid w:val="0"/>
              <w:ind w:firstLine="480"/>
              <w:rPr>
                <w:rFonts w:cs="Times New Roman"/>
                <w:color w:val="000000"/>
              </w:rPr>
            </w:pPr>
            <w:r>
              <w:rPr>
                <w:rFonts w:cs="Times New Roman"/>
                <w:color w:val="000000"/>
              </w:rPr>
              <w:t>开平市土壤分为6个土类、10个亚类、27个土属、59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土壤飞丽较高，宽谷、峡谷冲积则次 之，山坡残积、坡积较差，粗晶花岗岩发育的土壤砂粒粗。有花岗岩母质发育的土壤主要分布在百合、苍城、赤水、金鸡、沙塘、塘口、蚬岗和月山等镇，水稻土则主要分布在潭江沿岸的平原地带。区内雨水调匀，春旱不多；而雨季和台风带来的暴雨，容易造成冲刷和洪涝，造成上游山地丘陵区易产生水土流失，下游受浸。</w:t>
            </w:r>
          </w:p>
          <w:p>
            <w:pPr>
              <w:pStyle w:val="4"/>
              <w:rPr>
                <w:rFonts w:ascii="Times New Roman" w:hAnsi="Times New Roman" w:cs="Times New Roman"/>
                <w:lang w:val="zh-CN"/>
              </w:rPr>
            </w:pPr>
            <w:r>
              <w:rPr>
                <w:rFonts w:ascii="Times New Roman" w:hAnsi="Times New Roman" w:cs="Times New Roman"/>
                <w:lang w:val="zh-CN"/>
              </w:rPr>
              <w:t>2.1.8项目所在地环境功能属性</w:t>
            </w:r>
          </w:p>
          <w:p>
            <w:pPr>
              <w:adjustRightInd w:val="0"/>
              <w:snapToGrid w:val="0"/>
              <w:ind w:firstLine="480"/>
              <w:rPr>
                <w:rFonts w:cs="Times New Roman"/>
                <w:color w:val="000000"/>
              </w:rPr>
            </w:pPr>
            <w:r>
              <w:rPr>
                <w:rFonts w:cs="Times New Roman"/>
                <w:color w:val="000000"/>
              </w:rPr>
              <w:t>项目所在地环境功能属性如下表所示：</w:t>
            </w:r>
          </w:p>
          <w:p>
            <w:pPr>
              <w:adjustRightInd w:val="0"/>
              <w:snapToGrid w:val="0"/>
              <w:spacing w:line="240" w:lineRule="auto"/>
              <w:ind w:firstLine="482" w:firstLineChars="0"/>
              <w:jc w:val="center"/>
              <w:rPr>
                <w:rFonts w:cs="Times New Roman"/>
                <w:b/>
                <w:color w:val="000000"/>
                <w:lang w:val="zh-CN"/>
              </w:rPr>
            </w:pPr>
            <w:r>
              <w:rPr>
                <w:rFonts w:cs="Times New Roman"/>
                <w:b/>
                <w:color w:val="000000"/>
                <w:lang w:val="zh-CN"/>
              </w:rPr>
              <w:t>表2-2  建设项目所在地环境功能属性表</w:t>
            </w:r>
          </w:p>
          <w:tbl>
            <w:tblPr>
              <w:tblStyle w:val="40"/>
              <w:tblW w:w="906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2"/>
              <w:gridCol w:w="2783"/>
              <w:gridCol w:w="55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编号</w:t>
                  </w:r>
                </w:p>
              </w:tc>
              <w:tc>
                <w:tcPr>
                  <w:tcW w:w="2783" w:type="dxa"/>
                  <w:vAlign w:val="center"/>
                </w:tcPr>
                <w:p>
                  <w:pPr>
                    <w:pStyle w:val="45"/>
                    <w:rPr>
                      <w:kern w:val="0"/>
                      <w:szCs w:val="20"/>
                    </w:rPr>
                  </w:pPr>
                  <w:r>
                    <w:rPr>
                      <w:kern w:val="0"/>
                      <w:szCs w:val="20"/>
                    </w:rPr>
                    <w:t>项       目</w:t>
                  </w:r>
                </w:p>
              </w:tc>
              <w:tc>
                <w:tcPr>
                  <w:tcW w:w="5545" w:type="dxa"/>
                  <w:vAlign w:val="center"/>
                </w:tcPr>
                <w:p>
                  <w:pPr>
                    <w:pStyle w:val="45"/>
                    <w:rPr>
                      <w:kern w:val="0"/>
                      <w:szCs w:val="20"/>
                    </w:rPr>
                  </w:pPr>
                  <w:r>
                    <w:rPr>
                      <w:kern w:val="0"/>
                      <w:szCs w:val="20"/>
                    </w:rPr>
                    <w:t>内        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1</w:t>
                  </w:r>
                </w:p>
              </w:tc>
              <w:tc>
                <w:tcPr>
                  <w:tcW w:w="2783" w:type="dxa"/>
                  <w:vAlign w:val="center"/>
                </w:tcPr>
                <w:p>
                  <w:pPr>
                    <w:pStyle w:val="45"/>
                    <w:rPr>
                      <w:kern w:val="0"/>
                      <w:szCs w:val="20"/>
                    </w:rPr>
                  </w:pPr>
                  <w:r>
                    <w:rPr>
                      <w:kern w:val="0"/>
                      <w:szCs w:val="20"/>
                    </w:rPr>
                    <w:t>水环境功能区</w:t>
                  </w:r>
                </w:p>
              </w:tc>
              <w:tc>
                <w:tcPr>
                  <w:tcW w:w="5545" w:type="dxa"/>
                  <w:vAlign w:val="center"/>
                </w:tcPr>
                <w:p>
                  <w:pPr>
                    <w:pStyle w:val="45"/>
                    <w:rPr>
                      <w:kern w:val="0"/>
                      <w:szCs w:val="20"/>
                    </w:rPr>
                  </w:pPr>
                  <w:r>
                    <w:rPr>
                      <w:kern w:val="0"/>
                      <w:szCs w:val="20"/>
                    </w:rPr>
                    <w:t>开平市水口污水处理厂东面排污河涌（纳污水体）执行《地表水环境质量标准》（GB3838-2002）中的III 类标准，项目南面潭江执行《地表水环境质量标准》（GB3838-2002）中的II类标准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2</w:t>
                  </w:r>
                </w:p>
              </w:tc>
              <w:tc>
                <w:tcPr>
                  <w:tcW w:w="2783" w:type="dxa"/>
                  <w:vAlign w:val="center"/>
                </w:tcPr>
                <w:p>
                  <w:pPr>
                    <w:pStyle w:val="45"/>
                    <w:rPr>
                      <w:kern w:val="0"/>
                      <w:szCs w:val="20"/>
                    </w:rPr>
                  </w:pPr>
                  <w:r>
                    <w:rPr>
                      <w:kern w:val="0"/>
                      <w:szCs w:val="20"/>
                    </w:rPr>
                    <w:t>环境空气功能区</w:t>
                  </w:r>
                </w:p>
              </w:tc>
              <w:tc>
                <w:tcPr>
                  <w:tcW w:w="5545" w:type="dxa"/>
                  <w:vAlign w:val="center"/>
                </w:tcPr>
                <w:p>
                  <w:pPr>
                    <w:pStyle w:val="45"/>
                    <w:rPr>
                      <w:kern w:val="0"/>
                      <w:szCs w:val="20"/>
                    </w:rPr>
                  </w:pPr>
                  <w:r>
                    <w:rPr>
                      <w:kern w:val="0"/>
                      <w:szCs w:val="20"/>
                    </w:rPr>
                    <w:t>项目所在地属二类区，执行《环境空气质量标准》</w:t>
                  </w:r>
                </w:p>
                <w:p>
                  <w:pPr>
                    <w:pStyle w:val="45"/>
                    <w:rPr>
                      <w:kern w:val="0"/>
                      <w:szCs w:val="20"/>
                    </w:rPr>
                  </w:pPr>
                  <w:r>
                    <w:rPr>
                      <w:kern w:val="0"/>
                      <w:szCs w:val="20"/>
                    </w:rPr>
                    <w:t>（GB3095-2012）及其修改单（2018 年）中的二级标准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3</w:t>
                  </w:r>
                </w:p>
              </w:tc>
              <w:tc>
                <w:tcPr>
                  <w:tcW w:w="2783" w:type="dxa"/>
                  <w:vAlign w:val="center"/>
                </w:tcPr>
                <w:p>
                  <w:pPr>
                    <w:pStyle w:val="45"/>
                    <w:rPr>
                      <w:kern w:val="0"/>
                      <w:szCs w:val="20"/>
                    </w:rPr>
                  </w:pPr>
                  <w:r>
                    <w:rPr>
                      <w:kern w:val="0"/>
                      <w:szCs w:val="20"/>
                    </w:rPr>
                    <w:t>环境噪声功能区</w:t>
                  </w:r>
                </w:p>
              </w:tc>
              <w:tc>
                <w:tcPr>
                  <w:tcW w:w="5545" w:type="dxa"/>
                  <w:vAlign w:val="center"/>
                </w:tcPr>
                <w:p>
                  <w:pPr>
                    <w:pStyle w:val="45"/>
                    <w:rPr>
                      <w:kern w:val="0"/>
                      <w:szCs w:val="20"/>
                    </w:rPr>
                  </w:pPr>
                  <w:r>
                    <w:rPr>
                      <w:kern w:val="0"/>
                      <w:szCs w:val="20"/>
                    </w:rPr>
                    <w:t>项目所在地属于3类区，执行《声环境质量标准》</w:t>
                  </w:r>
                </w:p>
                <w:p>
                  <w:pPr>
                    <w:pStyle w:val="45"/>
                    <w:rPr>
                      <w:kern w:val="0"/>
                      <w:szCs w:val="20"/>
                    </w:rPr>
                  </w:pPr>
                  <w:r>
                    <w:rPr>
                      <w:kern w:val="0"/>
                      <w:szCs w:val="20"/>
                    </w:rPr>
                    <w:t>（GB3096-2008）3 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4</w:t>
                  </w:r>
                </w:p>
              </w:tc>
              <w:tc>
                <w:tcPr>
                  <w:tcW w:w="2783" w:type="dxa"/>
                  <w:vAlign w:val="center"/>
                </w:tcPr>
                <w:p>
                  <w:pPr>
                    <w:pStyle w:val="45"/>
                    <w:rPr>
                      <w:kern w:val="0"/>
                      <w:szCs w:val="20"/>
                    </w:rPr>
                  </w:pPr>
                  <w:r>
                    <w:rPr>
                      <w:kern w:val="0"/>
                      <w:szCs w:val="20"/>
                    </w:rPr>
                    <w:t>基本农田保护区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5</w:t>
                  </w:r>
                </w:p>
              </w:tc>
              <w:tc>
                <w:tcPr>
                  <w:tcW w:w="2783" w:type="dxa"/>
                  <w:vAlign w:val="center"/>
                </w:tcPr>
                <w:p>
                  <w:pPr>
                    <w:pStyle w:val="45"/>
                    <w:rPr>
                      <w:kern w:val="0"/>
                      <w:szCs w:val="20"/>
                    </w:rPr>
                  </w:pPr>
                  <w:r>
                    <w:rPr>
                      <w:kern w:val="0"/>
                      <w:szCs w:val="20"/>
                    </w:rPr>
                    <w:t>风景名胜保护区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6</w:t>
                  </w:r>
                </w:p>
              </w:tc>
              <w:tc>
                <w:tcPr>
                  <w:tcW w:w="2783" w:type="dxa"/>
                  <w:vAlign w:val="center"/>
                </w:tcPr>
                <w:p>
                  <w:pPr>
                    <w:pStyle w:val="45"/>
                    <w:rPr>
                      <w:kern w:val="0"/>
                      <w:szCs w:val="20"/>
                    </w:rPr>
                  </w:pPr>
                  <w:r>
                    <w:rPr>
                      <w:kern w:val="0"/>
                      <w:szCs w:val="20"/>
                    </w:rPr>
                    <w:t>水库库区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7</w:t>
                  </w:r>
                </w:p>
              </w:tc>
              <w:tc>
                <w:tcPr>
                  <w:tcW w:w="2783" w:type="dxa"/>
                  <w:vAlign w:val="center"/>
                </w:tcPr>
                <w:p>
                  <w:pPr>
                    <w:pStyle w:val="45"/>
                    <w:rPr>
                      <w:kern w:val="0"/>
                      <w:szCs w:val="20"/>
                    </w:rPr>
                  </w:pPr>
                  <w:r>
                    <w:rPr>
                      <w:kern w:val="0"/>
                      <w:szCs w:val="20"/>
                    </w:rPr>
                    <w:t>人口密集区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8</w:t>
                  </w:r>
                </w:p>
              </w:tc>
              <w:tc>
                <w:tcPr>
                  <w:tcW w:w="2783" w:type="dxa"/>
                  <w:vAlign w:val="center"/>
                </w:tcPr>
                <w:p>
                  <w:pPr>
                    <w:pStyle w:val="45"/>
                    <w:rPr>
                      <w:kern w:val="0"/>
                      <w:szCs w:val="20"/>
                    </w:rPr>
                  </w:pPr>
                  <w:r>
                    <w:rPr>
                      <w:kern w:val="0"/>
                      <w:szCs w:val="20"/>
                    </w:rPr>
                    <w:t>自然保护区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9</w:t>
                  </w:r>
                </w:p>
              </w:tc>
              <w:tc>
                <w:tcPr>
                  <w:tcW w:w="2783" w:type="dxa"/>
                  <w:vAlign w:val="center"/>
                </w:tcPr>
                <w:p>
                  <w:pPr>
                    <w:pStyle w:val="45"/>
                    <w:rPr>
                      <w:kern w:val="0"/>
                      <w:szCs w:val="20"/>
                    </w:rPr>
                  </w:pPr>
                  <w:r>
                    <w:rPr>
                      <w:kern w:val="0"/>
                      <w:szCs w:val="20"/>
                    </w:rPr>
                    <w:t>生态功能保护区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10</w:t>
                  </w:r>
                </w:p>
              </w:tc>
              <w:tc>
                <w:tcPr>
                  <w:tcW w:w="2783" w:type="dxa"/>
                  <w:vAlign w:val="center"/>
                </w:tcPr>
                <w:p>
                  <w:pPr>
                    <w:pStyle w:val="45"/>
                    <w:rPr>
                      <w:kern w:val="0"/>
                      <w:szCs w:val="20"/>
                    </w:rPr>
                  </w:pPr>
                  <w:r>
                    <w:rPr>
                      <w:kern w:val="0"/>
                      <w:szCs w:val="20"/>
                    </w:rPr>
                    <w:t>水土流失重点治理区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11</w:t>
                  </w:r>
                </w:p>
              </w:tc>
              <w:tc>
                <w:tcPr>
                  <w:tcW w:w="2783" w:type="dxa"/>
                  <w:vAlign w:val="center"/>
                </w:tcPr>
                <w:p>
                  <w:pPr>
                    <w:pStyle w:val="45"/>
                    <w:rPr>
                      <w:kern w:val="0"/>
                      <w:szCs w:val="20"/>
                    </w:rPr>
                  </w:pPr>
                  <w:r>
                    <w:rPr>
                      <w:kern w:val="0"/>
                      <w:szCs w:val="20"/>
                    </w:rPr>
                    <w:t>是否两控区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12</w:t>
                  </w:r>
                </w:p>
              </w:tc>
              <w:tc>
                <w:tcPr>
                  <w:tcW w:w="2783" w:type="dxa"/>
                  <w:vAlign w:val="center"/>
                </w:tcPr>
                <w:p>
                  <w:pPr>
                    <w:pStyle w:val="45"/>
                    <w:rPr>
                      <w:kern w:val="0"/>
                      <w:szCs w:val="20"/>
                    </w:rPr>
                  </w:pPr>
                  <w:r>
                    <w:rPr>
                      <w:kern w:val="0"/>
                      <w:szCs w:val="20"/>
                    </w:rPr>
                    <w:t>是否环境敏感区</w:t>
                  </w:r>
                </w:p>
              </w:tc>
              <w:tc>
                <w:tcPr>
                  <w:tcW w:w="5545" w:type="dxa"/>
                  <w:vAlign w:val="center"/>
                </w:tcPr>
                <w:p>
                  <w:pPr>
                    <w:pStyle w:val="45"/>
                    <w:rPr>
                      <w:kern w:val="0"/>
                      <w:szCs w:val="20"/>
                    </w:rPr>
                  </w:pPr>
                  <w:r>
                    <w:rPr>
                      <w:kern w:val="0"/>
                      <w:szCs w:val="20"/>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2" w:type="dxa"/>
                  <w:vAlign w:val="center"/>
                </w:tcPr>
                <w:p>
                  <w:pPr>
                    <w:pStyle w:val="45"/>
                    <w:rPr>
                      <w:kern w:val="0"/>
                      <w:szCs w:val="20"/>
                    </w:rPr>
                  </w:pPr>
                  <w:r>
                    <w:rPr>
                      <w:kern w:val="0"/>
                      <w:szCs w:val="20"/>
                    </w:rPr>
                    <w:t>13</w:t>
                  </w:r>
                </w:p>
              </w:tc>
              <w:tc>
                <w:tcPr>
                  <w:tcW w:w="2783" w:type="dxa"/>
                  <w:vAlign w:val="center"/>
                </w:tcPr>
                <w:p>
                  <w:pPr>
                    <w:pStyle w:val="45"/>
                    <w:rPr>
                      <w:kern w:val="0"/>
                      <w:szCs w:val="20"/>
                    </w:rPr>
                  </w:pPr>
                  <w:r>
                    <w:rPr>
                      <w:kern w:val="0"/>
                      <w:szCs w:val="20"/>
                    </w:rPr>
                    <w:t>是否属于城镇污水管网集污范围</w:t>
                  </w:r>
                </w:p>
              </w:tc>
              <w:tc>
                <w:tcPr>
                  <w:tcW w:w="5545" w:type="dxa"/>
                  <w:vAlign w:val="center"/>
                </w:tcPr>
                <w:p>
                  <w:pPr>
                    <w:pStyle w:val="45"/>
                    <w:rPr>
                      <w:kern w:val="0"/>
                      <w:szCs w:val="20"/>
                    </w:rPr>
                  </w:pPr>
                  <w:r>
                    <w:rPr>
                      <w:kern w:val="0"/>
                      <w:szCs w:val="20"/>
                    </w:rPr>
                    <w:t>是，属开平市水口污水处理厂纳污范围</w:t>
                  </w:r>
                </w:p>
              </w:tc>
            </w:tr>
          </w:tbl>
          <w:p>
            <w:pPr>
              <w:adjustRightInd w:val="0"/>
              <w:snapToGrid w:val="0"/>
              <w:ind w:firstLine="480"/>
              <w:rPr>
                <w:rFonts w:cs="Times New Roman"/>
                <w:color w:val="000000"/>
              </w:rPr>
            </w:pPr>
          </w:p>
          <w:p>
            <w:pPr>
              <w:adjustRightInd w:val="0"/>
              <w:snapToGrid w:val="0"/>
              <w:ind w:firstLine="480"/>
              <w:rPr>
                <w:rFonts w:cs="Times New Roman"/>
                <w:color w:val="000000"/>
              </w:rPr>
            </w:pPr>
          </w:p>
        </w:tc>
      </w:tr>
      <w:bookmarkEnd w:id="7"/>
    </w:tbl>
    <w:p>
      <w:pPr>
        <w:ind w:firstLine="0" w:firstLineChars="0"/>
        <w:rPr>
          <w:rFonts w:cs="Times New Roman"/>
        </w:rPr>
      </w:pPr>
    </w:p>
    <w:p>
      <w:pPr>
        <w:pStyle w:val="2"/>
        <w:numPr>
          <w:ilvl w:val="0"/>
          <w:numId w:val="2"/>
        </w:numPr>
        <w:rPr>
          <w:rFonts w:cs="Times New Roman"/>
        </w:rPr>
      </w:pPr>
      <w:bookmarkStart w:id="8" w:name="_Toc27729832"/>
      <w:r>
        <w:rPr>
          <w:rFonts w:cs="Times New Roman"/>
        </w:rPr>
        <w:t>环境质量状况</w:t>
      </w:r>
      <w:bookmarkEnd w:id="8"/>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7" w:hRule="atLeast"/>
          <w:jc w:val="center"/>
        </w:trPr>
        <w:tc>
          <w:tcPr>
            <w:tcW w:w="9286" w:type="dxa"/>
            <w:vAlign w:val="center"/>
          </w:tcPr>
          <w:p>
            <w:pPr>
              <w:pStyle w:val="20"/>
              <w:ind w:firstLine="0" w:firstLineChars="0"/>
              <w:rPr>
                <w:rFonts w:ascii="Times New Roman" w:hAnsi="Times New Roman" w:cs="Times New Roman"/>
                <w:lang w:val="zh-CN"/>
              </w:rPr>
            </w:pPr>
            <w:bookmarkStart w:id="9" w:name="_Toc22823017"/>
            <w:r>
              <w:rPr>
                <w:rFonts w:ascii="Times New Roman" w:hAnsi="Times New Roman" w:cs="Times New Roman"/>
                <w:lang w:val="zh-CN"/>
              </w:rPr>
              <w:t>3.1建设项目所在地域环境质量现状及主要环境问题(环境空气、地面水、地下水、声环境、生态环境等)：</w:t>
            </w:r>
            <w:bookmarkEnd w:id="9"/>
          </w:p>
          <w:p>
            <w:pPr>
              <w:pStyle w:val="4"/>
              <w:rPr>
                <w:rFonts w:ascii="Times New Roman" w:hAnsi="Times New Roman" w:cs="Times New Roman"/>
                <w:lang w:val="zh-CN"/>
              </w:rPr>
            </w:pPr>
            <w:r>
              <w:rPr>
                <w:rFonts w:ascii="Times New Roman" w:hAnsi="Times New Roman" w:cs="Times New Roman"/>
                <w:lang w:val="zh-CN"/>
              </w:rPr>
              <w:t>3.1.1环境空气质量现状</w:t>
            </w:r>
          </w:p>
          <w:p>
            <w:pPr>
              <w:adjustRightInd w:val="0"/>
              <w:snapToGrid w:val="0"/>
              <w:ind w:firstLine="480"/>
              <w:rPr>
                <w:rFonts w:cs="Times New Roman"/>
                <w:color w:val="000000"/>
              </w:rPr>
            </w:pPr>
            <w:r>
              <w:rPr>
                <w:rFonts w:cs="Times New Roman"/>
                <w:color w:val="000000"/>
              </w:rPr>
              <w:t>项目所在区域大气环境质量执行《环境空气质量标准》(GB3095-2012)中的二级标准，根据《环境影响评价技术导则  大气环境》（HJ2.2-2018）6.2规定，本评价采用江门市生态环境局于2019年3月6日公开发布的环境质量报告《2018年江门市环境质量状况（公报）》（http://hbj.jiangmen.gov.cn/hjzl/ndhjzkgb/201903/t20190306_1841107.html）中的数据或结论，项目所在区域环境质量现状详见表3-1。</w:t>
            </w:r>
          </w:p>
          <w:p>
            <w:pPr>
              <w:adjustRightInd w:val="0"/>
              <w:snapToGrid w:val="0"/>
              <w:ind w:firstLine="480"/>
              <w:rPr>
                <w:rFonts w:cs="Times New Roman"/>
                <w:color w:val="000000"/>
              </w:rPr>
            </w:pPr>
            <w:r>
              <w:rPr>
                <w:rFonts w:ascii="Segoe UI Symbol" w:hAnsi="Segoe UI Symbol" w:cs="Segoe UI Symbol"/>
                <w:color w:val="000000"/>
              </w:rPr>
              <w:t>★</w:t>
            </w:r>
            <w:r>
              <w:rPr>
                <w:rFonts w:cs="Times New Roman"/>
                <w:color w:val="000000"/>
              </w:rPr>
              <w:t>国家直管监测站点空气质量</w:t>
            </w:r>
          </w:p>
          <w:p>
            <w:pPr>
              <w:adjustRightInd w:val="0"/>
              <w:snapToGrid w:val="0"/>
              <w:ind w:firstLine="480"/>
              <w:rPr>
                <w:rFonts w:cs="Times New Roman"/>
                <w:color w:val="000000"/>
              </w:rPr>
            </w:pPr>
            <w:r>
              <w:rPr>
                <w:rFonts w:cs="Times New Roman"/>
                <w:color w:val="000000"/>
              </w:rPr>
              <w:t>2018年度江门市国家直管监测站点空气质量优良天数比例为80.8%，同比上升3.5个百分点。在全年有效监测天数中，优占35.9%（131天），良占44.9%（164天），轻度污染占14.2%（52天），中度污染占4.1%（15天），重度污染占0.8%（3天），无严重污染天气。首要污染物为臭氧，其作为每日首要污染物的天数比例为52.1%（良及以上等级天数共计234天），二氧化氮及PM10作为首要污染物的天数比例分别为26.1%、11.1%。</w:t>
            </w:r>
          </w:p>
          <w:p>
            <w:pPr>
              <w:adjustRightInd w:val="0"/>
              <w:snapToGrid w:val="0"/>
              <w:ind w:firstLine="480"/>
              <w:rPr>
                <w:rFonts w:cs="Times New Roman"/>
                <w:color w:val="000000"/>
              </w:rPr>
            </w:pPr>
            <w:r>
              <w:rPr>
                <w:rFonts w:cs="Times New Roman"/>
                <w:color w:val="000000"/>
              </w:rPr>
              <w:t>2018年江门市国家直管监测站点二氧化硫年均浓度为9微克/立方米，同比下降25.0%；二氧化氮年均浓度为35微克/立方米，同比下降7.9%；可吸入颗粒物（PM10）年均浓度为56微克/立方米，同比下降6.7%；一氧化碳日均值第95百分位数浓度（CO-95per）为1.2毫克/立方米，同比下降7.7%；臭氧日最大8小时平均第90百分位数浓度（O</w:t>
            </w:r>
            <w:r>
              <w:rPr>
                <w:rFonts w:cs="Times New Roman"/>
                <w:color w:val="000000"/>
                <w:vertAlign w:val="subscript"/>
              </w:rPr>
              <w:t>3</w:t>
            </w:r>
            <w:r>
              <w:rPr>
                <w:rFonts w:cs="Times New Roman"/>
                <w:color w:val="000000"/>
              </w:rPr>
              <w:t>-8h-90per）为184微克/立方米，同比下降4.7%；细颗粒物（PM2.5）年均浓度为31微克/立方米，同比下降16.2%。除臭氧外，其余五项环境空气污染物年均浓度均达到国家二级标准限值要求。</w:t>
            </w:r>
          </w:p>
          <w:p>
            <w:pPr>
              <w:adjustRightInd w:val="0"/>
              <w:snapToGrid w:val="0"/>
              <w:ind w:firstLine="480"/>
              <w:rPr>
                <w:rFonts w:cs="Times New Roman"/>
                <w:color w:val="000000"/>
              </w:rPr>
            </w:pPr>
            <w:r>
              <w:rPr>
                <w:rFonts w:ascii="Segoe UI Symbol" w:hAnsi="Segoe UI Symbol" w:cs="Segoe UI Symbol"/>
                <w:color w:val="000000"/>
              </w:rPr>
              <w:t>★</w:t>
            </w:r>
            <w:r>
              <w:rPr>
                <w:rFonts w:cs="Times New Roman"/>
                <w:color w:val="000000"/>
              </w:rPr>
              <w:t>开平市空气质量</w:t>
            </w:r>
          </w:p>
          <w:p>
            <w:pPr>
              <w:adjustRightInd w:val="0"/>
              <w:snapToGrid w:val="0"/>
              <w:ind w:firstLine="480"/>
              <w:rPr>
                <w:rFonts w:cs="Times New Roman"/>
                <w:color w:val="000000"/>
              </w:rPr>
            </w:pPr>
            <w:r>
              <w:rPr>
                <w:rFonts w:cs="Times New Roman"/>
                <w:color w:val="000000"/>
              </w:rPr>
              <w:t>开平市空气质量优良天数比例为87.3%。以空气综合质量指数排名，开平市居第二；与2017年相比，其环境空气综合指数同比有所改善，改善幅度为10.7%，空气质量同比变化程度排名居第一。 根据《2018年江门市环境质量状况（公报）》，2018年全年，开平市空气质量中除了臭氧外，二氧化硫、二氧化氮、一氧化碳、可吸入颗粒物、细颗粒物年均浓度均达到《环境空气质量标准》（GB3095—2012）中的二级标准。根据《环境影响评价技术导则——大气环境》(HJ2.2-2018)“城市环境空气质量达标情况评价指标为SO2、NO2、PM2.5、PM10、CO、O3，六项污染物全部达标即为城市环境空气质量达标”。开平市O3超标其余SO2、NO2、PM2.5、PM10、CO五项污染物均达标，故项目所在评价区域为不达标区域。</w:t>
            </w:r>
          </w:p>
          <w:p>
            <w:pPr>
              <w:adjustRightInd w:val="0"/>
              <w:snapToGrid w:val="0"/>
              <w:ind w:firstLine="480"/>
              <w:rPr>
                <w:rFonts w:cs="Times New Roman"/>
                <w:color w:val="000000"/>
              </w:rPr>
            </w:pPr>
            <w:r>
              <w:rPr>
                <w:rFonts w:ascii="Segoe UI Symbol" w:hAnsi="Segoe UI Symbol" w:cs="Segoe UI Symbol"/>
                <w:color w:val="000000"/>
              </w:rPr>
              <w:t>★</w:t>
            </w:r>
            <w:r>
              <w:rPr>
                <w:rFonts w:cs="Times New Roman"/>
                <w:color w:val="000000"/>
              </w:rPr>
              <w:t>城市降水</w:t>
            </w:r>
          </w:p>
          <w:p>
            <w:pPr>
              <w:adjustRightInd w:val="0"/>
              <w:snapToGrid w:val="0"/>
              <w:ind w:firstLine="480"/>
              <w:rPr>
                <w:rFonts w:cs="Times New Roman"/>
                <w:color w:val="000000"/>
              </w:rPr>
            </w:pPr>
            <w:r>
              <w:rPr>
                <w:rFonts w:cs="Times New Roman"/>
                <w:color w:val="000000"/>
              </w:rPr>
              <w:t>江门市区降水pH年平均值为5.57，小于5.6的酸雨临界值，酸雨频率为31.8%降水pH浓度值范围在4.23～7.71之间。</w:t>
            </w:r>
          </w:p>
          <w:p>
            <w:pPr>
              <w:adjustRightInd w:val="0"/>
              <w:snapToGrid w:val="0"/>
              <w:ind w:firstLine="480"/>
              <w:rPr>
                <w:rFonts w:cs="Times New Roman"/>
                <w:color w:val="000000"/>
              </w:rPr>
            </w:pPr>
            <w:r>
              <w:rPr>
                <w:rFonts w:hint="eastAsia" w:cs="Times New Roman"/>
                <w:color w:val="000000"/>
              </w:rPr>
              <w:t>根据《2018 年江门市环境质量状况 (公报) 》，2018年度开平市空气质量状况见下表；</w:t>
            </w:r>
          </w:p>
          <w:p>
            <w:pPr>
              <w:adjustRightInd w:val="0"/>
              <w:snapToGrid w:val="0"/>
              <w:spacing w:line="240" w:lineRule="auto"/>
              <w:ind w:firstLine="0" w:firstLineChars="0"/>
              <w:jc w:val="center"/>
              <w:rPr>
                <w:rFonts w:cs="Times New Roman"/>
                <w:b/>
                <w:color w:val="000000"/>
                <w:sz w:val="21"/>
                <w:lang w:val="zh-CN"/>
              </w:rPr>
            </w:pPr>
            <w:r>
              <w:rPr>
                <w:rFonts w:hint="eastAsia" w:cs="Times New Roman"/>
                <w:b/>
                <w:color w:val="000000"/>
                <w:sz w:val="21"/>
                <w:lang w:val="zh-CN"/>
              </w:rPr>
              <w:t>表</w:t>
            </w:r>
            <w:r>
              <w:rPr>
                <w:rFonts w:cs="Times New Roman"/>
                <w:b/>
                <w:color w:val="000000"/>
                <w:sz w:val="21"/>
                <w:lang w:val="zh-CN"/>
              </w:rPr>
              <w:t xml:space="preserve">3-1  </w:t>
            </w:r>
            <w:r>
              <w:rPr>
                <w:rFonts w:hint="eastAsia" w:cs="Times New Roman"/>
                <w:b/>
                <w:color w:val="000000"/>
                <w:sz w:val="21"/>
                <w:lang w:val="zh-CN"/>
              </w:rPr>
              <w:t>2018 年度开平市环境空气质量状况</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8"/>
              <w:gridCol w:w="998"/>
              <w:gridCol w:w="998"/>
              <w:gridCol w:w="836"/>
              <w:gridCol w:w="923"/>
              <w:gridCol w:w="1090"/>
              <w:gridCol w:w="1030"/>
              <w:gridCol w:w="1030"/>
              <w:gridCol w:w="8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vMerge w:val="restar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年度</w:t>
                  </w:r>
                </w:p>
              </w:tc>
              <w:tc>
                <w:tcPr>
                  <w:tcW w:w="3237" w:type="pct"/>
                  <w:gridSpan w:val="6"/>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污染物浓度（ug/m</w:t>
                  </w:r>
                  <w:r>
                    <w:rPr>
                      <w:rFonts w:cs="Times New Roman"/>
                      <w:kern w:val="0"/>
                      <w:sz w:val="21"/>
                      <w:szCs w:val="20"/>
                      <w:vertAlign w:val="superscript"/>
                      <w:lang w:val="zh-CN"/>
                    </w:rPr>
                    <w:t>3</w:t>
                  </w:r>
                  <w:r>
                    <w:rPr>
                      <w:rFonts w:cs="Times New Roman"/>
                      <w:kern w:val="0"/>
                      <w:sz w:val="21"/>
                      <w:szCs w:val="20"/>
                      <w:lang w:val="zh-CN"/>
                    </w:rPr>
                    <w:t>）</w:t>
                  </w:r>
                </w:p>
              </w:tc>
              <w:tc>
                <w:tcPr>
                  <w:tcW w:w="568" w:type="pct"/>
                  <w:vMerge w:val="restar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优良天 数比例</w:t>
                  </w:r>
                </w:p>
              </w:tc>
              <w:tc>
                <w:tcPr>
                  <w:tcW w:w="485" w:type="pct"/>
                  <w:vMerge w:val="restar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综合指 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vMerge w:val="continue"/>
                  <w:vAlign w:val="center"/>
                </w:tcPr>
                <w:p>
                  <w:pPr>
                    <w:adjustRightInd w:val="0"/>
                    <w:snapToGrid w:val="0"/>
                    <w:spacing w:line="240" w:lineRule="auto"/>
                    <w:ind w:firstLine="0" w:firstLineChars="0"/>
                    <w:rPr>
                      <w:rFonts w:cs="Times New Roman"/>
                      <w:kern w:val="0"/>
                      <w:sz w:val="21"/>
                      <w:szCs w:val="20"/>
                      <w:lang w:val="zh-CN"/>
                    </w:rPr>
                  </w:pPr>
                </w:p>
              </w:tc>
              <w:tc>
                <w:tcPr>
                  <w:tcW w:w="550"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SO</w:t>
                  </w:r>
                  <w:r>
                    <w:rPr>
                      <w:rFonts w:cs="Times New Roman"/>
                      <w:kern w:val="0"/>
                      <w:sz w:val="21"/>
                      <w:szCs w:val="20"/>
                      <w:vertAlign w:val="subscript"/>
                      <w:lang w:val="zh-CN"/>
                    </w:rPr>
                    <w:t>2</w:t>
                  </w:r>
                </w:p>
              </w:tc>
              <w:tc>
                <w:tcPr>
                  <w:tcW w:w="550"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NO</w:t>
                  </w:r>
                  <w:r>
                    <w:rPr>
                      <w:rFonts w:cs="Times New Roman"/>
                      <w:kern w:val="0"/>
                      <w:sz w:val="21"/>
                      <w:szCs w:val="20"/>
                      <w:vertAlign w:val="subscript"/>
                      <w:lang w:val="zh-CN"/>
                    </w:rPr>
                    <w:t>2</w:t>
                  </w:r>
                </w:p>
              </w:tc>
              <w:tc>
                <w:tcPr>
                  <w:tcW w:w="46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PM</w:t>
                  </w:r>
                  <w:r>
                    <w:rPr>
                      <w:rFonts w:cs="Times New Roman"/>
                      <w:kern w:val="0"/>
                      <w:sz w:val="21"/>
                      <w:szCs w:val="20"/>
                      <w:vertAlign w:val="subscript"/>
                      <w:lang w:val="zh-CN"/>
                    </w:rPr>
                    <w:t>2.5</w:t>
                  </w:r>
                </w:p>
              </w:tc>
              <w:tc>
                <w:tcPr>
                  <w:tcW w:w="509"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CO</w:t>
                  </w:r>
                </w:p>
              </w:tc>
              <w:tc>
                <w:tcPr>
                  <w:tcW w:w="601" w:type="pct"/>
                  <w:vAlign w:val="center"/>
                </w:tcPr>
                <w:p>
                  <w:pPr>
                    <w:adjustRightInd w:val="0"/>
                    <w:snapToGrid w:val="0"/>
                    <w:spacing w:line="240" w:lineRule="auto"/>
                    <w:ind w:firstLine="0" w:firstLineChars="0"/>
                    <w:rPr>
                      <w:rFonts w:cs="Times New Roman"/>
                      <w:kern w:val="0"/>
                      <w:sz w:val="21"/>
                      <w:szCs w:val="20"/>
                      <w:lang w:val="zh-CN"/>
                    </w:rPr>
                  </w:pPr>
                  <w:r>
                    <w:rPr>
                      <w:rFonts w:eastAsia="Times New Roman" w:cs="Times New Roman"/>
                      <w:spacing w:val="-3"/>
                      <w:kern w:val="0"/>
                      <w:position w:val="2"/>
                      <w:sz w:val="21"/>
                      <w:szCs w:val="20"/>
                      <w:lang w:val="zh-CN"/>
                    </w:rPr>
                    <w:t>O</w:t>
                  </w:r>
                  <w:r>
                    <w:rPr>
                      <w:rFonts w:eastAsia="Times New Roman" w:cs="Times New Roman"/>
                      <w:kern w:val="0"/>
                      <w:sz w:val="13"/>
                      <w:szCs w:val="13"/>
                      <w:lang w:val="zh-CN"/>
                    </w:rPr>
                    <w:t>3</w:t>
                  </w:r>
                </w:p>
              </w:tc>
              <w:tc>
                <w:tcPr>
                  <w:tcW w:w="568"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PM</w:t>
                  </w:r>
                  <w:r>
                    <w:rPr>
                      <w:rFonts w:cs="Times New Roman"/>
                      <w:kern w:val="0"/>
                      <w:sz w:val="21"/>
                      <w:szCs w:val="20"/>
                      <w:vertAlign w:val="subscript"/>
                      <w:lang w:val="zh-CN"/>
                    </w:rPr>
                    <w:t>10</w:t>
                  </w:r>
                </w:p>
              </w:tc>
              <w:tc>
                <w:tcPr>
                  <w:tcW w:w="568" w:type="pct"/>
                  <w:vMerge w:val="continue"/>
                  <w:vAlign w:val="center"/>
                </w:tcPr>
                <w:p>
                  <w:pPr>
                    <w:adjustRightInd w:val="0"/>
                    <w:snapToGrid w:val="0"/>
                    <w:spacing w:line="240" w:lineRule="auto"/>
                    <w:ind w:firstLine="0" w:firstLineChars="0"/>
                    <w:rPr>
                      <w:rFonts w:cs="Times New Roman"/>
                      <w:kern w:val="0"/>
                      <w:sz w:val="21"/>
                      <w:szCs w:val="20"/>
                      <w:lang w:val="zh-CN"/>
                    </w:rPr>
                  </w:pPr>
                </w:p>
              </w:tc>
              <w:tc>
                <w:tcPr>
                  <w:tcW w:w="485" w:type="pct"/>
                  <w:vMerge w:val="continue"/>
                  <w:vAlign w:val="center"/>
                </w:tcPr>
                <w:p>
                  <w:pPr>
                    <w:adjustRightInd w:val="0"/>
                    <w:snapToGrid w:val="0"/>
                    <w:spacing w:line="240" w:lineRule="auto"/>
                    <w:ind w:firstLine="0" w:firstLineChars="0"/>
                    <w:rPr>
                      <w:rFonts w:cs="Times New Roman"/>
                      <w:kern w:val="0"/>
                      <w:sz w:val="21"/>
                      <w:szCs w:val="20"/>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2018</w:t>
                  </w:r>
                </w:p>
              </w:tc>
              <w:tc>
                <w:tcPr>
                  <w:tcW w:w="550"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11</w:t>
                  </w:r>
                </w:p>
              </w:tc>
              <w:tc>
                <w:tcPr>
                  <w:tcW w:w="550"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25</w:t>
                  </w:r>
                </w:p>
              </w:tc>
              <w:tc>
                <w:tcPr>
                  <w:tcW w:w="46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56</w:t>
                  </w:r>
                </w:p>
              </w:tc>
              <w:tc>
                <w:tcPr>
                  <w:tcW w:w="509"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1.2</w:t>
                  </w:r>
                </w:p>
              </w:tc>
              <w:tc>
                <w:tcPr>
                  <w:tcW w:w="60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169</w:t>
                  </w:r>
                </w:p>
              </w:tc>
              <w:tc>
                <w:tcPr>
                  <w:tcW w:w="568"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30</w:t>
                  </w:r>
                </w:p>
              </w:tc>
              <w:tc>
                <w:tcPr>
                  <w:tcW w:w="568"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87.3%</w:t>
                  </w:r>
                </w:p>
              </w:tc>
              <w:tc>
                <w:tcPr>
                  <w:tcW w:w="485"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3.82</w:t>
                  </w:r>
                </w:p>
              </w:tc>
            </w:tr>
          </w:tbl>
          <w:p>
            <w:pPr>
              <w:adjustRightInd w:val="0"/>
              <w:snapToGrid w:val="0"/>
              <w:ind w:firstLine="420"/>
              <w:rPr>
                <w:rFonts w:cs="Times New Roman"/>
                <w:color w:val="FF0000"/>
                <w:sz w:val="21"/>
                <w:szCs w:val="21"/>
              </w:rPr>
            </w:pPr>
            <w:r>
              <w:rPr>
                <w:rFonts w:hint="eastAsia" w:cs="Times New Roman"/>
                <w:color w:val="000000"/>
                <w:sz w:val="21"/>
                <w:szCs w:val="21"/>
              </w:rPr>
              <w:t>注：除 CO 浓度单位为毫克/立方米外，其他监测项目浓度单位为微克/立方米</w:t>
            </w:r>
            <w:r>
              <w:rPr>
                <w:rFonts w:hint="eastAsia" w:cs="Times New Roman"/>
                <w:color w:val="FF0000"/>
                <w:sz w:val="21"/>
                <w:szCs w:val="21"/>
              </w:rPr>
              <w:t>。</w:t>
            </w:r>
          </w:p>
          <w:p>
            <w:pPr>
              <w:adjustRightInd w:val="0"/>
              <w:snapToGrid w:val="0"/>
              <w:spacing w:line="240" w:lineRule="auto"/>
              <w:ind w:firstLine="0" w:firstLineChars="0"/>
              <w:jc w:val="center"/>
              <w:rPr>
                <w:rFonts w:cs="Times New Roman"/>
                <w:b/>
                <w:color w:val="000000"/>
                <w:sz w:val="21"/>
                <w:lang w:val="zh-CN"/>
              </w:rPr>
            </w:pPr>
            <w:r>
              <w:rPr>
                <w:rFonts w:hint="eastAsia" w:cs="Times New Roman"/>
                <w:b/>
                <w:color w:val="000000"/>
                <w:sz w:val="21"/>
                <w:lang w:val="zh-CN"/>
              </w:rPr>
              <w:t>表</w:t>
            </w:r>
            <w:r>
              <w:rPr>
                <w:rFonts w:cs="Times New Roman"/>
                <w:b/>
                <w:color w:val="000000"/>
                <w:sz w:val="21"/>
                <w:lang w:val="zh-CN"/>
              </w:rPr>
              <w:t xml:space="preserve">3-2 </w:t>
            </w:r>
            <w:r>
              <w:rPr>
                <w:rFonts w:hint="eastAsia" w:cs="Times New Roman"/>
                <w:b/>
                <w:color w:val="000000"/>
                <w:sz w:val="21"/>
                <w:lang w:val="zh-CN"/>
              </w:rPr>
              <w:t>开平市空气质量现状评价表</w:t>
            </w:r>
            <w:r>
              <w:rPr>
                <w:rFonts w:cs="Times New Roman"/>
                <w:b/>
                <w:color w:val="000000"/>
                <w:sz w:val="21"/>
                <w:lang w:val="zh-CN"/>
              </w:rPr>
              <w:t xml:space="preserve">  </w:t>
            </w:r>
            <w:r>
              <w:rPr>
                <w:rFonts w:hint="eastAsia" w:cs="Times New Roman"/>
                <w:b/>
                <w:color w:val="000000"/>
                <w:sz w:val="21"/>
                <w:lang w:val="zh-CN"/>
              </w:rPr>
              <w:t>单位：μ</w:t>
            </w:r>
            <w:r>
              <w:rPr>
                <w:rFonts w:cs="Times New Roman"/>
                <w:b/>
                <w:color w:val="000000"/>
                <w:sz w:val="21"/>
                <w:lang w:val="zh-CN"/>
              </w:rPr>
              <w:t>g/m</w:t>
            </w:r>
            <w:r>
              <w:rPr>
                <w:rFonts w:cs="Times New Roman"/>
                <w:b/>
                <w:color w:val="000000"/>
                <w:sz w:val="21"/>
                <w:vertAlign w:val="superscript"/>
                <w:lang w:val="zh-CN"/>
              </w:rPr>
              <w:t>3</w:t>
            </w:r>
            <w:r>
              <w:rPr>
                <w:rFonts w:cs="Times New Roman"/>
                <w:b/>
                <w:color w:val="000000"/>
                <w:sz w:val="21"/>
                <w:lang w:val="zh-CN"/>
              </w:rPr>
              <w:t>(</w:t>
            </w:r>
            <w:r>
              <w:rPr>
                <w:rFonts w:hint="eastAsia" w:cs="Times New Roman"/>
                <w:b/>
                <w:color w:val="000000"/>
                <w:sz w:val="21"/>
                <w:lang w:val="zh-CN"/>
              </w:rPr>
              <w:t>其中</w:t>
            </w:r>
            <w:r>
              <w:rPr>
                <w:rFonts w:cs="Times New Roman"/>
                <w:b/>
                <w:color w:val="000000"/>
                <w:sz w:val="21"/>
                <w:lang w:val="zh-CN"/>
              </w:rPr>
              <w:t>CO</w:t>
            </w:r>
            <w:r>
              <w:rPr>
                <w:rFonts w:hint="eastAsia" w:cs="Times New Roman"/>
                <w:b/>
                <w:color w:val="000000"/>
                <w:sz w:val="21"/>
                <w:lang w:val="zh-CN"/>
              </w:rPr>
              <w:t>：</w:t>
            </w:r>
            <w:r>
              <w:rPr>
                <w:rFonts w:cs="Times New Roman"/>
                <w:b/>
                <w:color w:val="000000"/>
                <w:sz w:val="21"/>
                <w:lang w:val="zh-CN"/>
              </w:rPr>
              <w:t>mg/m</w:t>
            </w:r>
            <w:r>
              <w:rPr>
                <w:rFonts w:cs="Times New Roman"/>
                <w:b/>
                <w:color w:val="000000"/>
                <w:sz w:val="21"/>
                <w:vertAlign w:val="superscript"/>
                <w:lang w:val="zh-CN"/>
              </w:rPr>
              <w:t>3</w:t>
            </w:r>
            <w:r>
              <w:rPr>
                <w:rFonts w:cs="Times New Roman"/>
                <w:b/>
                <w:color w:val="000000"/>
                <w:sz w:val="21"/>
                <w:lang w:val="zh-CN"/>
              </w:rPr>
              <w:t>)</w:t>
            </w:r>
          </w:p>
          <w:tbl>
            <w:tblPr>
              <w:tblStyle w:val="3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6"/>
              <w:gridCol w:w="1985"/>
              <w:gridCol w:w="1301"/>
              <w:gridCol w:w="1481"/>
              <w:gridCol w:w="1481"/>
              <w:gridCol w:w="14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污染物</w:t>
                  </w:r>
                </w:p>
              </w:tc>
              <w:tc>
                <w:tcPr>
                  <w:tcW w:w="198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年评价指标</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现状浓度</w:t>
                  </w:r>
                  <w:r>
                    <w:rPr>
                      <w:rFonts w:cs="Times New Roman"/>
                      <w:color w:val="000000"/>
                      <w:kern w:val="0"/>
                      <w:sz w:val="21"/>
                      <w:szCs w:val="20"/>
                      <w:lang w:val="zh-CN"/>
                    </w:rPr>
                    <w:t>（ug/m</w:t>
                  </w:r>
                  <w:r>
                    <w:rPr>
                      <w:rFonts w:cs="Times New Roman"/>
                      <w:color w:val="000000"/>
                      <w:kern w:val="0"/>
                      <w:sz w:val="21"/>
                      <w:szCs w:val="20"/>
                      <w:vertAlign w:val="superscript"/>
                      <w:lang w:val="zh-CN"/>
                    </w:rPr>
                    <w:t>3</w:t>
                  </w:r>
                  <w:r>
                    <w:rPr>
                      <w:rFonts w:cs="Times New Roman"/>
                      <w:color w:val="000000"/>
                      <w:kern w:val="0"/>
                      <w:sz w:val="21"/>
                      <w:szCs w:val="20"/>
                      <w:lang w:val="zh-CN"/>
                    </w:rPr>
                    <w:t>）</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标准值</w:t>
                  </w:r>
                  <w:r>
                    <w:rPr>
                      <w:rFonts w:cs="Times New Roman"/>
                      <w:color w:val="000000"/>
                      <w:kern w:val="0"/>
                      <w:sz w:val="21"/>
                      <w:szCs w:val="20"/>
                      <w:lang w:val="zh-CN"/>
                    </w:rPr>
                    <w:t>（ug/m</w:t>
                  </w:r>
                  <w:r>
                    <w:rPr>
                      <w:rFonts w:cs="Times New Roman"/>
                      <w:color w:val="000000"/>
                      <w:kern w:val="0"/>
                      <w:sz w:val="21"/>
                      <w:szCs w:val="20"/>
                      <w:vertAlign w:val="superscript"/>
                      <w:lang w:val="zh-CN"/>
                    </w:rPr>
                    <w:t>3</w:t>
                  </w:r>
                  <w:r>
                    <w:rPr>
                      <w:rFonts w:cs="Times New Roman"/>
                      <w:color w:val="000000"/>
                      <w:kern w:val="0"/>
                      <w:sz w:val="21"/>
                      <w:szCs w:val="20"/>
                      <w:lang w:val="zh-CN"/>
                    </w:rPr>
                    <w:t>）</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占标率（%）</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S</w:t>
                  </w:r>
                  <w:r>
                    <w:rPr>
                      <w:rFonts w:cs="Times New Roman"/>
                      <w:kern w:val="0"/>
                      <w:sz w:val="21"/>
                      <w:szCs w:val="20"/>
                      <w:lang w:val="zh-CN"/>
                    </w:rPr>
                    <w:t>O</w:t>
                  </w:r>
                  <w:r>
                    <w:rPr>
                      <w:rFonts w:cs="Times New Roman"/>
                      <w:kern w:val="0"/>
                      <w:sz w:val="21"/>
                      <w:szCs w:val="20"/>
                      <w:vertAlign w:val="subscript"/>
                      <w:lang w:val="zh-CN"/>
                    </w:rPr>
                    <w:t>2</w:t>
                  </w:r>
                </w:p>
              </w:tc>
              <w:tc>
                <w:tcPr>
                  <w:tcW w:w="198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年平均质量浓度</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1</w:t>
                  </w:r>
                  <w:r>
                    <w:rPr>
                      <w:rFonts w:cs="Times New Roman"/>
                      <w:kern w:val="0"/>
                      <w:sz w:val="21"/>
                      <w:szCs w:val="20"/>
                      <w:lang w:val="zh-CN"/>
                    </w:rPr>
                    <w:t>1</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6</w:t>
                  </w:r>
                  <w:r>
                    <w:rPr>
                      <w:rFonts w:cs="Times New Roman"/>
                      <w:kern w:val="0"/>
                      <w:sz w:val="21"/>
                      <w:szCs w:val="20"/>
                      <w:lang w:val="zh-CN"/>
                    </w:rPr>
                    <w:t>0</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1</w:t>
                  </w:r>
                  <w:r>
                    <w:rPr>
                      <w:rFonts w:cs="Times New Roman"/>
                      <w:kern w:val="0"/>
                      <w:sz w:val="21"/>
                      <w:szCs w:val="20"/>
                      <w:lang w:val="zh-CN"/>
                    </w:rPr>
                    <w:t>8.3</w:t>
                  </w:r>
                </w:p>
              </w:tc>
              <w:tc>
                <w:tcPr>
                  <w:tcW w:w="1481" w:type="dxa"/>
                  <w:vMerge w:val="restar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N</w:t>
                  </w:r>
                  <w:r>
                    <w:rPr>
                      <w:rFonts w:cs="Times New Roman"/>
                      <w:kern w:val="0"/>
                      <w:sz w:val="21"/>
                      <w:szCs w:val="20"/>
                      <w:lang w:val="zh-CN"/>
                    </w:rPr>
                    <w:t>O</w:t>
                  </w:r>
                  <w:r>
                    <w:rPr>
                      <w:rFonts w:cs="Times New Roman"/>
                      <w:kern w:val="0"/>
                      <w:sz w:val="21"/>
                      <w:szCs w:val="20"/>
                      <w:vertAlign w:val="subscript"/>
                      <w:lang w:val="zh-CN"/>
                    </w:rPr>
                    <w:t>2</w:t>
                  </w:r>
                </w:p>
              </w:tc>
              <w:tc>
                <w:tcPr>
                  <w:tcW w:w="198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年平均质量浓度</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2</w:t>
                  </w:r>
                  <w:r>
                    <w:rPr>
                      <w:rFonts w:cs="Times New Roman"/>
                      <w:kern w:val="0"/>
                      <w:sz w:val="21"/>
                      <w:szCs w:val="20"/>
                      <w:lang w:val="zh-CN"/>
                    </w:rPr>
                    <w:t>5</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4</w:t>
                  </w:r>
                  <w:r>
                    <w:rPr>
                      <w:rFonts w:cs="Times New Roman"/>
                      <w:kern w:val="0"/>
                      <w:sz w:val="21"/>
                      <w:szCs w:val="20"/>
                      <w:lang w:val="zh-CN"/>
                    </w:rPr>
                    <w:t>0</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6</w:t>
                  </w:r>
                  <w:r>
                    <w:rPr>
                      <w:rFonts w:cs="Times New Roman"/>
                      <w:kern w:val="0"/>
                      <w:sz w:val="21"/>
                      <w:szCs w:val="20"/>
                      <w:lang w:val="zh-CN"/>
                    </w:rPr>
                    <w:t>2.5</w:t>
                  </w:r>
                </w:p>
              </w:tc>
              <w:tc>
                <w:tcPr>
                  <w:tcW w:w="1481" w:type="dxa"/>
                  <w:vMerge w:val="continue"/>
                  <w:vAlign w:val="center"/>
                </w:tcPr>
                <w:p>
                  <w:pPr>
                    <w:adjustRightInd w:val="0"/>
                    <w:snapToGrid w:val="0"/>
                    <w:spacing w:line="240" w:lineRule="auto"/>
                    <w:ind w:firstLine="0" w:firstLineChars="0"/>
                    <w:rPr>
                      <w:rFonts w:cs="Times New Roman"/>
                      <w:kern w:val="0"/>
                      <w:sz w:val="21"/>
                      <w:szCs w:val="20"/>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P</w:t>
                  </w:r>
                  <w:r>
                    <w:rPr>
                      <w:rFonts w:cs="Times New Roman"/>
                      <w:kern w:val="0"/>
                      <w:sz w:val="21"/>
                      <w:szCs w:val="20"/>
                      <w:lang w:val="zh-CN"/>
                    </w:rPr>
                    <w:t>M</w:t>
                  </w:r>
                  <w:r>
                    <w:rPr>
                      <w:rFonts w:cs="Times New Roman"/>
                      <w:kern w:val="0"/>
                      <w:sz w:val="21"/>
                      <w:szCs w:val="20"/>
                      <w:vertAlign w:val="subscript"/>
                      <w:lang w:val="zh-CN"/>
                    </w:rPr>
                    <w:t>2.5</w:t>
                  </w:r>
                </w:p>
              </w:tc>
              <w:tc>
                <w:tcPr>
                  <w:tcW w:w="198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年平均质量浓度</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5</w:t>
                  </w:r>
                  <w:r>
                    <w:rPr>
                      <w:rFonts w:cs="Times New Roman"/>
                      <w:kern w:val="0"/>
                      <w:sz w:val="21"/>
                      <w:szCs w:val="20"/>
                      <w:lang w:val="zh-CN"/>
                    </w:rPr>
                    <w:t>6</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7</w:t>
                  </w:r>
                  <w:r>
                    <w:rPr>
                      <w:rFonts w:cs="Times New Roman"/>
                      <w:kern w:val="0"/>
                      <w:sz w:val="21"/>
                      <w:szCs w:val="20"/>
                      <w:lang w:val="zh-CN"/>
                    </w:rPr>
                    <w:t>0</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8</w:t>
                  </w:r>
                  <w:r>
                    <w:rPr>
                      <w:rFonts w:cs="Times New Roman"/>
                      <w:kern w:val="0"/>
                      <w:sz w:val="21"/>
                      <w:szCs w:val="20"/>
                      <w:lang w:val="zh-CN"/>
                    </w:rPr>
                    <w:t>0</w:t>
                  </w:r>
                </w:p>
              </w:tc>
              <w:tc>
                <w:tcPr>
                  <w:tcW w:w="1481" w:type="dxa"/>
                  <w:vMerge w:val="continue"/>
                  <w:vAlign w:val="center"/>
                </w:tcPr>
                <w:p>
                  <w:pPr>
                    <w:adjustRightInd w:val="0"/>
                    <w:snapToGrid w:val="0"/>
                    <w:spacing w:line="240" w:lineRule="auto"/>
                    <w:ind w:firstLine="0" w:firstLineChars="0"/>
                    <w:rPr>
                      <w:rFonts w:cs="Times New Roman"/>
                      <w:kern w:val="0"/>
                      <w:sz w:val="21"/>
                      <w:szCs w:val="20"/>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P</w:t>
                  </w:r>
                  <w:r>
                    <w:rPr>
                      <w:rFonts w:cs="Times New Roman"/>
                      <w:kern w:val="0"/>
                      <w:sz w:val="21"/>
                      <w:szCs w:val="20"/>
                      <w:lang w:val="zh-CN"/>
                    </w:rPr>
                    <w:t>M</w:t>
                  </w:r>
                  <w:r>
                    <w:rPr>
                      <w:rFonts w:cs="Times New Roman"/>
                      <w:kern w:val="0"/>
                      <w:sz w:val="21"/>
                      <w:szCs w:val="20"/>
                      <w:vertAlign w:val="subscript"/>
                      <w:lang w:val="zh-CN"/>
                    </w:rPr>
                    <w:t>10</w:t>
                  </w:r>
                </w:p>
              </w:tc>
              <w:tc>
                <w:tcPr>
                  <w:tcW w:w="198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年平均质量浓度</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r>
                    <w:rPr>
                      <w:rFonts w:cs="Times New Roman"/>
                      <w:kern w:val="0"/>
                      <w:sz w:val="21"/>
                      <w:szCs w:val="20"/>
                      <w:lang w:val="zh-CN"/>
                    </w:rPr>
                    <w:t>0</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r>
                    <w:rPr>
                      <w:rFonts w:cs="Times New Roman"/>
                      <w:kern w:val="0"/>
                      <w:sz w:val="21"/>
                      <w:szCs w:val="20"/>
                      <w:lang w:val="zh-CN"/>
                    </w:rPr>
                    <w:t>5</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8</w:t>
                  </w:r>
                  <w:r>
                    <w:rPr>
                      <w:rFonts w:cs="Times New Roman"/>
                      <w:kern w:val="0"/>
                      <w:sz w:val="21"/>
                      <w:szCs w:val="20"/>
                      <w:lang w:val="zh-CN"/>
                    </w:rPr>
                    <w:t>5.7</w:t>
                  </w:r>
                </w:p>
              </w:tc>
              <w:tc>
                <w:tcPr>
                  <w:tcW w:w="1481" w:type="dxa"/>
                  <w:vMerge w:val="continue"/>
                  <w:vAlign w:val="center"/>
                </w:tcPr>
                <w:p>
                  <w:pPr>
                    <w:adjustRightInd w:val="0"/>
                    <w:snapToGrid w:val="0"/>
                    <w:spacing w:line="240" w:lineRule="auto"/>
                    <w:ind w:firstLine="0" w:firstLineChars="0"/>
                    <w:rPr>
                      <w:rFonts w:cs="Times New Roman"/>
                      <w:kern w:val="0"/>
                      <w:sz w:val="21"/>
                      <w:szCs w:val="20"/>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C</w:t>
                  </w:r>
                  <w:r>
                    <w:rPr>
                      <w:rFonts w:cs="Times New Roman"/>
                      <w:kern w:val="0"/>
                      <w:sz w:val="21"/>
                      <w:szCs w:val="20"/>
                      <w:lang w:val="zh-CN"/>
                    </w:rPr>
                    <w:t>O</w:t>
                  </w:r>
                </w:p>
              </w:tc>
              <w:tc>
                <w:tcPr>
                  <w:tcW w:w="198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第</w:t>
                  </w:r>
                  <w:r>
                    <w:rPr>
                      <w:rFonts w:cs="Times New Roman"/>
                      <w:color w:val="000000"/>
                      <w:spacing w:val="-62"/>
                      <w:kern w:val="0"/>
                      <w:sz w:val="21"/>
                      <w:szCs w:val="20"/>
                      <w:lang w:val="zh-CN"/>
                    </w:rPr>
                    <w:t xml:space="preserve"> </w:t>
                  </w:r>
                  <w:r>
                    <w:rPr>
                      <w:rFonts w:eastAsia="Times New Roman" w:cs="Times New Roman"/>
                      <w:color w:val="000000"/>
                      <w:spacing w:val="1"/>
                      <w:kern w:val="0"/>
                      <w:sz w:val="21"/>
                      <w:szCs w:val="20"/>
                      <w:lang w:val="zh-CN"/>
                    </w:rPr>
                    <w:t>9</w:t>
                  </w:r>
                  <w:r>
                    <w:rPr>
                      <w:rFonts w:eastAsia="Times New Roman" w:cs="Times New Roman"/>
                      <w:color w:val="000000"/>
                      <w:kern w:val="0"/>
                      <w:sz w:val="21"/>
                      <w:szCs w:val="20"/>
                      <w:lang w:val="zh-CN"/>
                    </w:rPr>
                    <w:t>5</w:t>
                  </w:r>
                  <w:r>
                    <w:rPr>
                      <w:rFonts w:eastAsia="Times New Roman" w:cs="Times New Roman"/>
                      <w:color w:val="000000"/>
                      <w:spacing w:val="-9"/>
                      <w:kern w:val="0"/>
                      <w:sz w:val="21"/>
                      <w:szCs w:val="20"/>
                      <w:lang w:val="zh-CN"/>
                    </w:rPr>
                    <w:t xml:space="preserve"> </w:t>
                  </w:r>
                  <w:r>
                    <w:rPr>
                      <w:rFonts w:cs="Times New Roman"/>
                      <w:color w:val="000000"/>
                      <w:spacing w:val="-1"/>
                      <w:kern w:val="0"/>
                      <w:sz w:val="21"/>
                      <w:szCs w:val="20"/>
                      <w:lang w:val="zh-CN"/>
                    </w:rPr>
                    <w:t>百</w:t>
                  </w:r>
                  <w:r>
                    <w:rPr>
                      <w:rFonts w:cs="Times New Roman"/>
                      <w:color w:val="000000"/>
                      <w:kern w:val="0"/>
                      <w:sz w:val="21"/>
                      <w:szCs w:val="20"/>
                      <w:lang w:val="zh-CN"/>
                    </w:rPr>
                    <w:t>分</w:t>
                  </w:r>
                  <w:r>
                    <w:rPr>
                      <w:rFonts w:cs="Times New Roman"/>
                      <w:color w:val="000000"/>
                      <w:spacing w:val="-1"/>
                      <w:kern w:val="0"/>
                      <w:sz w:val="21"/>
                      <w:szCs w:val="20"/>
                      <w:lang w:val="zh-CN"/>
                    </w:rPr>
                    <w:t>日</w:t>
                  </w:r>
                  <w:r>
                    <w:rPr>
                      <w:rFonts w:cs="Times New Roman"/>
                      <w:color w:val="000000"/>
                      <w:kern w:val="0"/>
                      <w:sz w:val="21"/>
                      <w:szCs w:val="20"/>
                      <w:lang w:val="zh-CN"/>
                    </w:rPr>
                    <w:t>均</w:t>
                  </w:r>
                  <w:r>
                    <w:rPr>
                      <w:rFonts w:cs="Times New Roman"/>
                      <w:color w:val="000000"/>
                      <w:spacing w:val="-1"/>
                      <w:kern w:val="0"/>
                      <w:sz w:val="21"/>
                      <w:szCs w:val="20"/>
                      <w:lang w:val="zh-CN"/>
                    </w:rPr>
                    <w:t>浓</w:t>
                  </w:r>
                  <w:r>
                    <w:rPr>
                      <w:rFonts w:cs="Times New Roman"/>
                      <w:color w:val="000000"/>
                      <w:kern w:val="0"/>
                      <w:sz w:val="21"/>
                      <w:szCs w:val="20"/>
                      <w:lang w:val="zh-CN"/>
                    </w:rPr>
                    <w:t>度</w:t>
                  </w:r>
                </w:p>
              </w:tc>
              <w:tc>
                <w:tcPr>
                  <w:tcW w:w="1301" w:type="dxa"/>
                  <w:vAlign w:val="center"/>
                </w:tcPr>
                <w:p>
                  <w:pPr>
                    <w:adjustRightInd w:val="0"/>
                    <w:snapToGrid w:val="0"/>
                    <w:spacing w:line="240" w:lineRule="auto"/>
                    <w:ind w:firstLine="0" w:firstLineChars="0"/>
                    <w:rPr>
                      <w:rFonts w:cs="Times New Roman"/>
                      <w:color w:val="000000"/>
                      <w:kern w:val="0"/>
                      <w:sz w:val="21"/>
                      <w:szCs w:val="20"/>
                      <w:lang w:val="zh-CN"/>
                    </w:rPr>
                  </w:pPr>
                  <w:r>
                    <w:rPr>
                      <w:rFonts w:eastAsia="Times New Roman" w:cs="Times New Roman"/>
                      <w:color w:val="000000"/>
                      <w:spacing w:val="1"/>
                      <w:kern w:val="0"/>
                      <w:sz w:val="21"/>
                      <w:szCs w:val="20"/>
                      <w:lang w:val="zh-CN"/>
                    </w:rPr>
                    <w:t>1</w:t>
                  </w:r>
                  <w:r>
                    <w:rPr>
                      <w:rFonts w:eastAsia="Times New Roman" w:cs="Times New Roman"/>
                      <w:color w:val="000000"/>
                      <w:kern w:val="0"/>
                      <w:sz w:val="21"/>
                      <w:szCs w:val="20"/>
                      <w:lang w:val="zh-CN"/>
                    </w:rPr>
                    <w:t>.</w:t>
                  </w:r>
                  <w:r>
                    <w:rPr>
                      <w:rFonts w:eastAsia="Times New Roman" w:cs="Times New Roman"/>
                      <w:color w:val="000000"/>
                      <w:spacing w:val="1"/>
                      <w:kern w:val="0"/>
                      <w:sz w:val="21"/>
                      <w:szCs w:val="20"/>
                      <w:lang w:val="zh-CN"/>
                    </w:rPr>
                    <w:t>2</w:t>
                  </w:r>
                  <w:r>
                    <w:rPr>
                      <w:rFonts w:eastAsia="Times New Roman" w:cs="Times New Roman"/>
                      <w:color w:val="000000"/>
                      <w:spacing w:val="-2"/>
                      <w:kern w:val="0"/>
                      <w:sz w:val="21"/>
                      <w:szCs w:val="20"/>
                      <w:lang w:val="zh-CN"/>
                    </w:rPr>
                    <w:t>mg</w:t>
                  </w:r>
                  <w:r>
                    <w:rPr>
                      <w:rFonts w:eastAsia="Times New Roman" w:cs="Times New Roman"/>
                      <w:color w:val="000000"/>
                      <w:kern w:val="0"/>
                      <w:sz w:val="21"/>
                      <w:szCs w:val="20"/>
                      <w:lang w:val="zh-CN"/>
                    </w:rPr>
                    <w:t>/</w:t>
                  </w:r>
                  <w:r>
                    <w:rPr>
                      <w:rFonts w:eastAsia="Times New Roman" w:cs="Times New Roman"/>
                      <w:color w:val="000000"/>
                      <w:spacing w:val="3"/>
                      <w:kern w:val="0"/>
                      <w:sz w:val="21"/>
                      <w:szCs w:val="20"/>
                      <w:lang w:val="zh-CN"/>
                    </w:rPr>
                    <w:t>m</w:t>
                  </w:r>
                  <w:r>
                    <w:rPr>
                      <w:rFonts w:eastAsia="Times New Roman" w:cs="Times New Roman"/>
                      <w:color w:val="000000"/>
                      <w:kern w:val="0"/>
                      <w:position w:val="7"/>
                      <w:sz w:val="13"/>
                      <w:szCs w:val="13"/>
                      <w:lang w:val="zh-CN"/>
                    </w:rPr>
                    <w:t>3</w:t>
                  </w:r>
                </w:p>
              </w:tc>
              <w:tc>
                <w:tcPr>
                  <w:tcW w:w="1481" w:type="dxa"/>
                  <w:vAlign w:val="center"/>
                </w:tcPr>
                <w:p>
                  <w:pPr>
                    <w:adjustRightInd w:val="0"/>
                    <w:snapToGrid w:val="0"/>
                    <w:spacing w:line="240" w:lineRule="auto"/>
                    <w:ind w:firstLine="0" w:firstLineChars="0"/>
                    <w:rPr>
                      <w:rFonts w:cs="Times New Roman"/>
                      <w:color w:val="000000"/>
                      <w:kern w:val="0"/>
                      <w:sz w:val="21"/>
                      <w:szCs w:val="20"/>
                      <w:lang w:val="zh-CN"/>
                    </w:rPr>
                  </w:pPr>
                  <w:r>
                    <w:rPr>
                      <w:rFonts w:eastAsia="Times New Roman" w:cs="Times New Roman"/>
                      <w:color w:val="000000"/>
                      <w:spacing w:val="1"/>
                      <w:kern w:val="0"/>
                      <w:sz w:val="21"/>
                      <w:szCs w:val="20"/>
                      <w:lang w:val="zh-CN"/>
                    </w:rPr>
                    <w:t>4</w:t>
                  </w:r>
                  <w:r>
                    <w:rPr>
                      <w:rFonts w:eastAsia="Times New Roman" w:cs="Times New Roman"/>
                      <w:color w:val="000000"/>
                      <w:spacing w:val="-2"/>
                      <w:kern w:val="0"/>
                      <w:sz w:val="21"/>
                      <w:szCs w:val="20"/>
                      <w:lang w:val="zh-CN"/>
                    </w:rPr>
                    <w:t>mg</w:t>
                  </w:r>
                  <w:r>
                    <w:rPr>
                      <w:rFonts w:eastAsia="Times New Roman" w:cs="Times New Roman"/>
                      <w:color w:val="000000"/>
                      <w:kern w:val="0"/>
                      <w:sz w:val="21"/>
                      <w:szCs w:val="20"/>
                      <w:lang w:val="zh-CN"/>
                    </w:rPr>
                    <w:t>/</w:t>
                  </w:r>
                  <w:r>
                    <w:rPr>
                      <w:rFonts w:eastAsia="Times New Roman" w:cs="Times New Roman"/>
                      <w:color w:val="000000"/>
                      <w:spacing w:val="3"/>
                      <w:kern w:val="0"/>
                      <w:sz w:val="21"/>
                      <w:szCs w:val="20"/>
                      <w:lang w:val="zh-CN"/>
                    </w:rPr>
                    <w:t>m</w:t>
                  </w:r>
                  <w:r>
                    <w:rPr>
                      <w:rFonts w:eastAsia="Times New Roman" w:cs="Times New Roman"/>
                      <w:color w:val="000000"/>
                      <w:kern w:val="0"/>
                      <w:position w:val="7"/>
                      <w:sz w:val="13"/>
                      <w:szCs w:val="13"/>
                      <w:lang w:val="zh-CN"/>
                    </w:rPr>
                    <w:t>3</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r>
                    <w:rPr>
                      <w:rFonts w:cs="Times New Roman"/>
                      <w:kern w:val="0"/>
                      <w:sz w:val="21"/>
                      <w:szCs w:val="20"/>
                      <w:lang w:val="zh-CN"/>
                    </w:rPr>
                    <w:t>0</w:t>
                  </w:r>
                </w:p>
              </w:tc>
              <w:tc>
                <w:tcPr>
                  <w:tcW w:w="1481" w:type="dxa"/>
                  <w:vMerge w:val="continue"/>
                  <w:vAlign w:val="center"/>
                </w:tcPr>
                <w:p>
                  <w:pPr>
                    <w:adjustRightInd w:val="0"/>
                    <w:snapToGrid w:val="0"/>
                    <w:spacing w:line="240" w:lineRule="auto"/>
                    <w:ind w:firstLine="0" w:firstLineChars="0"/>
                    <w:rPr>
                      <w:rFonts w:cs="Times New Roman"/>
                      <w:kern w:val="0"/>
                      <w:sz w:val="21"/>
                      <w:szCs w:val="20"/>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O</w:t>
                  </w:r>
                  <w:r>
                    <w:rPr>
                      <w:rFonts w:cs="Times New Roman"/>
                      <w:kern w:val="0"/>
                      <w:sz w:val="21"/>
                      <w:szCs w:val="20"/>
                      <w:vertAlign w:val="subscript"/>
                      <w:lang w:val="zh-CN"/>
                    </w:rPr>
                    <w:t>3</w:t>
                  </w:r>
                </w:p>
              </w:tc>
              <w:tc>
                <w:tcPr>
                  <w:tcW w:w="198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第</w:t>
                  </w:r>
                  <w:r>
                    <w:rPr>
                      <w:rFonts w:cs="Times New Roman"/>
                      <w:color w:val="000000"/>
                      <w:spacing w:val="-62"/>
                      <w:kern w:val="0"/>
                      <w:sz w:val="21"/>
                      <w:szCs w:val="20"/>
                      <w:lang w:val="zh-CN"/>
                    </w:rPr>
                    <w:t xml:space="preserve"> </w:t>
                  </w:r>
                  <w:r>
                    <w:rPr>
                      <w:rFonts w:eastAsia="Times New Roman" w:cs="Times New Roman"/>
                      <w:color w:val="000000"/>
                      <w:spacing w:val="1"/>
                      <w:kern w:val="0"/>
                      <w:sz w:val="21"/>
                      <w:szCs w:val="20"/>
                      <w:lang w:val="zh-CN"/>
                    </w:rPr>
                    <w:t>9</w:t>
                  </w:r>
                  <w:r>
                    <w:rPr>
                      <w:rFonts w:eastAsia="Times New Roman" w:cs="Times New Roman"/>
                      <w:color w:val="000000"/>
                      <w:kern w:val="0"/>
                      <w:sz w:val="21"/>
                      <w:szCs w:val="20"/>
                      <w:lang w:val="zh-CN"/>
                    </w:rPr>
                    <w:t>0</w:t>
                  </w:r>
                  <w:r>
                    <w:rPr>
                      <w:rFonts w:eastAsia="Times New Roman" w:cs="Times New Roman"/>
                      <w:color w:val="000000"/>
                      <w:spacing w:val="-9"/>
                      <w:kern w:val="0"/>
                      <w:sz w:val="21"/>
                      <w:szCs w:val="20"/>
                      <w:lang w:val="zh-CN"/>
                    </w:rPr>
                    <w:t xml:space="preserve"> </w:t>
                  </w:r>
                  <w:r>
                    <w:rPr>
                      <w:rFonts w:cs="Times New Roman"/>
                      <w:color w:val="000000"/>
                      <w:spacing w:val="-1"/>
                      <w:kern w:val="0"/>
                      <w:sz w:val="21"/>
                      <w:szCs w:val="20"/>
                      <w:lang w:val="zh-CN"/>
                    </w:rPr>
                    <w:t>百</w:t>
                  </w:r>
                  <w:r>
                    <w:rPr>
                      <w:rFonts w:cs="Times New Roman"/>
                      <w:color w:val="000000"/>
                      <w:kern w:val="0"/>
                      <w:sz w:val="21"/>
                      <w:szCs w:val="20"/>
                      <w:lang w:val="zh-CN"/>
                    </w:rPr>
                    <w:t>分</w:t>
                  </w:r>
                  <w:r>
                    <w:rPr>
                      <w:rFonts w:cs="Times New Roman"/>
                      <w:color w:val="000000"/>
                      <w:spacing w:val="-1"/>
                      <w:kern w:val="0"/>
                      <w:sz w:val="21"/>
                      <w:szCs w:val="20"/>
                      <w:lang w:val="zh-CN"/>
                    </w:rPr>
                    <w:t>日</w:t>
                  </w:r>
                  <w:r>
                    <w:rPr>
                      <w:rFonts w:cs="Times New Roman"/>
                      <w:color w:val="000000"/>
                      <w:kern w:val="0"/>
                      <w:sz w:val="21"/>
                      <w:szCs w:val="20"/>
                      <w:lang w:val="zh-CN"/>
                    </w:rPr>
                    <w:t>均</w:t>
                  </w:r>
                  <w:r>
                    <w:rPr>
                      <w:rFonts w:cs="Times New Roman"/>
                      <w:color w:val="000000"/>
                      <w:spacing w:val="-1"/>
                      <w:kern w:val="0"/>
                      <w:sz w:val="21"/>
                      <w:szCs w:val="20"/>
                      <w:lang w:val="zh-CN"/>
                    </w:rPr>
                    <w:t>浓</w:t>
                  </w:r>
                  <w:r>
                    <w:rPr>
                      <w:rFonts w:cs="Times New Roman"/>
                      <w:color w:val="000000"/>
                      <w:kern w:val="0"/>
                      <w:sz w:val="21"/>
                      <w:szCs w:val="20"/>
                      <w:lang w:val="zh-CN"/>
                    </w:rPr>
                    <w:t>度</w:t>
                  </w:r>
                </w:p>
              </w:tc>
              <w:tc>
                <w:tcPr>
                  <w:tcW w:w="130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1</w:t>
                  </w:r>
                  <w:r>
                    <w:rPr>
                      <w:rFonts w:cs="Times New Roman"/>
                      <w:kern w:val="0"/>
                      <w:sz w:val="21"/>
                      <w:szCs w:val="20"/>
                      <w:lang w:val="zh-CN"/>
                    </w:rPr>
                    <w:t>69</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1</w:t>
                  </w:r>
                  <w:r>
                    <w:rPr>
                      <w:rFonts w:cs="Times New Roman"/>
                      <w:kern w:val="0"/>
                      <w:sz w:val="21"/>
                      <w:szCs w:val="20"/>
                      <w:lang w:val="zh-CN"/>
                    </w:rPr>
                    <w:t>60</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1</w:t>
                  </w:r>
                  <w:r>
                    <w:rPr>
                      <w:rFonts w:cs="Times New Roman"/>
                      <w:kern w:val="0"/>
                      <w:sz w:val="21"/>
                      <w:szCs w:val="20"/>
                      <w:lang w:val="zh-CN"/>
                    </w:rPr>
                    <w:t>05.6</w:t>
                  </w:r>
                </w:p>
              </w:tc>
              <w:tc>
                <w:tcPr>
                  <w:tcW w:w="1481"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不达标</w:t>
                  </w:r>
                </w:p>
              </w:tc>
            </w:tr>
          </w:tbl>
          <w:p>
            <w:pPr>
              <w:pStyle w:val="45"/>
              <w:spacing w:beforeLines="50"/>
              <w:rPr>
                <w:b/>
                <w:bCs/>
              </w:rPr>
            </w:pPr>
            <w:r>
              <w:rPr>
                <w:rFonts w:hint="eastAsia"/>
                <w:b/>
                <w:bCs/>
              </w:rPr>
              <w:t>表</w:t>
            </w:r>
            <w:r>
              <w:rPr>
                <w:b/>
                <w:bCs/>
              </w:rPr>
              <w:t xml:space="preserve"> 3-3 </w:t>
            </w:r>
            <w:r>
              <w:rPr>
                <w:rFonts w:hint="eastAsia"/>
                <w:b/>
                <w:bCs/>
              </w:rPr>
              <w:t>开平市基本污染物环境质量现状</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2"/>
              <w:gridCol w:w="595"/>
              <w:gridCol w:w="567"/>
              <w:gridCol w:w="850"/>
              <w:gridCol w:w="1353"/>
              <w:gridCol w:w="1140"/>
              <w:gridCol w:w="1140"/>
              <w:gridCol w:w="1045"/>
              <w:gridCol w:w="850"/>
              <w:gridCol w:w="6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18" w:hRule="atLeast"/>
                <w:jc w:val="center"/>
              </w:trPr>
              <w:tc>
                <w:tcPr>
                  <w:tcW w:w="852" w:type="dxa"/>
                  <w:vMerge w:val="restart"/>
                  <w:vAlign w:val="center"/>
                </w:tcPr>
                <w:p>
                  <w:pPr>
                    <w:pStyle w:val="45"/>
                    <w:rPr>
                      <w:color w:val="000000"/>
                      <w:kern w:val="0"/>
                      <w:szCs w:val="20"/>
                      <w:lang w:val="en-US"/>
                    </w:rPr>
                  </w:pPr>
                  <w:r>
                    <w:rPr>
                      <w:rFonts w:hint="eastAsia"/>
                      <w:color w:val="000000"/>
                      <w:kern w:val="0"/>
                      <w:szCs w:val="20"/>
                      <w:lang w:val="en-US"/>
                    </w:rPr>
                    <w:t>点位</w:t>
                  </w:r>
                </w:p>
                <w:p>
                  <w:pPr>
                    <w:pStyle w:val="45"/>
                    <w:rPr>
                      <w:color w:val="000000"/>
                      <w:kern w:val="0"/>
                      <w:szCs w:val="20"/>
                      <w:lang w:val="en-US"/>
                    </w:rPr>
                  </w:pPr>
                  <w:r>
                    <w:rPr>
                      <w:rFonts w:hint="eastAsia"/>
                      <w:color w:val="000000"/>
                      <w:kern w:val="0"/>
                      <w:szCs w:val="20"/>
                      <w:lang w:val="en-US"/>
                    </w:rPr>
                    <w:t>名称</w:t>
                  </w:r>
                </w:p>
              </w:tc>
              <w:tc>
                <w:tcPr>
                  <w:tcW w:w="1162" w:type="dxa"/>
                  <w:gridSpan w:val="2"/>
                  <w:vAlign w:val="center"/>
                </w:tcPr>
                <w:p>
                  <w:pPr>
                    <w:pStyle w:val="45"/>
                    <w:rPr>
                      <w:color w:val="000000"/>
                      <w:kern w:val="0"/>
                      <w:szCs w:val="20"/>
                    </w:rPr>
                  </w:pPr>
                  <w:r>
                    <w:rPr>
                      <w:rFonts w:hint="eastAsia"/>
                      <w:color w:val="000000"/>
                      <w:kern w:val="0"/>
                      <w:szCs w:val="20"/>
                    </w:rPr>
                    <w:t>监测点坐标/</w:t>
                  </w:r>
                  <w:r>
                    <w:rPr>
                      <w:color w:val="000000"/>
                      <w:kern w:val="0"/>
                      <w:szCs w:val="20"/>
                    </w:rPr>
                    <w:t>m</w:t>
                  </w:r>
                </w:p>
              </w:tc>
              <w:tc>
                <w:tcPr>
                  <w:tcW w:w="850" w:type="dxa"/>
                  <w:vMerge w:val="restart"/>
                  <w:vAlign w:val="center"/>
                </w:tcPr>
                <w:p>
                  <w:pPr>
                    <w:pStyle w:val="45"/>
                    <w:rPr>
                      <w:color w:val="000000"/>
                      <w:kern w:val="0"/>
                      <w:szCs w:val="20"/>
                    </w:rPr>
                  </w:pPr>
                  <w:r>
                    <w:rPr>
                      <w:rFonts w:hint="eastAsia"/>
                      <w:color w:val="000000"/>
                      <w:kern w:val="0"/>
                      <w:szCs w:val="20"/>
                    </w:rPr>
                    <w:t>污染物</w:t>
                  </w:r>
                </w:p>
              </w:tc>
              <w:tc>
                <w:tcPr>
                  <w:tcW w:w="1353" w:type="dxa"/>
                  <w:vMerge w:val="restart"/>
                  <w:vAlign w:val="center"/>
                </w:tcPr>
                <w:p>
                  <w:pPr>
                    <w:pStyle w:val="45"/>
                    <w:rPr>
                      <w:color w:val="000000"/>
                      <w:kern w:val="0"/>
                      <w:szCs w:val="20"/>
                    </w:rPr>
                  </w:pPr>
                  <w:r>
                    <w:rPr>
                      <w:rFonts w:hint="eastAsia"/>
                      <w:color w:val="000000"/>
                      <w:kern w:val="0"/>
                      <w:szCs w:val="20"/>
                    </w:rPr>
                    <w:t>年评价指标</w:t>
                  </w:r>
                </w:p>
              </w:tc>
              <w:tc>
                <w:tcPr>
                  <w:tcW w:w="1140" w:type="dxa"/>
                  <w:vMerge w:val="restart"/>
                  <w:vAlign w:val="center"/>
                </w:tcPr>
                <w:p>
                  <w:pPr>
                    <w:pStyle w:val="45"/>
                    <w:rPr>
                      <w:color w:val="000000"/>
                      <w:kern w:val="0"/>
                      <w:szCs w:val="20"/>
                    </w:rPr>
                  </w:pPr>
                  <w:r>
                    <w:rPr>
                      <w:rFonts w:hint="eastAsia"/>
                      <w:color w:val="000000"/>
                      <w:kern w:val="0"/>
                      <w:szCs w:val="20"/>
                    </w:rPr>
                    <w:t>评价标准（</w:t>
                  </w:r>
                  <w:r>
                    <w:rPr>
                      <w:rFonts w:eastAsia="Times New Roman"/>
                      <w:color w:val="000000" w:themeColor="text1"/>
                      <w:spacing w:val="1"/>
                      <w:kern w:val="0"/>
                      <w:szCs w:val="20"/>
                    </w:rPr>
                    <w:t>μg</w:t>
                  </w:r>
                  <w:r>
                    <w:rPr>
                      <w:rFonts w:eastAsia="Times New Roman"/>
                      <w:color w:val="000000" w:themeColor="text1"/>
                      <w:spacing w:val="-1"/>
                      <w:kern w:val="0"/>
                      <w:szCs w:val="20"/>
                    </w:rPr>
                    <w:t>/</w:t>
                  </w:r>
                  <w:r>
                    <w:rPr>
                      <w:rFonts w:eastAsia="Times New Roman"/>
                      <w:color w:val="000000" w:themeColor="text1"/>
                      <w:spacing w:val="-2"/>
                      <w:kern w:val="0"/>
                      <w:szCs w:val="20"/>
                    </w:rPr>
                    <w:t>m</w:t>
                  </w:r>
                  <w:r>
                    <w:rPr>
                      <w:rFonts w:eastAsia="Times New Roman"/>
                      <w:color w:val="000000" w:themeColor="text1"/>
                      <w:kern w:val="0"/>
                      <w:position w:val="7"/>
                      <w:sz w:val="13"/>
                      <w:szCs w:val="13"/>
                    </w:rPr>
                    <w:t>3</w:t>
                  </w:r>
                  <w:r>
                    <w:rPr>
                      <w:rFonts w:hint="eastAsia"/>
                      <w:color w:val="000000"/>
                      <w:kern w:val="0"/>
                      <w:szCs w:val="20"/>
                    </w:rPr>
                    <w:t>）</w:t>
                  </w:r>
                </w:p>
              </w:tc>
              <w:tc>
                <w:tcPr>
                  <w:tcW w:w="1140" w:type="dxa"/>
                  <w:vMerge w:val="restart"/>
                  <w:vAlign w:val="center"/>
                </w:tcPr>
                <w:p>
                  <w:pPr>
                    <w:pStyle w:val="45"/>
                    <w:rPr>
                      <w:color w:val="000000"/>
                      <w:kern w:val="0"/>
                      <w:szCs w:val="20"/>
                    </w:rPr>
                  </w:pPr>
                  <w:r>
                    <w:rPr>
                      <w:rFonts w:hint="eastAsia"/>
                      <w:color w:val="000000"/>
                      <w:kern w:val="0"/>
                      <w:szCs w:val="20"/>
                    </w:rPr>
                    <w:t>现状浓度（</w:t>
                  </w:r>
                  <w:r>
                    <w:rPr>
                      <w:rFonts w:eastAsia="Times New Roman"/>
                      <w:color w:val="000000" w:themeColor="text1"/>
                      <w:spacing w:val="1"/>
                      <w:kern w:val="0"/>
                      <w:szCs w:val="20"/>
                    </w:rPr>
                    <w:t>μg</w:t>
                  </w:r>
                  <w:r>
                    <w:rPr>
                      <w:rFonts w:eastAsia="Times New Roman"/>
                      <w:color w:val="000000" w:themeColor="text1"/>
                      <w:spacing w:val="-1"/>
                      <w:kern w:val="0"/>
                      <w:szCs w:val="20"/>
                    </w:rPr>
                    <w:t>/</w:t>
                  </w:r>
                  <w:r>
                    <w:rPr>
                      <w:rFonts w:eastAsia="Times New Roman"/>
                      <w:color w:val="000000" w:themeColor="text1"/>
                      <w:spacing w:val="-2"/>
                      <w:kern w:val="0"/>
                      <w:szCs w:val="20"/>
                    </w:rPr>
                    <w:t>m</w:t>
                  </w:r>
                  <w:r>
                    <w:rPr>
                      <w:rFonts w:eastAsia="Times New Roman"/>
                      <w:color w:val="000000" w:themeColor="text1"/>
                      <w:kern w:val="0"/>
                      <w:position w:val="7"/>
                      <w:sz w:val="13"/>
                      <w:szCs w:val="13"/>
                    </w:rPr>
                    <w:t>3</w:t>
                  </w:r>
                  <w:r>
                    <w:rPr>
                      <w:rFonts w:hint="eastAsia"/>
                      <w:color w:val="000000"/>
                      <w:kern w:val="0"/>
                      <w:szCs w:val="20"/>
                    </w:rPr>
                    <w:t>）</w:t>
                  </w:r>
                </w:p>
              </w:tc>
              <w:tc>
                <w:tcPr>
                  <w:tcW w:w="1045" w:type="dxa"/>
                  <w:vMerge w:val="restart"/>
                  <w:vAlign w:val="center"/>
                </w:tcPr>
                <w:p>
                  <w:pPr>
                    <w:pStyle w:val="45"/>
                    <w:rPr>
                      <w:color w:val="000000"/>
                      <w:kern w:val="0"/>
                      <w:szCs w:val="20"/>
                    </w:rPr>
                  </w:pPr>
                  <w:r>
                    <w:rPr>
                      <w:rFonts w:hint="eastAsia"/>
                      <w:color w:val="000000"/>
                      <w:kern w:val="0"/>
                      <w:szCs w:val="20"/>
                    </w:rPr>
                    <w:t>最大占标率/</w:t>
                  </w:r>
                  <w:r>
                    <w:rPr>
                      <w:color w:val="000000"/>
                      <w:kern w:val="0"/>
                      <w:szCs w:val="20"/>
                    </w:rPr>
                    <w:t>%</w:t>
                  </w:r>
                </w:p>
              </w:tc>
              <w:tc>
                <w:tcPr>
                  <w:tcW w:w="850" w:type="dxa"/>
                  <w:vMerge w:val="restart"/>
                  <w:vAlign w:val="center"/>
                </w:tcPr>
                <w:p>
                  <w:pPr>
                    <w:pStyle w:val="45"/>
                    <w:rPr>
                      <w:color w:val="000000"/>
                      <w:kern w:val="0"/>
                      <w:szCs w:val="20"/>
                    </w:rPr>
                  </w:pPr>
                  <w:r>
                    <w:rPr>
                      <w:rFonts w:hint="eastAsia"/>
                      <w:color w:val="000000"/>
                      <w:kern w:val="0"/>
                      <w:szCs w:val="20"/>
                    </w:rPr>
                    <w:t>超标频率/</w:t>
                  </w:r>
                  <w:r>
                    <w:rPr>
                      <w:color w:val="000000"/>
                      <w:kern w:val="0"/>
                      <w:szCs w:val="20"/>
                    </w:rPr>
                    <w:t>%</w:t>
                  </w:r>
                </w:p>
              </w:tc>
              <w:tc>
                <w:tcPr>
                  <w:tcW w:w="668" w:type="dxa"/>
                  <w:vMerge w:val="restart"/>
                  <w:vAlign w:val="center"/>
                </w:tcPr>
                <w:p>
                  <w:pPr>
                    <w:pStyle w:val="45"/>
                    <w:rPr>
                      <w:color w:val="000000"/>
                      <w:kern w:val="0"/>
                      <w:szCs w:val="20"/>
                    </w:rPr>
                  </w:pPr>
                  <w:r>
                    <w:rPr>
                      <w:rFonts w:hint="eastAsia"/>
                      <w:color w:val="000000"/>
                      <w:kern w:val="0"/>
                      <w:szCs w:val="20"/>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852" w:type="dxa"/>
                  <w:vMerge w:val="continue"/>
                  <w:vAlign w:val="center"/>
                </w:tcPr>
                <w:p>
                  <w:pPr>
                    <w:pStyle w:val="45"/>
                    <w:rPr>
                      <w:color w:val="000000"/>
                      <w:kern w:val="0"/>
                      <w:szCs w:val="20"/>
                      <w:lang w:val="en-US"/>
                    </w:rPr>
                  </w:pPr>
                </w:p>
              </w:tc>
              <w:tc>
                <w:tcPr>
                  <w:tcW w:w="595" w:type="dxa"/>
                  <w:vAlign w:val="center"/>
                </w:tcPr>
                <w:p>
                  <w:pPr>
                    <w:pStyle w:val="45"/>
                    <w:rPr>
                      <w:color w:val="000000"/>
                      <w:kern w:val="0"/>
                      <w:szCs w:val="20"/>
                    </w:rPr>
                  </w:pPr>
                  <w:r>
                    <w:rPr>
                      <w:rFonts w:hint="eastAsia"/>
                      <w:color w:val="000000"/>
                      <w:kern w:val="0"/>
                      <w:szCs w:val="20"/>
                    </w:rPr>
                    <w:t>X</w:t>
                  </w:r>
                </w:p>
              </w:tc>
              <w:tc>
                <w:tcPr>
                  <w:tcW w:w="567" w:type="dxa"/>
                  <w:vAlign w:val="center"/>
                </w:tcPr>
                <w:p>
                  <w:pPr>
                    <w:pStyle w:val="45"/>
                    <w:rPr>
                      <w:color w:val="000000"/>
                      <w:kern w:val="0"/>
                      <w:szCs w:val="20"/>
                    </w:rPr>
                  </w:pPr>
                  <w:r>
                    <w:rPr>
                      <w:rFonts w:hint="eastAsia"/>
                      <w:color w:val="000000"/>
                      <w:kern w:val="0"/>
                      <w:szCs w:val="20"/>
                    </w:rPr>
                    <w:t>Y</w:t>
                  </w:r>
                </w:p>
              </w:tc>
              <w:tc>
                <w:tcPr>
                  <w:tcW w:w="850" w:type="dxa"/>
                  <w:vMerge w:val="continue"/>
                  <w:vAlign w:val="center"/>
                </w:tcPr>
                <w:p>
                  <w:pPr>
                    <w:pStyle w:val="45"/>
                    <w:rPr>
                      <w:color w:val="000000"/>
                      <w:kern w:val="0"/>
                      <w:szCs w:val="20"/>
                    </w:rPr>
                  </w:pPr>
                </w:p>
              </w:tc>
              <w:tc>
                <w:tcPr>
                  <w:tcW w:w="1353" w:type="dxa"/>
                  <w:vMerge w:val="continue"/>
                  <w:vAlign w:val="center"/>
                </w:tcPr>
                <w:p>
                  <w:pPr>
                    <w:pStyle w:val="45"/>
                    <w:rPr>
                      <w:color w:val="000000"/>
                      <w:kern w:val="0"/>
                      <w:szCs w:val="20"/>
                    </w:rPr>
                  </w:pPr>
                </w:p>
              </w:tc>
              <w:tc>
                <w:tcPr>
                  <w:tcW w:w="1140" w:type="dxa"/>
                  <w:vMerge w:val="continue"/>
                  <w:vAlign w:val="center"/>
                </w:tcPr>
                <w:p>
                  <w:pPr>
                    <w:pStyle w:val="45"/>
                    <w:rPr>
                      <w:color w:val="000000"/>
                      <w:kern w:val="0"/>
                      <w:szCs w:val="20"/>
                    </w:rPr>
                  </w:pPr>
                </w:p>
              </w:tc>
              <w:tc>
                <w:tcPr>
                  <w:tcW w:w="1140" w:type="dxa"/>
                  <w:vMerge w:val="continue"/>
                  <w:vAlign w:val="center"/>
                </w:tcPr>
                <w:p>
                  <w:pPr>
                    <w:pStyle w:val="45"/>
                    <w:rPr>
                      <w:color w:val="000000"/>
                      <w:kern w:val="0"/>
                      <w:szCs w:val="20"/>
                    </w:rPr>
                  </w:pPr>
                </w:p>
              </w:tc>
              <w:tc>
                <w:tcPr>
                  <w:tcW w:w="1045" w:type="dxa"/>
                  <w:vMerge w:val="continue"/>
                  <w:vAlign w:val="center"/>
                </w:tcPr>
                <w:p>
                  <w:pPr>
                    <w:pStyle w:val="45"/>
                    <w:rPr>
                      <w:color w:val="000000"/>
                      <w:kern w:val="0"/>
                      <w:szCs w:val="20"/>
                    </w:rPr>
                  </w:pPr>
                </w:p>
              </w:tc>
              <w:tc>
                <w:tcPr>
                  <w:tcW w:w="850" w:type="dxa"/>
                  <w:vMerge w:val="continue"/>
                  <w:vAlign w:val="center"/>
                </w:tcPr>
                <w:p>
                  <w:pPr>
                    <w:pStyle w:val="45"/>
                    <w:rPr>
                      <w:color w:val="000000"/>
                      <w:kern w:val="0"/>
                      <w:szCs w:val="20"/>
                    </w:rPr>
                  </w:pPr>
                </w:p>
              </w:tc>
              <w:tc>
                <w:tcPr>
                  <w:tcW w:w="668" w:type="dxa"/>
                  <w:vMerge w:val="continue"/>
                  <w:vAlign w:val="center"/>
                </w:tcPr>
                <w:p>
                  <w:pPr>
                    <w:pStyle w:val="45"/>
                    <w:rPr>
                      <w:color w:val="000000"/>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S</w:t>
                  </w:r>
                  <w:r>
                    <w:rPr>
                      <w:kern w:val="0"/>
                      <w:szCs w:val="20"/>
                    </w:rPr>
                    <w:t>O</w:t>
                  </w:r>
                  <w:r>
                    <w:rPr>
                      <w:kern w:val="0"/>
                      <w:szCs w:val="20"/>
                      <w:vertAlign w:val="subscript"/>
                    </w:rPr>
                    <w:t>2</w:t>
                  </w:r>
                </w:p>
              </w:tc>
              <w:tc>
                <w:tcPr>
                  <w:tcW w:w="1353" w:type="dxa"/>
                  <w:vAlign w:val="center"/>
                </w:tcPr>
                <w:p>
                  <w:pPr>
                    <w:pStyle w:val="45"/>
                    <w:rPr>
                      <w:color w:val="000000"/>
                      <w:kern w:val="0"/>
                      <w:szCs w:val="20"/>
                    </w:rPr>
                  </w:pPr>
                  <w:r>
                    <w:rPr>
                      <w:rFonts w:hint="eastAsia"/>
                      <w:kern w:val="0"/>
                      <w:szCs w:val="20"/>
                    </w:rPr>
                    <w:t>年平均质量浓度</w:t>
                  </w:r>
                </w:p>
              </w:tc>
              <w:tc>
                <w:tcPr>
                  <w:tcW w:w="1140" w:type="dxa"/>
                  <w:vAlign w:val="center"/>
                </w:tcPr>
                <w:p>
                  <w:pPr>
                    <w:pStyle w:val="45"/>
                    <w:rPr>
                      <w:color w:val="000000"/>
                      <w:kern w:val="0"/>
                      <w:szCs w:val="20"/>
                    </w:rPr>
                  </w:pPr>
                  <w:r>
                    <w:rPr>
                      <w:rFonts w:hint="eastAsia"/>
                      <w:kern w:val="0"/>
                      <w:szCs w:val="20"/>
                    </w:rPr>
                    <w:t>6</w:t>
                  </w:r>
                  <w:r>
                    <w:rPr>
                      <w:kern w:val="0"/>
                      <w:szCs w:val="20"/>
                    </w:rPr>
                    <w:t>0</w:t>
                  </w:r>
                </w:p>
              </w:tc>
              <w:tc>
                <w:tcPr>
                  <w:tcW w:w="1140" w:type="dxa"/>
                  <w:vAlign w:val="center"/>
                </w:tcPr>
                <w:p>
                  <w:pPr>
                    <w:pStyle w:val="45"/>
                    <w:rPr>
                      <w:color w:val="000000"/>
                      <w:kern w:val="0"/>
                      <w:szCs w:val="20"/>
                    </w:rPr>
                  </w:pPr>
                  <w:r>
                    <w:rPr>
                      <w:rFonts w:hint="eastAsia"/>
                      <w:kern w:val="0"/>
                      <w:szCs w:val="20"/>
                    </w:rPr>
                    <w:t>1</w:t>
                  </w:r>
                  <w:r>
                    <w:rPr>
                      <w:kern w:val="0"/>
                      <w:szCs w:val="20"/>
                    </w:rPr>
                    <w:t>1</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N</w:t>
                  </w:r>
                  <w:r>
                    <w:rPr>
                      <w:kern w:val="0"/>
                      <w:szCs w:val="20"/>
                    </w:rPr>
                    <w:t>O</w:t>
                  </w:r>
                  <w:r>
                    <w:rPr>
                      <w:kern w:val="0"/>
                      <w:szCs w:val="20"/>
                      <w:vertAlign w:val="subscript"/>
                    </w:rPr>
                    <w:t>2</w:t>
                  </w:r>
                </w:p>
              </w:tc>
              <w:tc>
                <w:tcPr>
                  <w:tcW w:w="1353" w:type="dxa"/>
                  <w:vAlign w:val="center"/>
                </w:tcPr>
                <w:p>
                  <w:pPr>
                    <w:pStyle w:val="45"/>
                    <w:rPr>
                      <w:color w:val="000000"/>
                      <w:kern w:val="0"/>
                      <w:szCs w:val="20"/>
                    </w:rPr>
                  </w:pPr>
                  <w:r>
                    <w:rPr>
                      <w:rFonts w:hint="eastAsia"/>
                      <w:kern w:val="0"/>
                      <w:szCs w:val="20"/>
                    </w:rPr>
                    <w:t>年平均质量浓度</w:t>
                  </w:r>
                </w:p>
              </w:tc>
              <w:tc>
                <w:tcPr>
                  <w:tcW w:w="1140" w:type="dxa"/>
                  <w:vAlign w:val="center"/>
                </w:tcPr>
                <w:p>
                  <w:pPr>
                    <w:pStyle w:val="45"/>
                    <w:rPr>
                      <w:color w:val="000000"/>
                      <w:kern w:val="0"/>
                      <w:szCs w:val="20"/>
                    </w:rPr>
                  </w:pPr>
                  <w:r>
                    <w:rPr>
                      <w:rFonts w:hint="eastAsia"/>
                      <w:kern w:val="0"/>
                      <w:szCs w:val="20"/>
                    </w:rPr>
                    <w:t>4</w:t>
                  </w:r>
                  <w:r>
                    <w:rPr>
                      <w:kern w:val="0"/>
                      <w:szCs w:val="20"/>
                    </w:rPr>
                    <w:t>0</w:t>
                  </w:r>
                </w:p>
              </w:tc>
              <w:tc>
                <w:tcPr>
                  <w:tcW w:w="1140" w:type="dxa"/>
                  <w:vAlign w:val="center"/>
                </w:tcPr>
                <w:p>
                  <w:pPr>
                    <w:pStyle w:val="45"/>
                    <w:rPr>
                      <w:color w:val="000000"/>
                      <w:kern w:val="0"/>
                      <w:szCs w:val="20"/>
                    </w:rPr>
                  </w:pPr>
                  <w:r>
                    <w:rPr>
                      <w:rFonts w:hint="eastAsia"/>
                      <w:kern w:val="0"/>
                      <w:szCs w:val="20"/>
                    </w:rPr>
                    <w:t>2</w:t>
                  </w:r>
                  <w:r>
                    <w:rPr>
                      <w:kern w:val="0"/>
                      <w:szCs w:val="20"/>
                    </w:rPr>
                    <w:t>5</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P</w:t>
                  </w:r>
                  <w:r>
                    <w:rPr>
                      <w:kern w:val="0"/>
                      <w:szCs w:val="20"/>
                    </w:rPr>
                    <w:t>M</w:t>
                  </w:r>
                  <w:r>
                    <w:rPr>
                      <w:kern w:val="0"/>
                      <w:szCs w:val="20"/>
                      <w:vertAlign w:val="subscript"/>
                    </w:rPr>
                    <w:t>2.5</w:t>
                  </w:r>
                </w:p>
              </w:tc>
              <w:tc>
                <w:tcPr>
                  <w:tcW w:w="1353" w:type="dxa"/>
                  <w:vAlign w:val="center"/>
                </w:tcPr>
                <w:p>
                  <w:pPr>
                    <w:pStyle w:val="45"/>
                    <w:rPr>
                      <w:color w:val="000000"/>
                      <w:kern w:val="0"/>
                      <w:szCs w:val="20"/>
                    </w:rPr>
                  </w:pPr>
                  <w:r>
                    <w:rPr>
                      <w:rFonts w:hint="eastAsia"/>
                      <w:kern w:val="0"/>
                      <w:szCs w:val="20"/>
                    </w:rPr>
                    <w:t>年平均质量浓度</w:t>
                  </w:r>
                </w:p>
              </w:tc>
              <w:tc>
                <w:tcPr>
                  <w:tcW w:w="1140" w:type="dxa"/>
                  <w:vAlign w:val="center"/>
                </w:tcPr>
                <w:p>
                  <w:pPr>
                    <w:pStyle w:val="45"/>
                    <w:rPr>
                      <w:color w:val="000000"/>
                      <w:kern w:val="0"/>
                      <w:szCs w:val="20"/>
                    </w:rPr>
                  </w:pPr>
                  <w:r>
                    <w:rPr>
                      <w:rFonts w:hint="eastAsia"/>
                      <w:kern w:val="0"/>
                      <w:szCs w:val="20"/>
                    </w:rPr>
                    <w:t>7</w:t>
                  </w:r>
                  <w:r>
                    <w:rPr>
                      <w:kern w:val="0"/>
                      <w:szCs w:val="20"/>
                    </w:rPr>
                    <w:t>0</w:t>
                  </w:r>
                </w:p>
              </w:tc>
              <w:tc>
                <w:tcPr>
                  <w:tcW w:w="1140" w:type="dxa"/>
                  <w:vAlign w:val="center"/>
                </w:tcPr>
                <w:p>
                  <w:pPr>
                    <w:pStyle w:val="45"/>
                    <w:rPr>
                      <w:color w:val="000000"/>
                      <w:kern w:val="0"/>
                      <w:szCs w:val="20"/>
                    </w:rPr>
                  </w:pPr>
                  <w:r>
                    <w:rPr>
                      <w:rFonts w:hint="eastAsia"/>
                      <w:kern w:val="0"/>
                      <w:szCs w:val="20"/>
                    </w:rPr>
                    <w:t>5</w:t>
                  </w:r>
                  <w:r>
                    <w:rPr>
                      <w:kern w:val="0"/>
                      <w:szCs w:val="20"/>
                    </w:rPr>
                    <w:t>6</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P</w:t>
                  </w:r>
                  <w:r>
                    <w:rPr>
                      <w:kern w:val="0"/>
                      <w:szCs w:val="20"/>
                    </w:rPr>
                    <w:t>M</w:t>
                  </w:r>
                  <w:r>
                    <w:rPr>
                      <w:kern w:val="0"/>
                      <w:szCs w:val="20"/>
                      <w:vertAlign w:val="subscript"/>
                    </w:rPr>
                    <w:t>10</w:t>
                  </w:r>
                </w:p>
              </w:tc>
              <w:tc>
                <w:tcPr>
                  <w:tcW w:w="1353" w:type="dxa"/>
                  <w:vAlign w:val="center"/>
                </w:tcPr>
                <w:p>
                  <w:pPr>
                    <w:pStyle w:val="45"/>
                    <w:rPr>
                      <w:color w:val="000000"/>
                      <w:kern w:val="0"/>
                      <w:szCs w:val="20"/>
                    </w:rPr>
                  </w:pPr>
                  <w:r>
                    <w:rPr>
                      <w:rFonts w:hint="eastAsia"/>
                      <w:kern w:val="0"/>
                      <w:szCs w:val="20"/>
                    </w:rPr>
                    <w:t>年平均质量浓度</w:t>
                  </w:r>
                </w:p>
              </w:tc>
              <w:tc>
                <w:tcPr>
                  <w:tcW w:w="1140" w:type="dxa"/>
                  <w:vAlign w:val="center"/>
                </w:tcPr>
                <w:p>
                  <w:pPr>
                    <w:pStyle w:val="45"/>
                    <w:rPr>
                      <w:color w:val="000000"/>
                      <w:kern w:val="0"/>
                      <w:szCs w:val="20"/>
                    </w:rPr>
                  </w:pPr>
                  <w:r>
                    <w:rPr>
                      <w:rFonts w:hint="eastAsia"/>
                      <w:kern w:val="0"/>
                      <w:szCs w:val="20"/>
                    </w:rPr>
                    <w:t>3</w:t>
                  </w:r>
                  <w:r>
                    <w:rPr>
                      <w:kern w:val="0"/>
                      <w:szCs w:val="20"/>
                    </w:rPr>
                    <w:t>5</w:t>
                  </w:r>
                </w:p>
              </w:tc>
              <w:tc>
                <w:tcPr>
                  <w:tcW w:w="1140" w:type="dxa"/>
                  <w:vAlign w:val="center"/>
                </w:tcPr>
                <w:p>
                  <w:pPr>
                    <w:pStyle w:val="45"/>
                    <w:rPr>
                      <w:color w:val="000000"/>
                      <w:kern w:val="0"/>
                      <w:szCs w:val="20"/>
                    </w:rPr>
                  </w:pPr>
                  <w:r>
                    <w:rPr>
                      <w:rFonts w:hint="eastAsia"/>
                      <w:kern w:val="0"/>
                      <w:szCs w:val="20"/>
                    </w:rPr>
                    <w:t>3</w:t>
                  </w:r>
                  <w:r>
                    <w:rPr>
                      <w:kern w:val="0"/>
                      <w:szCs w:val="20"/>
                    </w:rPr>
                    <w:t>0</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C</w:t>
                  </w:r>
                  <w:r>
                    <w:rPr>
                      <w:kern w:val="0"/>
                      <w:szCs w:val="20"/>
                    </w:rPr>
                    <w:t>O</w:t>
                  </w:r>
                </w:p>
              </w:tc>
              <w:tc>
                <w:tcPr>
                  <w:tcW w:w="1353" w:type="dxa"/>
                  <w:vAlign w:val="center"/>
                </w:tcPr>
                <w:p>
                  <w:pPr>
                    <w:pStyle w:val="45"/>
                    <w:rPr>
                      <w:color w:val="000000"/>
                      <w:kern w:val="0"/>
                      <w:szCs w:val="20"/>
                    </w:rPr>
                  </w:pPr>
                  <w:r>
                    <w:rPr>
                      <w:color w:val="000000"/>
                      <w:kern w:val="0"/>
                      <w:szCs w:val="20"/>
                    </w:rPr>
                    <w:t>第</w:t>
                  </w:r>
                  <w:r>
                    <w:rPr>
                      <w:color w:val="000000"/>
                      <w:spacing w:val="-62"/>
                      <w:kern w:val="0"/>
                      <w:szCs w:val="20"/>
                    </w:rPr>
                    <w:t xml:space="preserve"> </w:t>
                  </w:r>
                  <w:r>
                    <w:rPr>
                      <w:rFonts w:eastAsia="Times New Roman"/>
                      <w:color w:val="000000"/>
                      <w:spacing w:val="1"/>
                      <w:kern w:val="0"/>
                      <w:szCs w:val="20"/>
                    </w:rPr>
                    <w:t>9</w:t>
                  </w:r>
                  <w:r>
                    <w:rPr>
                      <w:rFonts w:eastAsia="Times New Roman"/>
                      <w:color w:val="000000"/>
                      <w:kern w:val="0"/>
                      <w:szCs w:val="20"/>
                    </w:rPr>
                    <w:t>5</w:t>
                  </w:r>
                  <w:r>
                    <w:rPr>
                      <w:rFonts w:eastAsia="Times New Roman"/>
                      <w:color w:val="000000"/>
                      <w:spacing w:val="-9"/>
                      <w:kern w:val="0"/>
                      <w:szCs w:val="20"/>
                    </w:rPr>
                    <w:t xml:space="preserve"> </w:t>
                  </w:r>
                  <w:r>
                    <w:rPr>
                      <w:color w:val="000000"/>
                      <w:spacing w:val="-1"/>
                      <w:kern w:val="0"/>
                      <w:szCs w:val="20"/>
                    </w:rPr>
                    <w:t>百</w:t>
                  </w:r>
                  <w:r>
                    <w:rPr>
                      <w:color w:val="000000"/>
                      <w:kern w:val="0"/>
                      <w:szCs w:val="20"/>
                    </w:rPr>
                    <w:t>分</w:t>
                  </w:r>
                  <w:r>
                    <w:rPr>
                      <w:color w:val="000000"/>
                      <w:spacing w:val="-1"/>
                      <w:kern w:val="0"/>
                      <w:szCs w:val="20"/>
                    </w:rPr>
                    <w:t>日</w:t>
                  </w:r>
                  <w:r>
                    <w:rPr>
                      <w:color w:val="000000"/>
                      <w:kern w:val="0"/>
                      <w:szCs w:val="20"/>
                    </w:rPr>
                    <w:t>均</w:t>
                  </w:r>
                  <w:r>
                    <w:rPr>
                      <w:color w:val="000000"/>
                      <w:spacing w:val="-1"/>
                      <w:kern w:val="0"/>
                      <w:szCs w:val="20"/>
                    </w:rPr>
                    <w:t>浓</w:t>
                  </w:r>
                  <w:r>
                    <w:rPr>
                      <w:color w:val="000000"/>
                      <w:kern w:val="0"/>
                      <w:szCs w:val="20"/>
                    </w:rPr>
                    <w:t>度</w:t>
                  </w:r>
                </w:p>
              </w:tc>
              <w:tc>
                <w:tcPr>
                  <w:tcW w:w="1140" w:type="dxa"/>
                  <w:vAlign w:val="center"/>
                </w:tcPr>
                <w:p>
                  <w:pPr>
                    <w:pStyle w:val="45"/>
                    <w:rPr>
                      <w:color w:val="000000"/>
                      <w:kern w:val="0"/>
                      <w:szCs w:val="20"/>
                    </w:rPr>
                  </w:pPr>
                  <w:r>
                    <w:rPr>
                      <w:rFonts w:eastAsia="Times New Roman"/>
                      <w:color w:val="000000"/>
                      <w:spacing w:val="1"/>
                      <w:kern w:val="0"/>
                      <w:szCs w:val="20"/>
                    </w:rPr>
                    <w:t>4</w:t>
                  </w:r>
                  <w:r>
                    <w:rPr>
                      <w:rFonts w:eastAsia="Times New Roman"/>
                      <w:color w:val="000000"/>
                      <w:spacing w:val="-2"/>
                      <w:kern w:val="0"/>
                      <w:szCs w:val="20"/>
                    </w:rPr>
                    <w:t>mg</w:t>
                  </w:r>
                  <w:r>
                    <w:rPr>
                      <w:rFonts w:eastAsia="Times New Roman"/>
                      <w:color w:val="000000"/>
                      <w:kern w:val="0"/>
                      <w:szCs w:val="20"/>
                    </w:rPr>
                    <w:t>/</w:t>
                  </w:r>
                  <w:r>
                    <w:rPr>
                      <w:rFonts w:eastAsia="Times New Roman"/>
                      <w:color w:val="000000"/>
                      <w:spacing w:val="3"/>
                      <w:kern w:val="0"/>
                      <w:szCs w:val="20"/>
                    </w:rPr>
                    <w:t>m</w:t>
                  </w:r>
                  <w:r>
                    <w:rPr>
                      <w:rFonts w:eastAsia="Times New Roman"/>
                      <w:color w:val="000000"/>
                      <w:kern w:val="0"/>
                      <w:position w:val="7"/>
                      <w:sz w:val="13"/>
                      <w:szCs w:val="13"/>
                    </w:rPr>
                    <w:t>3</w:t>
                  </w:r>
                </w:p>
              </w:tc>
              <w:tc>
                <w:tcPr>
                  <w:tcW w:w="1140" w:type="dxa"/>
                  <w:vAlign w:val="center"/>
                </w:tcPr>
                <w:p>
                  <w:pPr>
                    <w:pStyle w:val="45"/>
                    <w:rPr>
                      <w:color w:val="000000"/>
                      <w:kern w:val="0"/>
                      <w:szCs w:val="20"/>
                    </w:rPr>
                  </w:pPr>
                  <w:r>
                    <w:rPr>
                      <w:rFonts w:eastAsia="Times New Roman"/>
                      <w:color w:val="000000"/>
                      <w:spacing w:val="1"/>
                      <w:kern w:val="0"/>
                      <w:szCs w:val="20"/>
                    </w:rPr>
                    <w:t>1</w:t>
                  </w:r>
                  <w:r>
                    <w:rPr>
                      <w:rFonts w:eastAsia="Times New Roman"/>
                      <w:color w:val="000000"/>
                      <w:kern w:val="0"/>
                      <w:szCs w:val="20"/>
                    </w:rPr>
                    <w:t>.</w:t>
                  </w:r>
                  <w:r>
                    <w:rPr>
                      <w:rFonts w:eastAsia="Times New Roman"/>
                      <w:color w:val="000000"/>
                      <w:spacing w:val="1"/>
                      <w:kern w:val="0"/>
                      <w:szCs w:val="20"/>
                    </w:rPr>
                    <w:t>2</w:t>
                  </w:r>
                  <w:r>
                    <w:rPr>
                      <w:rFonts w:eastAsia="Times New Roman"/>
                      <w:color w:val="000000"/>
                      <w:spacing w:val="-2"/>
                      <w:kern w:val="0"/>
                      <w:szCs w:val="20"/>
                    </w:rPr>
                    <w:t>mg</w:t>
                  </w:r>
                  <w:r>
                    <w:rPr>
                      <w:rFonts w:eastAsia="Times New Roman"/>
                      <w:color w:val="000000"/>
                      <w:kern w:val="0"/>
                      <w:szCs w:val="20"/>
                    </w:rPr>
                    <w:t>/</w:t>
                  </w:r>
                  <w:r>
                    <w:rPr>
                      <w:rFonts w:eastAsia="Times New Roman"/>
                      <w:color w:val="000000"/>
                      <w:spacing w:val="3"/>
                      <w:kern w:val="0"/>
                      <w:szCs w:val="20"/>
                    </w:rPr>
                    <w:t>m</w:t>
                  </w:r>
                  <w:r>
                    <w:rPr>
                      <w:rFonts w:eastAsia="Times New Roman"/>
                      <w:color w:val="000000"/>
                      <w:kern w:val="0"/>
                      <w:position w:val="7"/>
                      <w:sz w:val="13"/>
                      <w:szCs w:val="13"/>
                    </w:rPr>
                    <w:t>3</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2" w:type="dxa"/>
                  <w:vAlign w:val="center"/>
                </w:tcPr>
                <w:p>
                  <w:pPr>
                    <w:pStyle w:val="45"/>
                    <w:rPr>
                      <w:color w:val="000000"/>
                      <w:kern w:val="0"/>
                      <w:szCs w:val="20"/>
                    </w:rPr>
                  </w:pPr>
                  <w:r>
                    <w:rPr>
                      <w:rFonts w:hint="eastAsia"/>
                      <w:color w:val="000000"/>
                      <w:kern w:val="0"/>
                      <w:szCs w:val="20"/>
                    </w:rPr>
                    <w:t>开平市</w:t>
                  </w:r>
                </w:p>
              </w:tc>
              <w:tc>
                <w:tcPr>
                  <w:tcW w:w="595" w:type="dxa"/>
                  <w:vAlign w:val="center"/>
                </w:tcPr>
                <w:p>
                  <w:pPr>
                    <w:pStyle w:val="45"/>
                    <w:rPr>
                      <w:color w:val="000000"/>
                      <w:kern w:val="0"/>
                      <w:szCs w:val="20"/>
                    </w:rPr>
                  </w:pPr>
                  <w:r>
                    <w:rPr>
                      <w:rFonts w:hint="eastAsia"/>
                      <w:color w:val="000000"/>
                      <w:kern w:val="0"/>
                      <w:szCs w:val="20"/>
                    </w:rPr>
                    <w:t>/</w:t>
                  </w:r>
                </w:p>
              </w:tc>
              <w:tc>
                <w:tcPr>
                  <w:tcW w:w="567"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kern w:val="0"/>
                      <w:szCs w:val="20"/>
                    </w:rPr>
                    <w:t>O</w:t>
                  </w:r>
                  <w:r>
                    <w:rPr>
                      <w:kern w:val="0"/>
                      <w:szCs w:val="20"/>
                      <w:vertAlign w:val="subscript"/>
                    </w:rPr>
                    <w:t>3</w:t>
                  </w:r>
                </w:p>
              </w:tc>
              <w:tc>
                <w:tcPr>
                  <w:tcW w:w="1353" w:type="dxa"/>
                  <w:vAlign w:val="center"/>
                </w:tcPr>
                <w:p>
                  <w:pPr>
                    <w:pStyle w:val="45"/>
                    <w:rPr>
                      <w:color w:val="000000"/>
                      <w:kern w:val="0"/>
                      <w:szCs w:val="20"/>
                    </w:rPr>
                  </w:pPr>
                  <w:r>
                    <w:rPr>
                      <w:color w:val="000000"/>
                      <w:kern w:val="0"/>
                      <w:szCs w:val="20"/>
                    </w:rPr>
                    <w:t>第</w:t>
                  </w:r>
                  <w:r>
                    <w:rPr>
                      <w:color w:val="000000"/>
                      <w:spacing w:val="-62"/>
                      <w:kern w:val="0"/>
                      <w:szCs w:val="20"/>
                    </w:rPr>
                    <w:t xml:space="preserve"> </w:t>
                  </w:r>
                  <w:r>
                    <w:rPr>
                      <w:rFonts w:eastAsia="Times New Roman"/>
                      <w:color w:val="000000"/>
                      <w:spacing w:val="1"/>
                      <w:kern w:val="0"/>
                      <w:szCs w:val="20"/>
                    </w:rPr>
                    <w:t>9</w:t>
                  </w:r>
                  <w:r>
                    <w:rPr>
                      <w:rFonts w:eastAsia="Times New Roman"/>
                      <w:color w:val="000000"/>
                      <w:kern w:val="0"/>
                      <w:szCs w:val="20"/>
                    </w:rPr>
                    <w:t>0</w:t>
                  </w:r>
                  <w:r>
                    <w:rPr>
                      <w:rFonts w:eastAsia="Times New Roman"/>
                      <w:color w:val="000000"/>
                      <w:spacing w:val="-9"/>
                      <w:kern w:val="0"/>
                      <w:szCs w:val="20"/>
                    </w:rPr>
                    <w:t xml:space="preserve"> </w:t>
                  </w:r>
                  <w:r>
                    <w:rPr>
                      <w:color w:val="000000"/>
                      <w:spacing w:val="-1"/>
                      <w:kern w:val="0"/>
                      <w:szCs w:val="20"/>
                    </w:rPr>
                    <w:t>百</w:t>
                  </w:r>
                  <w:r>
                    <w:rPr>
                      <w:color w:val="000000"/>
                      <w:kern w:val="0"/>
                      <w:szCs w:val="20"/>
                    </w:rPr>
                    <w:t>分</w:t>
                  </w:r>
                  <w:r>
                    <w:rPr>
                      <w:color w:val="000000"/>
                      <w:spacing w:val="-1"/>
                      <w:kern w:val="0"/>
                      <w:szCs w:val="20"/>
                    </w:rPr>
                    <w:t>日</w:t>
                  </w:r>
                  <w:r>
                    <w:rPr>
                      <w:color w:val="000000"/>
                      <w:kern w:val="0"/>
                      <w:szCs w:val="20"/>
                    </w:rPr>
                    <w:t>均</w:t>
                  </w:r>
                  <w:r>
                    <w:rPr>
                      <w:color w:val="000000"/>
                      <w:spacing w:val="-1"/>
                      <w:kern w:val="0"/>
                      <w:szCs w:val="20"/>
                    </w:rPr>
                    <w:t>浓</w:t>
                  </w:r>
                  <w:r>
                    <w:rPr>
                      <w:color w:val="000000"/>
                      <w:kern w:val="0"/>
                      <w:szCs w:val="20"/>
                    </w:rPr>
                    <w:t>度</w:t>
                  </w:r>
                </w:p>
              </w:tc>
              <w:tc>
                <w:tcPr>
                  <w:tcW w:w="1140" w:type="dxa"/>
                  <w:vAlign w:val="center"/>
                </w:tcPr>
                <w:p>
                  <w:pPr>
                    <w:pStyle w:val="45"/>
                    <w:rPr>
                      <w:color w:val="000000"/>
                      <w:kern w:val="0"/>
                      <w:szCs w:val="20"/>
                    </w:rPr>
                  </w:pPr>
                  <w:r>
                    <w:rPr>
                      <w:rFonts w:hint="eastAsia"/>
                      <w:kern w:val="0"/>
                      <w:szCs w:val="20"/>
                    </w:rPr>
                    <w:t>1</w:t>
                  </w:r>
                  <w:r>
                    <w:rPr>
                      <w:kern w:val="0"/>
                      <w:szCs w:val="20"/>
                    </w:rPr>
                    <w:t>60</w:t>
                  </w:r>
                </w:p>
              </w:tc>
              <w:tc>
                <w:tcPr>
                  <w:tcW w:w="1140" w:type="dxa"/>
                  <w:vAlign w:val="center"/>
                </w:tcPr>
                <w:p>
                  <w:pPr>
                    <w:pStyle w:val="45"/>
                    <w:rPr>
                      <w:color w:val="000000"/>
                      <w:kern w:val="0"/>
                      <w:szCs w:val="20"/>
                    </w:rPr>
                  </w:pPr>
                  <w:r>
                    <w:rPr>
                      <w:rFonts w:hint="eastAsia"/>
                      <w:kern w:val="0"/>
                      <w:szCs w:val="20"/>
                    </w:rPr>
                    <w:t>1</w:t>
                  </w:r>
                  <w:r>
                    <w:rPr>
                      <w:kern w:val="0"/>
                      <w:szCs w:val="20"/>
                    </w:rPr>
                    <w:t>69</w:t>
                  </w:r>
                </w:p>
              </w:tc>
              <w:tc>
                <w:tcPr>
                  <w:tcW w:w="1045" w:type="dxa"/>
                  <w:vAlign w:val="center"/>
                </w:tcPr>
                <w:p>
                  <w:pPr>
                    <w:pStyle w:val="45"/>
                    <w:rPr>
                      <w:color w:val="000000"/>
                      <w:kern w:val="0"/>
                      <w:szCs w:val="20"/>
                    </w:rPr>
                  </w:pPr>
                  <w:r>
                    <w:rPr>
                      <w:rFonts w:hint="eastAsia"/>
                      <w:color w:val="000000"/>
                      <w:kern w:val="0"/>
                      <w:szCs w:val="20"/>
                    </w:rPr>
                    <w:t>/</w:t>
                  </w:r>
                </w:p>
              </w:tc>
              <w:tc>
                <w:tcPr>
                  <w:tcW w:w="850" w:type="dxa"/>
                  <w:vAlign w:val="center"/>
                </w:tcPr>
                <w:p>
                  <w:pPr>
                    <w:pStyle w:val="45"/>
                    <w:rPr>
                      <w:color w:val="000000"/>
                      <w:kern w:val="0"/>
                      <w:szCs w:val="20"/>
                    </w:rPr>
                  </w:pPr>
                  <w:r>
                    <w:rPr>
                      <w:rFonts w:hint="eastAsia"/>
                      <w:color w:val="000000"/>
                      <w:kern w:val="0"/>
                      <w:szCs w:val="20"/>
                    </w:rPr>
                    <w:t>/</w:t>
                  </w:r>
                </w:p>
              </w:tc>
              <w:tc>
                <w:tcPr>
                  <w:tcW w:w="668" w:type="dxa"/>
                  <w:vAlign w:val="center"/>
                </w:tcPr>
                <w:p>
                  <w:pPr>
                    <w:pStyle w:val="45"/>
                    <w:rPr>
                      <w:color w:val="000000"/>
                      <w:kern w:val="0"/>
                      <w:szCs w:val="20"/>
                    </w:rPr>
                  </w:pPr>
                  <w:r>
                    <w:rPr>
                      <w:rFonts w:hint="eastAsia"/>
                      <w:color w:val="000000"/>
                      <w:kern w:val="0"/>
                      <w:szCs w:val="20"/>
                    </w:rPr>
                    <w:t>不达标</w:t>
                  </w:r>
                </w:p>
              </w:tc>
            </w:tr>
          </w:tbl>
          <w:p>
            <w:pPr>
              <w:adjustRightInd w:val="0"/>
              <w:snapToGrid w:val="0"/>
              <w:ind w:firstLine="480"/>
              <w:rPr>
                <w:rFonts w:cs="Times New Roman"/>
                <w:color w:val="000000"/>
              </w:rPr>
            </w:pPr>
            <w:r>
              <w:rPr>
                <w:rFonts w:hint="eastAsia" w:cs="Times New Roman"/>
                <w:color w:val="000000"/>
              </w:rPr>
              <w:t>由表3-1、表3-2和表3</w:t>
            </w:r>
            <w:r>
              <w:rPr>
                <w:rFonts w:cs="Times New Roman"/>
                <w:color w:val="000000"/>
              </w:rPr>
              <w:t>-3</w:t>
            </w:r>
            <w:r>
              <w:rPr>
                <w:rFonts w:hint="eastAsia" w:cs="Times New Roman"/>
                <w:color w:val="000000"/>
              </w:rPr>
              <w:t>可见，开平市环境空气质量综合指数为3.82，优良天数比例87.3%， 其中 SO</w:t>
            </w:r>
            <w:r>
              <w:rPr>
                <w:rFonts w:hint="eastAsia" w:cs="Times New Roman"/>
                <w:color w:val="000000"/>
                <w:vertAlign w:val="subscript"/>
              </w:rPr>
              <w:t>2</w:t>
            </w:r>
            <w:r>
              <w:rPr>
                <w:rFonts w:hint="eastAsia" w:cs="Times New Roman"/>
                <w:color w:val="000000"/>
              </w:rPr>
              <w:t>、NO</w:t>
            </w:r>
            <w:r>
              <w:rPr>
                <w:rFonts w:hint="eastAsia" w:cs="Times New Roman"/>
                <w:color w:val="000000"/>
                <w:vertAlign w:val="subscript"/>
              </w:rPr>
              <w:t>2</w:t>
            </w:r>
            <w:r>
              <w:rPr>
                <w:rFonts w:hint="eastAsia" w:cs="Times New Roman"/>
                <w:color w:val="000000"/>
              </w:rPr>
              <w:t>、PM</w:t>
            </w:r>
            <w:r>
              <w:rPr>
                <w:rFonts w:hint="eastAsia" w:cs="Times New Roman"/>
                <w:color w:val="000000"/>
                <w:vertAlign w:val="subscript"/>
              </w:rPr>
              <w:t>10</w:t>
            </w:r>
            <w:r>
              <w:rPr>
                <w:rFonts w:hint="eastAsia" w:cs="Times New Roman"/>
                <w:color w:val="000000"/>
              </w:rPr>
              <w:t xml:space="preserve"> 和 PM</w:t>
            </w:r>
            <w:r>
              <w:rPr>
                <w:rFonts w:hint="eastAsia" w:cs="Times New Roman"/>
                <w:color w:val="000000"/>
                <w:vertAlign w:val="subscript"/>
              </w:rPr>
              <w:t>2.5</w:t>
            </w:r>
            <w:r>
              <w:rPr>
                <w:rFonts w:hint="eastAsia" w:cs="Times New Roman"/>
                <w:color w:val="000000"/>
              </w:rPr>
              <w:t>浓度均符合年均值标准，CO的第95百分位浓度符合日均值标准，而O</w:t>
            </w:r>
            <w:r>
              <w:rPr>
                <w:rFonts w:hint="eastAsia" w:cs="Times New Roman"/>
                <w:color w:val="000000"/>
                <w:vertAlign w:val="subscript"/>
              </w:rPr>
              <w:t>3</w:t>
            </w:r>
            <w:r>
              <w:rPr>
                <w:rFonts w:hint="eastAsia" w:cs="Times New Roman"/>
                <w:color w:val="000000"/>
              </w:rPr>
              <w:t>的第90百分位浓度的统计值不能达标，说明开平市属于不达标区，主要污染物来自O</w:t>
            </w:r>
            <w:r>
              <w:rPr>
                <w:rFonts w:hint="eastAsia" w:cs="Times New Roman"/>
                <w:color w:val="000000"/>
                <w:vertAlign w:val="subscript"/>
              </w:rPr>
              <w:t>3</w:t>
            </w:r>
            <w:r>
              <w:rPr>
                <w:rFonts w:hint="eastAsia" w:cs="Times New Roman"/>
                <w:color w:val="000000"/>
              </w:rPr>
              <w:t>，环境空气质量一般。</w:t>
            </w:r>
          </w:p>
          <w:p>
            <w:pPr>
              <w:adjustRightInd w:val="0"/>
              <w:snapToGrid w:val="0"/>
              <w:ind w:firstLine="482"/>
              <w:rPr>
                <w:rFonts w:cs="Times New Roman"/>
                <w:b/>
                <w:color w:val="000000"/>
              </w:rPr>
            </w:pPr>
            <w:r>
              <w:rPr>
                <w:rFonts w:cs="Times New Roman"/>
                <w:b/>
                <w:color w:val="000000"/>
              </w:rPr>
              <w:t>环境空气污染物其他项目现状</w:t>
            </w:r>
          </w:p>
          <w:p>
            <w:pPr>
              <w:adjustRightInd w:val="0"/>
              <w:snapToGrid w:val="0"/>
              <w:ind w:firstLine="480"/>
              <w:rPr>
                <w:rFonts w:cs="Times New Roman"/>
                <w:color w:val="000000"/>
              </w:rPr>
            </w:pPr>
            <w:r>
              <w:rPr>
                <w:rFonts w:cs="Times New Roman"/>
                <w:color w:val="000000"/>
              </w:rPr>
              <w:t>本项目的环境TSP质量现状引用广东中科检测技术股份有限公司于2019年7月29日至8月5日对《开平市乐宇洁具有限公司年产卫浴洁具20万套.压铸卫浴配件20万件项目环境影响报告表》的监测数据，具体监测</w:t>
            </w:r>
            <w:r>
              <w:rPr>
                <w:rFonts w:hint="eastAsia" w:cs="Times New Roman"/>
                <w:color w:val="000000"/>
              </w:rPr>
              <w:t>情况及结果</w:t>
            </w:r>
            <w:r>
              <w:rPr>
                <w:rFonts w:cs="Times New Roman"/>
                <w:color w:val="000000"/>
              </w:rPr>
              <w:t>见下表：</w:t>
            </w:r>
          </w:p>
          <w:p>
            <w:pPr>
              <w:adjustRightInd w:val="0"/>
              <w:snapToGrid w:val="0"/>
              <w:spacing w:line="240" w:lineRule="auto"/>
              <w:ind w:firstLine="0" w:firstLineChars="0"/>
              <w:jc w:val="center"/>
              <w:rPr>
                <w:rFonts w:cs="Times New Roman"/>
                <w:b/>
                <w:color w:val="000000"/>
                <w:sz w:val="21"/>
                <w:lang w:val="zh-CN"/>
              </w:rPr>
            </w:pPr>
            <w:r>
              <w:rPr>
                <w:rFonts w:hint="eastAsia" w:cs="Times New Roman"/>
                <w:b/>
                <w:color w:val="000000"/>
                <w:sz w:val="21"/>
                <w:lang w:val="zh-CN"/>
              </w:rPr>
              <w:t>表3</w:t>
            </w:r>
            <w:r>
              <w:rPr>
                <w:rFonts w:cs="Times New Roman"/>
                <w:b/>
                <w:color w:val="000000"/>
                <w:sz w:val="21"/>
                <w:lang w:val="zh-CN"/>
              </w:rPr>
              <w:t>-4</w:t>
            </w:r>
            <w:r>
              <w:rPr>
                <w:rFonts w:hint="eastAsia" w:cs="Times New Roman"/>
                <w:b/>
                <w:color w:val="000000"/>
                <w:sz w:val="21"/>
                <w:lang w:val="zh-CN"/>
              </w:rPr>
              <w:t>其他污染物补充监测点位基本信息</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2"/>
              <w:gridCol w:w="873"/>
              <w:gridCol w:w="776"/>
              <w:gridCol w:w="1209"/>
              <w:gridCol w:w="1559"/>
              <w:gridCol w:w="1559"/>
              <w:gridCol w:w="1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dxa"/>
                  <w:vMerge w:val="restart"/>
                  <w:vAlign w:val="center"/>
                </w:tcPr>
                <w:p>
                  <w:pPr>
                    <w:pStyle w:val="45"/>
                    <w:rPr>
                      <w:kern w:val="0"/>
                      <w:szCs w:val="20"/>
                    </w:rPr>
                  </w:pPr>
                  <w:r>
                    <w:rPr>
                      <w:rFonts w:hint="eastAsia"/>
                      <w:kern w:val="0"/>
                      <w:szCs w:val="20"/>
                    </w:rPr>
                    <w:t>监测点名称</w:t>
                  </w:r>
                </w:p>
              </w:tc>
              <w:tc>
                <w:tcPr>
                  <w:tcW w:w="1649" w:type="dxa"/>
                  <w:gridSpan w:val="2"/>
                  <w:vAlign w:val="center"/>
                </w:tcPr>
                <w:p>
                  <w:pPr>
                    <w:pStyle w:val="45"/>
                    <w:rPr>
                      <w:kern w:val="0"/>
                      <w:szCs w:val="20"/>
                    </w:rPr>
                  </w:pPr>
                  <w:r>
                    <w:rPr>
                      <w:rFonts w:hint="eastAsia"/>
                      <w:kern w:val="0"/>
                      <w:szCs w:val="20"/>
                    </w:rPr>
                    <w:t>监测点坐标/</w:t>
                  </w:r>
                  <w:r>
                    <w:rPr>
                      <w:kern w:val="0"/>
                      <w:szCs w:val="20"/>
                    </w:rPr>
                    <w:t>m</w:t>
                  </w:r>
                </w:p>
              </w:tc>
              <w:tc>
                <w:tcPr>
                  <w:tcW w:w="1209" w:type="dxa"/>
                  <w:vMerge w:val="restart"/>
                  <w:vAlign w:val="center"/>
                </w:tcPr>
                <w:p>
                  <w:pPr>
                    <w:pStyle w:val="45"/>
                    <w:rPr>
                      <w:kern w:val="0"/>
                      <w:szCs w:val="20"/>
                    </w:rPr>
                  </w:pPr>
                  <w:r>
                    <w:rPr>
                      <w:rFonts w:hint="eastAsia"/>
                      <w:kern w:val="0"/>
                      <w:szCs w:val="20"/>
                    </w:rPr>
                    <w:t>监测因子</w:t>
                  </w:r>
                </w:p>
              </w:tc>
              <w:tc>
                <w:tcPr>
                  <w:tcW w:w="1559" w:type="dxa"/>
                  <w:vMerge w:val="restart"/>
                  <w:vAlign w:val="center"/>
                </w:tcPr>
                <w:p>
                  <w:pPr>
                    <w:pStyle w:val="45"/>
                    <w:rPr>
                      <w:kern w:val="0"/>
                      <w:szCs w:val="20"/>
                    </w:rPr>
                  </w:pPr>
                  <w:r>
                    <w:rPr>
                      <w:rFonts w:hint="eastAsia"/>
                      <w:kern w:val="0"/>
                      <w:szCs w:val="20"/>
                    </w:rPr>
                    <w:t>监测时段</w:t>
                  </w:r>
                </w:p>
              </w:tc>
              <w:tc>
                <w:tcPr>
                  <w:tcW w:w="1559" w:type="dxa"/>
                  <w:vMerge w:val="restart"/>
                  <w:vAlign w:val="center"/>
                </w:tcPr>
                <w:p>
                  <w:pPr>
                    <w:pStyle w:val="45"/>
                    <w:rPr>
                      <w:kern w:val="0"/>
                      <w:szCs w:val="20"/>
                    </w:rPr>
                  </w:pPr>
                  <w:r>
                    <w:rPr>
                      <w:rFonts w:hint="eastAsia"/>
                      <w:kern w:val="0"/>
                      <w:szCs w:val="20"/>
                    </w:rPr>
                    <w:t>相对厂址方位</w:t>
                  </w:r>
                </w:p>
              </w:tc>
              <w:tc>
                <w:tcPr>
                  <w:tcW w:w="1802" w:type="dxa"/>
                  <w:vMerge w:val="restart"/>
                  <w:vAlign w:val="center"/>
                </w:tcPr>
                <w:p>
                  <w:pPr>
                    <w:pStyle w:val="45"/>
                    <w:rPr>
                      <w:kern w:val="0"/>
                      <w:szCs w:val="20"/>
                    </w:rPr>
                  </w:pPr>
                  <w:r>
                    <w:rPr>
                      <w:rFonts w:hint="eastAsia"/>
                      <w:kern w:val="0"/>
                      <w:szCs w:val="20"/>
                    </w:rPr>
                    <w:t>相对厂界距离/</w:t>
                  </w:r>
                  <w:r>
                    <w:rPr>
                      <w:kern w:val="0"/>
                      <w:szCs w:val="20"/>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dxa"/>
                  <w:vMerge w:val="continue"/>
                  <w:vAlign w:val="center"/>
                </w:tcPr>
                <w:p>
                  <w:pPr>
                    <w:pStyle w:val="45"/>
                    <w:rPr>
                      <w:kern w:val="0"/>
                      <w:szCs w:val="20"/>
                    </w:rPr>
                  </w:pPr>
                </w:p>
              </w:tc>
              <w:tc>
                <w:tcPr>
                  <w:tcW w:w="873" w:type="dxa"/>
                  <w:vAlign w:val="center"/>
                </w:tcPr>
                <w:p>
                  <w:pPr>
                    <w:pStyle w:val="45"/>
                    <w:rPr>
                      <w:kern w:val="0"/>
                      <w:szCs w:val="20"/>
                    </w:rPr>
                  </w:pPr>
                  <w:r>
                    <w:rPr>
                      <w:rFonts w:hint="eastAsia"/>
                      <w:kern w:val="0"/>
                      <w:szCs w:val="20"/>
                    </w:rPr>
                    <w:t>X</w:t>
                  </w:r>
                </w:p>
              </w:tc>
              <w:tc>
                <w:tcPr>
                  <w:tcW w:w="776" w:type="dxa"/>
                  <w:vAlign w:val="center"/>
                </w:tcPr>
                <w:p>
                  <w:pPr>
                    <w:pStyle w:val="45"/>
                    <w:rPr>
                      <w:kern w:val="0"/>
                      <w:szCs w:val="20"/>
                    </w:rPr>
                  </w:pPr>
                  <w:r>
                    <w:rPr>
                      <w:rFonts w:hint="eastAsia"/>
                      <w:kern w:val="0"/>
                      <w:szCs w:val="20"/>
                    </w:rPr>
                    <w:t>Y</w:t>
                  </w:r>
                </w:p>
              </w:tc>
              <w:tc>
                <w:tcPr>
                  <w:tcW w:w="1209" w:type="dxa"/>
                  <w:vMerge w:val="continue"/>
                  <w:vAlign w:val="center"/>
                </w:tcPr>
                <w:p>
                  <w:pPr>
                    <w:pStyle w:val="45"/>
                    <w:rPr>
                      <w:kern w:val="0"/>
                      <w:szCs w:val="20"/>
                    </w:rPr>
                  </w:pPr>
                </w:p>
              </w:tc>
              <w:tc>
                <w:tcPr>
                  <w:tcW w:w="1559" w:type="dxa"/>
                  <w:vMerge w:val="continue"/>
                  <w:vAlign w:val="center"/>
                </w:tcPr>
                <w:p>
                  <w:pPr>
                    <w:pStyle w:val="45"/>
                    <w:rPr>
                      <w:kern w:val="0"/>
                      <w:szCs w:val="20"/>
                    </w:rPr>
                  </w:pPr>
                </w:p>
              </w:tc>
              <w:tc>
                <w:tcPr>
                  <w:tcW w:w="1559" w:type="dxa"/>
                  <w:vMerge w:val="continue"/>
                  <w:vAlign w:val="center"/>
                </w:tcPr>
                <w:p>
                  <w:pPr>
                    <w:pStyle w:val="45"/>
                    <w:rPr>
                      <w:kern w:val="0"/>
                      <w:szCs w:val="20"/>
                    </w:rPr>
                  </w:pPr>
                </w:p>
              </w:tc>
              <w:tc>
                <w:tcPr>
                  <w:tcW w:w="1802" w:type="dxa"/>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dxa"/>
                  <w:vAlign w:val="center"/>
                </w:tcPr>
                <w:p>
                  <w:pPr>
                    <w:pStyle w:val="45"/>
                    <w:rPr>
                      <w:kern w:val="0"/>
                      <w:szCs w:val="20"/>
                    </w:rPr>
                  </w:pPr>
                  <w:r>
                    <w:rPr>
                      <w:rFonts w:hint="eastAsia"/>
                      <w:kern w:val="0"/>
                      <w:szCs w:val="20"/>
                    </w:rPr>
                    <w:t>G1乐宇洁具有限公司</w:t>
                  </w:r>
                </w:p>
              </w:tc>
              <w:tc>
                <w:tcPr>
                  <w:tcW w:w="873" w:type="dxa"/>
                  <w:vAlign w:val="center"/>
                </w:tcPr>
                <w:p>
                  <w:pPr>
                    <w:pStyle w:val="45"/>
                    <w:rPr>
                      <w:kern w:val="0"/>
                      <w:szCs w:val="20"/>
                    </w:rPr>
                  </w:pPr>
                  <w:r>
                    <w:rPr>
                      <w:rFonts w:hint="eastAsia"/>
                      <w:kern w:val="0"/>
                      <w:szCs w:val="20"/>
                    </w:rPr>
                    <w:t>0</w:t>
                  </w:r>
                </w:p>
              </w:tc>
              <w:tc>
                <w:tcPr>
                  <w:tcW w:w="776" w:type="dxa"/>
                  <w:vAlign w:val="center"/>
                </w:tcPr>
                <w:p>
                  <w:pPr>
                    <w:pStyle w:val="45"/>
                    <w:rPr>
                      <w:kern w:val="0"/>
                      <w:szCs w:val="20"/>
                    </w:rPr>
                  </w:pPr>
                  <w:r>
                    <w:rPr>
                      <w:rFonts w:hint="eastAsia"/>
                      <w:kern w:val="0"/>
                      <w:szCs w:val="20"/>
                    </w:rPr>
                    <w:t>0</w:t>
                  </w:r>
                </w:p>
              </w:tc>
              <w:tc>
                <w:tcPr>
                  <w:tcW w:w="1209" w:type="dxa"/>
                  <w:vAlign w:val="center"/>
                </w:tcPr>
                <w:p>
                  <w:pPr>
                    <w:pStyle w:val="45"/>
                    <w:rPr>
                      <w:kern w:val="0"/>
                      <w:szCs w:val="20"/>
                    </w:rPr>
                  </w:pPr>
                  <w:r>
                    <w:rPr>
                      <w:rFonts w:hint="eastAsia"/>
                      <w:kern w:val="0"/>
                      <w:szCs w:val="20"/>
                    </w:rPr>
                    <w:t>T</w:t>
                  </w:r>
                  <w:r>
                    <w:rPr>
                      <w:kern w:val="0"/>
                      <w:szCs w:val="20"/>
                    </w:rPr>
                    <w:t>SP</w:t>
                  </w:r>
                </w:p>
              </w:tc>
              <w:tc>
                <w:tcPr>
                  <w:tcW w:w="1559" w:type="dxa"/>
                  <w:vAlign w:val="center"/>
                </w:tcPr>
                <w:p>
                  <w:pPr>
                    <w:pStyle w:val="45"/>
                    <w:rPr>
                      <w:kern w:val="0"/>
                      <w:szCs w:val="20"/>
                    </w:rPr>
                  </w:pPr>
                  <w:r>
                    <w:rPr>
                      <w:rFonts w:hint="eastAsia"/>
                      <w:kern w:val="0"/>
                      <w:szCs w:val="20"/>
                    </w:rPr>
                    <w:t>0</w:t>
                  </w:r>
                  <w:r>
                    <w:rPr>
                      <w:kern w:val="0"/>
                      <w:szCs w:val="20"/>
                    </w:rPr>
                    <w:t>0</w:t>
                  </w:r>
                  <w:r>
                    <w:rPr>
                      <w:rFonts w:hint="eastAsia"/>
                      <w:kern w:val="0"/>
                      <w:szCs w:val="20"/>
                    </w:rPr>
                    <w:t>:</w:t>
                  </w:r>
                  <w:r>
                    <w:rPr>
                      <w:kern w:val="0"/>
                      <w:szCs w:val="20"/>
                    </w:rPr>
                    <w:t>06-0</w:t>
                  </w:r>
                  <w:r>
                    <w:rPr>
                      <w:rFonts w:hint="eastAsia"/>
                      <w:kern w:val="0"/>
                      <w:szCs w:val="20"/>
                    </w:rPr>
                    <w:t>:0</w:t>
                  </w:r>
                  <w:r>
                    <w:rPr>
                      <w:kern w:val="0"/>
                      <w:szCs w:val="20"/>
                    </w:rPr>
                    <w:t>6+</w:t>
                  </w:r>
                </w:p>
              </w:tc>
              <w:tc>
                <w:tcPr>
                  <w:tcW w:w="1559" w:type="dxa"/>
                  <w:vAlign w:val="center"/>
                </w:tcPr>
                <w:p>
                  <w:pPr>
                    <w:pStyle w:val="45"/>
                    <w:rPr>
                      <w:kern w:val="0"/>
                      <w:szCs w:val="20"/>
                    </w:rPr>
                  </w:pPr>
                  <w:r>
                    <w:rPr>
                      <w:rFonts w:hint="eastAsia"/>
                      <w:kern w:val="0"/>
                      <w:szCs w:val="20"/>
                    </w:rPr>
                    <w:t>西北</w:t>
                  </w:r>
                </w:p>
              </w:tc>
              <w:tc>
                <w:tcPr>
                  <w:tcW w:w="1802" w:type="dxa"/>
                  <w:vAlign w:val="center"/>
                </w:tcPr>
                <w:p>
                  <w:pPr>
                    <w:pStyle w:val="45"/>
                    <w:rPr>
                      <w:kern w:val="0"/>
                      <w:szCs w:val="20"/>
                    </w:rPr>
                  </w:pPr>
                  <w:r>
                    <w:rPr>
                      <w:rFonts w:hint="eastAsia"/>
                      <w:kern w:val="0"/>
                      <w:szCs w:val="20"/>
                    </w:rPr>
                    <w:t>5</w:t>
                  </w:r>
                  <w:r>
                    <w:rPr>
                      <w:kern w:val="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dxa"/>
                  <w:vAlign w:val="center"/>
                </w:tcPr>
                <w:p>
                  <w:pPr>
                    <w:pStyle w:val="45"/>
                    <w:rPr>
                      <w:kern w:val="0"/>
                      <w:szCs w:val="20"/>
                    </w:rPr>
                  </w:pPr>
                  <w:r>
                    <w:rPr>
                      <w:rFonts w:hint="eastAsia"/>
                      <w:kern w:val="0"/>
                      <w:szCs w:val="20"/>
                    </w:rPr>
                    <w:t>G2居民楼</w:t>
                  </w:r>
                </w:p>
              </w:tc>
              <w:tc>
                <w:tcPr>
                  <w:tcW w:w="873" w:type="dxa"/>
                  <w:vAlign w:val="center"/>
                </w:tcPr>
                <w:p>
                  <w:pPr>
                    <w:pStyle w:val="45"/>
                    <w:rPr>
                      <w:kern w:val="0"/>
                      <w:szCs w:val="20"/>
                    </w:rPr>
                  </w:pPr>
                  <w:r>
                    <w:rPr>
                      <w:kern w:val="0"/>
                      <w:szCs w:val="20"/>
                    </w:rPr>
                    <w:t>-</w:t>
                  </w:r>
                  <w:r>
                    <w:rPr>
                      <w:rFonts w:hint="eastAsia"/>
                      <w:kern w:val="0"/>
                      <w:szCs w:val="20"/>
                    </w:rPr>
                    <w:t>6</w:t>
                  </w:r>
                  <w:r>
                    <w:rPr>
                      <w:kern w:val="0"/>
                      <w:szCs w:val="20"/>
                    </w:rPr>
                    <w:t>0</w:t>
                  </w:r>
                </w:p>
              </w:tc>
              <w:tc>
                <w:tcPr>
                  <w:tcW w:w="776" w:type="dxa"/>
                  <w:vAlign w:val="center"/>
                </w:tcPr>
                <w:p>
                  <w:pPr>
                    <w:pStyle w:val="45"/>
                    <w:rPr>
                      <w:kern w:val="0"/>
                      <w:szCs w:val="20"/>
                    </w:rPr>
                  </w:pPr>
                  <w:r>
                    <w:rPr>
                      <w:rFonts w:hint="eastAsia"/>
                      <w:kern w:val="0"/>
                      <w:szCs w:val="20"/>
                    </w:rPr>
                    <w:t>0</w:t>
                  </w:r>
                </w:p>
              </w:tc>
              <w:tc>
                <w:tcPr>
                  <w:tcW w:w="1209" w:type="dxa"/>
                  <w:vAlign w:val="center"/>
                </w:tcPr>
                <w:p>
                  <w:pPr>
                    <w:pStyle w:val="45"/>
                    <w:rPr>
                      <w:kern w:val="0"/>
                      <w:szCs w:val="20"/>
                    </w:rPr>
                  </w:pPr>
                  <w:r>
                    <w:rPr>
                      <w:rFonts w:hint="eastAsia"/>
                      <w:kern w:val="0"/>
                      <w:szCs w:val="20"/>
                    </w:rPr>
                    <w:t>T</w:t>
                  </w:r>
                  <w:r>
                    <w:rPr>
                      <w:kern w:val="0"/>
                      <w:szCs w:val="20"/>
                    </w:rPr>
                    <w:t>SP</w:t>
                  </w:r>
                </w:p>
              </w:tc>
              <w:tc>
                <w:tcPr>
                  <w:tcW w:w="1559" w:type="dxa"/>
                  <w:vAlign w:val="center"/>
                </w:tcPr>
                <w:p>
                  <w:pPr>
                    <w:pStyle w:val="45"/>
                    <w:rPr>
                      <w:kern w:val="0"/>
                      <w:szCs w:val="20"/>
                    </w:rPr>
                  </w:pPr>
                  <w:r>
                    <w:rPr>
                      <w:rFonts w:hint="eastAsia"/>
                      <w:kern w:val="0"/>
                      <w:szCs w:val="20"/>
                    </w:rPr>
                    <w:t>0</w:t>
                  </w:r>
                  <w:r>
                    <w:rPr>
                      <w:kern w:val="0"/>
                      <w:szCs w:val="20"/>
                    </w:rPr>
                    <w:t>0:15-00:15</w:t>
                  </w:r>
                </w:p>
              </w:tc>
              <w:tc>
                <w:tcPr>
                  <w:tcW w:w="1559" w:type="dxa"/>
                  <w:vAlign w:val="center"/>
                </w:tcPr>
                <w:p>
                  <w:pPr>
                    <w:pStyle w:val="45"/>
                    <w:rPr>
                      <w:kern w:val="0"/>
                      <w:szCs w:val="20"/>
                    </w:rPr>
                  </w:pPr>
                  <w:r>
                    <w:rPr>
                      <w:rFonts w:hint="eastAsia"/>
                      <w:kern w:val="0"/>
                      <w:szCs w:val="20"/>
                    </w:rPr>
                    <w:t>西北</w:t>
                  </w:r>
                </w:p>
              </w:tc>
              <w:tc>
                <w:tcPr>
                  <w:tcW w:w="1802" w:type="dxa"/>
                  <w:vAlign w:val="center"/>
                </w:tcPr>
                <w:p>
                  <w:pPr>
                    <w:pStyle w:val="45"/>
                    <w:rPr>
                      <w:kern w:val="0"/>
                      <w:szCs w:val="20"/>
                    </w:rPr>
                  </w:pPr>
                  <w:r>
                    <w:rPr>
                      <w:rFonts w:hint="eastAsia"/>
                      <w:kern w:val="0"/>
                      <w:szCs w:val="20"/>
                    </w:rPr>
                    <w:t>5</w:t>
                  </w:r>
                  <w:r>
                    <w:rPr>
                      <w:kern w:val="0"/>
                      <w:szCs w:val="20"/>
                    </w:rPr>
                    <w:t>75</w:t>
                  </w:r>
                </w:p>
              </w:tc>
            </w:tr>
          </w:tbl>
          <w:p>
            <w:pPr>
              <w:adjustRightInd w:val="0"/>
              <w:snapToGrid w:val="0"/>
              <w:spacing w:beforeLines="50" w:line="240" w:lineRule="auto"/>
              <w:ind w:firstLine="0" w:firstLineChars="0"/>
              <w:jc w:val="center"/>
              <w:rPr>
                <w:rFonts w:cs="Times New Roman"/>
                <w:b/>
                <w:color w:val="000000"/>
                <w:sz w:val="21"/>
                <w:lang w:val="zh-CN"/>
              </w:rPr>
            </w:pPr>
            <w:r>
              <w:rPr>
                <w:rFonts w:hint="eastAsia" w:cs="Times New Roman"/>
                <w:b/>
                <w:color w:val="000000"/>
                <w:sz w:val="21"/>
                <w:lang w:val="zh-CN"/>
              </w:rPr>
              <w:t>表</w:t>
            </w:r>
            <w:r>
              <w:rPr>
                <w:rFonts w:cs="Times New Roman"/>
                <w:b/>
                <w:color w:val="000000"/>
                <w:sz w:val="21"/>
                <w:lang w:val="zh-CN"/>
              </w:rPr>
              <w:t>3</w:t>
            </w:r>
            <w:r>
              <w:rPr>
                <w:rFonts w:hint="eastAsia" w:cs="Times New Roman"/>
                <w:b/>
                <w:color w:val="000000"/>
                <w:sz w:val="21"/>
                <w:lang w:val="zh-CN"/>
              </w:rPr>
              <w:t>-</w:t>
            </w:r>
            <w:r>
              <w:rPr>
                <w:rFonts w:cs="Times New Roman"/>
                <w:b/>
                <w:color w:val="000000"/>
                <w:sz w:val="21"/>
                <w:lang w:val="zh-CN"/>
              </w:rPr>
              <w:t>5</w:t>
            </w:r>
            <w:r>
              <w:rPr>
                <w:rFonts w:hint="eastAsia" w:cs="Times New Roman"/>
                <w:b/>
                <w:color w:val="000000"/>
                <w:sz w:val="21"/>
                <w:lang w:val="zh-CN"/>
              </w:rPr>
              <w:t>项目其他污染物环境质量现状（监测结果）表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61"/>
              <w:gridCol w:w="724"/>
              <w:gridCol w:w="617"/>
              <w:gridCol w:w="945"/>
              <w:gridCol w:w="847"/>
              <w:gridCol w:w="1192"/>
              <w:gridCol w:w="1471"/>
              <w:gridCol w:w="998"/>
              <w:gridCol w:w="686"/>
              <w:gridCol w:w="7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32" w:hRule="exact"/>
                <w:jc w:val="center"/>
              </w:trPr>
              <w:tc>
                <w:tcPr>
                  <w:tcW w:w="475" w:type="pct"/>
                  <w:vMerge w:val="restart"/>
                  <w:vAlign w:val="center"/>
                </w:tcPr>
                <w:p>
                  <w:pPr>
                    <w:pStyle w:val="45"/>
                    <w:rPr>
                      <w:kern w:val="0"/>
                      <w:szCs w:val="20"/>
                    </w:rPr>
                  </w:pPr>
                  <w:r>
                    <w:rPr>
                      <w:kern w:val="0"/>
                      <w:szCs w:val="20"/>
                    </w:rPr>
                    <w:t>监测 点位</w:t>
                  </w:r>
                </w:p>
              </w:tc>
              <w:tc>
                <w:tcPr>
                  <w:tcW w:w="738" w:type="pct"/>
                  <w:gridSpan w:val="2"/>
                  <w:vAlign w:val="center"/>
                </w:tcPr>
                <w:p>
                  <w:pPr>
                    <w:pStyle w:val="45"/>
                    <w:rPr>
                      <w:kern w:val="0"/>
                      <w:szCs w:val="20"/>
                    </w:rPr>
                  </w:pPr>
                  <w:r>
                    <w:rPr>
                      <w:kern w:val="0"/>
                      <w:szCs w:val="20"/>
                    </w:rPr>
                    <w:t>监测点坐标/m</w:t>
                  </w:r>
                </w:p>
              </w:tc>
              <w:tc>
                <w:tcPr>
                  <w:tcW w:w="521" w:type="pct"/>
                  <w:vMerge w:val="restart"/>
                  <w:vAlign w:val="center"/>
                </w:tcPr>
                <w:p>
                  <w:pPr>
                    <w:pStyle w:val="45"/>
                    <w:rPr>
                      <w:kern w:val="0"/>
                      <w:szCs w:val="20"/>
                    </w:rPr>
                  </w:pPr>
                  <w:r>
                    <w:rPr>
                      <w:kern w:val="0"/>
                      <w:szCs w:val="20"/>
                    </w:rPr>
                    <w:t>污染物</w:t>
                  </w:r>
                </w:p>
              </w:tc>
              <w:tc>
                <w:tcPr>
                  <w:tcW w:w="467" w:type="pct"/>
                  <w:vMerge w:val="restart"/>
                  <w:vAlign w:val="center"/>
                </w:tcPr>
                <w:p>
                  <w:pPr>
                    <w:pStyle w:val="45"/>
                    <w:rPr>
                      <w:kern w:val="0"/>
                      <w:szCs w:val="20"/>
                    </w:rPr>
                  </w:pPr>
                  <w:r>
                    <w:rPr>
                      <w:kern w:val="0"/>
                      <w:szCs w:val="20"/>
                    </w:rPr>
                    <w:t>平均</w:t>
                  </w:r>
                </w:p>
                <w:p>
                  <w:pPr>
                    <w:pStyle w:val="45"/>
                    <w:rPr>
                      <w:kern w:val="0"/>
                      <w:szCs w:val="20"/>
                    </w:rPr>
                  </w:pPr>
                  <w:r>
                    <w:rPr>
                      <w:kern w:val="0"/>
                      <w:szCs w:val="20"/>
                    </w:rPr>
                    <w:t>时间</w:t>
                  </w:r>
                </w:p>
              </w:tc>
              <w:tc>
                <w:tcPr>
                  <w:tcW w:w="657" w:type="pct"/>
                  <w:vMerge w:val="restart"/>
                  <w:vAlign w:val="center"/>
                </w:tcPr>
                <w:p>
                  <w:pPr>
                    <w:pStyle w:val="45"/>
                    <w:rPr>
                      <w:kern w:val="0"/>
                      <w:szCs w:val="20"/>
                    </w:rPr>
                  </w:pPr>
                  <w:r>
                    <w:rPr>
                      <w:kern w:val="0"/>
                      <w:szCs w:val="20"/>
                    </w:rPr>
                    <w:t>评价标准/</w:t>
                  </w:r>
                </w:p>
                <w:p>
                  <w:pPr>
                    <w:pStyle w:val="45"/>
                    <w:rPr>
                      <w:kern w:val="0"/>
                      <w:szCs w:val="20"/>
                    </w:rPr>
                  </w:pPr>
                  <w:r>
                    <w:rPr>
                      <w:kern w:val="0"/>
                      <w:szCs w:val="20"/>
                    </w:rPr>
                    <w:t>（μg/m</w:t>
                  </w:r>
                  <w:r>
                    <w:rPr>
                      <w:kern w:val="0"/>
                      <w:szCs w:val="20"/>
                      <w:vertAlign w:val="superscript"/>
                    </w:rPr>
                    <w:t>3</w:t>
                  </w:r>
                  <w:r>
                    <w:rPr>
                      <w:kern w:val="0"/>
                      <w:szCs w:val="20"/>
                    </w:rPr>
                    <w:t>）</w:t>
                  </w:r>
                </w:p>
              </w:tc>
              <w:tc>
                <w:tcPr>
                  <w:tcW w:w="811" w:type="pct"/>
                  <w:vMerge w:val="restart"/>
                  <w:vAlign w:val="center"/>
                </w:tcPr>
                <w:p>
                  <w:pPr>
                    <w:pStyle w:val="45"/>
                    <w:rPr>
                      <w:kern w:val="0"/>
                      <w:szCs w:val="20"/>
                    </w:rPr>
                  </w:pPr>
                  <w:r>
                    <w:rPr>
                      <w:kern w:val="0"/>
                      <w:szCs w:val="20"/>
                    </w:rPr>
                    <w:t>监测浓度范围/</w:t>
                  </w:r>
                </w:p>
                <w:p>
                  <w:pPr>
                    <w:pStyle w:val="45"/>
                    <w:rPr>
                      <w:kern w:val="0"/>
                      <w:szCs w:val="20"/>
                    </w:rPr>
                  </w:pPr>
                  <w:r>
                    <w:rPr>
                      <w:kern w:val="0"/>
                      <w:szCs w:val="20"/>
                    </w:rPr>
                    <w:t>（μg/m</w:t>
                  </w:r>
                  <w:r>
                    <w:rPr>
                      <w:kern w:val="0"/>
                      <w:szCs w:val="20"/>
                      <w:vertAlign w:val="superscript"/>
                    </w:rPr>
                    <w:t>3</w:t>
                  </w:r>
                  <w:r>
                    <w:rPr>
                      <w:kern w:val="0"/>
                      <w:szCs w:val="20"/>
                    </w:rPr>
                    <w:t>）</w:t>
                  </w:r>
                </w:p>
              </w:tc>
              <w:tc>
                <w:tcPr>
                  <w:tcW w:w="550" w:type="pct"/>
                  <w:vMerge w:val="restart"/>
                  <w:vAlign w:val="center"/>
                </w:tcPr>
                <w:p>
                  <w:pPr>
                    <w:pStyle w:val="45"/>
                    <w:rPr>
                      <w:kern w:val="0"/>
                      <w:szCs w:val="20"/>
                    </w:rPr>
                  </w:pPr>
                  <w:r>
                    <w:rPr>
                      <w:kern w:val="0"/>
                      <w:szCs w:val="20"/>
                    </w:rPr>
                    <w:t>最大浓度占标/%</w:t>
                  </w:r>
                </w:p>
              </w:tc>
              <w:tc>
                <w:tcPr>
                  <w:tcW w:w="378" w:type="pct"/>
                  <w:vMerge w:val="restart"/>
                  <w:vAlign w:val="center"/>
                </w:tcPr>
                <w:p>
                  <w:pPr>
                    <w:pStyle w:val="45"/>
                    <w:rPr>
                      <w:kern w:val="0"/>
                      <w:szCs w:val="20"/>
                    </w:rPr>
                  </w:pPr>
                  <w:r>
                    <w:rPr>
                      <w:kern w:val="0"/>
                      <w:szCs w:val="20"/>
                    </w:rPr>
                    <w:t>超标率/%</w:t>
                  </w:r>
                </w:p>
              </w:tc>
              <w:tc>
                <w:tcPr>
                  <w:tcW w:w="403" w:type="pct"/>
                  <w:vMerge w:val="restart"/>
                  <w:vAlign w:val="center"/>
                </w:tcPr>
                <w:p>
                  <w:pPr>
                    <w:pStyle w:val="45"/>
                    <w:rPr>
                      <w:kern w:val="0"/>
                      <w:szCs w:val="20"/>
                    </w:rPr>
                  </w:pPr>
                  <w:r>
                    <w:rPr>
                      <w:kern w:val="0"/>
                      <w:szCs w:val="20"/>
                    </w:rPr>
                    <w:t>达标 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5" w:hRule="exact"/>
                <w:jc w:val="center"/>
              </w:trPr>
              <w:tc>
                <w:tcPr>
                  <w:tcW w:w="475" w:type="pct"/>
                  <w:vMerge w:val="continue"/>
                  <w:vAlign w:val="center"/>
                </w:tcPr>
                <w:p>
                  <w:pPr>
                    <w:pStyle w:val="45"/>
                    <w:rPr>
                      <w:kern w:val="0"/>
                      <w:szCs w:val="20"/>
                    </w:rPr>
                  </w:pPr>
                </w:p>
              </w:tc>
              <w:tc>
                <w:tcPr>
                  <w:tcW w:w="399" w:type="pct"/>
                  <w:vAlign w:val="center"/>
                </w:tcPr>
                <w:p>
                  <w:pPr>
                    <w:pStyle w:val="45"/>
                    <w:rPr>
                      <w:kern w:val="0"/>
                      <w:szCs w:val="20"/>
                    </w:rPr>
                  </w:pPr>
                  <w:r>
                    <w:rPr>
                      <w:kern w:val="0"/>
                      <w:szCs w:val="20"/>
                    </w:rPr>
                    <w:t>X</w:t>
                  </w:r>
                </w:p>
              </w:tc>
              <w:tc>
                <w:tcPr>
                  <w:tcW w:w="340" w:type="pct"/>
                  <w:vAlign w:val="center"/>
                </w:tcPr>
                <w:p>
                  <w:pPr>
                    <w:pStyle w:val="45"/>
                    <w:rPr>
                      <w:kern w:val="0"/>
                      <w:szCs w:val="20"/>
                    </w:rPr>
                  </w:pPr>
                  <w:r>
                    <w:rPr>
                      <w:kern w:val="0"/>
                      <w:szCs w:val="20"/>
                    </w:rPr>
                    <w:t>Y</w:t>
                  </w:r>
                </w:p>
              </w:tc>
              <w:tc>
                <w:tcPr>
                  <w:tcW w:w="521" w:type="pct"/>
                  <w:vMerge w:val="continue"/>
                  <w:vAlign w:val="center"/>
                </w:tcPr>
                <w:p>
                  <w:pPr>
                    <w:pStyle w:val="45"/>
                    <w:rPr>
                      <w:kern w:val="0"/>
                      <w:szCs w:val="20"/>
                    </w:rPr>
                  </w:pPr>
                </w:p>
              </w:tc>
              <w:tc>
                <w:tcPr>
                  <w:tcW w:w="467" w:type="pct"/>
                  <w:vMerge w:val="continue"/>
                  <w:vAlign w:val="center"/>
                </w:tcPr>
                <w:p>
                  <w:pPr>
                    <w:pStyle w:val="45"/>
                    <w:rPr>
                      <w:kern w:val="0"/>
                      <w:szCs w:val="20"/>
                    </w:rPr>
                  </w:pPr>
                </w:p>
              </w:tc>
              <w:tc>
                <w:tcPr>
                  <w:tcW w:w="657" w:type="pct"/>
                  <w:vMerge w:val="continue"/>
                  <w:vAlign w:val="center"/>
                </w:tcPr>
                <w:p>
                  <w:pPr>
                    <w:pStyle w:val="45"/>
                    <w:rPr>
                      <w:kern w:val="0"/>
                      <w:szCs w:val="20"/>
                    </w:rPr>
                  </w:pPr>
                </w:p>
              </w:tc>
              <w:tc>
                <w:tcPr>
                  <w:tcW w:w="811" w:type="pct"/>
                  <w:vMerge w:val="continue"/>
                  <w:vAlign w:val="center"/>
                </w:tcPr>
                <w:p>
                  <w:pPr>
                    <w:pStyle w:val="45"/>
                    <w:rPr>
                      <w:kern w:val="0"/>
                      <w:szCs w:val="20"/>
                    </w:rPr>
                  </w:pPr>
                </w:p>
              </w:tc>
              <w:tc>
                <w:tcPr>
                  <w:tcW w:w="550" w:type="pct"/>
                  <w:vMerge w:val="continue"/>
                  <w:vAlign w:val="center"/>
                </w:tcPr>
                <w:p>
                  <w:pPr>
                    <w:pStyle w:val="45"/>
                    <w:rPr>
                      <w:kern w:val="0"/>
                      <w:szCs w:val="20"/>
                    </w:rPr>
                  </w:pPr>
                </w:p>
              </w:tc>
              <w:tc>
                <w:tcPr>
                  <w:tcW w:w="378" w:type="pct"/>
                  <w:vMerge w:val="continue"/>
                  <w:vAlign w:val="center"/>
                </w:tcPr>
                <w:p>
                  <w:pPr>
                    <w:pStyle w:val="45"/>
                    <w:rPr>
                      <w:kern w:val="0"/>
                      <w:szCs w:val="20"/>
                    </w:rPr>
                  </w:pPr>
                </w:p>
              </w:tc>
              <w:tc>
                <w:tcPr>
                  <w:tcW w:w="403" w:type="pct"/>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75" w:type="pct"/>
                  <w:vAlign w:val="center"/>
                </w:tcPr>
                <w:p>
                  <w:pPr>
                    <w:pStyle w:val="45"/>
                    <w:rPr>
                      <w:kern w:val="0"/>
                      <w:szCs w:val="20"/>
                    </w:rPr>
                  </w:pPr>
                  <w:r>
                    <w:rPr>
                      <w:kern w:val="0"/>
                      <w:szCs w:val="20"/>
                    </w:rPr>
                    <w:t>G1</w:t>
                  </w:r>
                  <w:r>
                    <w:rPr>
                      <w:rFonts w:hint="eastAsia"/>
                      <w:kern w:val="0"/>
                      <w:szCs w:val="20"/>
                    </w:rPr>
                    <w:t>乐宇洁具有限公司</w:t>
                  </w:r>
                </w:p>
              </w:tc>
              <w:tc>
                <w:tcPr>
                  <w:tcW w:w="399" w:type="pct"/>
                  <w:vAlign w:val="center"/>
                </w:tcPr>
                <w:p>
                  <w:pPr>
                    <w:pStyle w:val="45"/>
                    <w:rPr>
                      <w:kern w:val="0"/>
                      <w:szCs w:val="20"/>
                    </w:rPr>
                  </w:pPr>
                  <w:r>
                    <w:rPr>
                      <w:rFonts w:hint="eastAsia"/>
                      <w:kern w:val="0"/>
                      <w:szCs w:val="20"/>
                    </w:rPr>
                    <w:t>0</w:t>
                  </w:r>
                </w:p>
              </w:tc>
              <w:tc>
                <w:tcPr>
                  <w:tcW w:w="340" w:type="pct"/>
                  <w:vAlign w:val="center"/>
                </w:tcPr>
                <w:p>
                  <w:pPr>
                    <w:pStyle w:val="45"/>
                    <w:rPr>
                      <w:kern w:val="0"/>
                      <w:szCs w:val="20"/>
                    </w:rPr>
                  </w:pPr>
                  <w:r>
                    <w:rPr>
                      <w:rFonts w:hint="eastAsia"/>
                      <w:kern w:val="0"/>
                      <w:szCs w:val="20"/>
                    </w:rPr>
                    <w:t>0</w:t>
                  </w:r>
                </w:p>
              </w:tc>
              <w:tc>
                <w:tcPr>
                  <w:tcW w:w="521" w:type="pct"/>
                  <w:vAlign w:val="center"/>
                </w:tcPr>
                <w:p>
                  <w:pPr>
                    <w:pStyle w:val="45"/>
                    <w:rPr>
                      <w:kern w:val="0"/>
                      <w:szCs w:val="20"/>
                    </w:rPr>
                  </w:pPr>
                  <w:r>
                    <w:rPr>
                      <w:kern w:val="0"/>
                      <w:szCs w:val="20"/>
                    </w:rPr>
                    <w:t>TSP</w:t>
                  </w:r>
                </w:p>
              </w:tc>
              <w:tc>
                <w:tcPr>
                  <w:tcW w:w="467" w:type="pct"/>
                  <w:vAlign w:val="center"/>
                </w:tcPr>
                <w:p>
                  <w:pPr>
                    <w:pStyle w:val="45"/>
                    <w:rPr>
                      <w:kern w:val="0"/>
                      <w:szCs w:val="20"/>
                    </w:rPr>
                  </w:pPr>
                  <w:r>
                    <w:rPr>
                      <w:rFonts w:hint="eastAsia"/>
                      <w:kern w:val="0"/>
                      <w:szCs w:val="20"/>
                    </w:rPr>
                    <w:t>24小时平均</w:t>
                  </w:r>
                </w:p>
              </w:tc>
              <w:tc>
                <w:tcPr>
                  <w:tcW w:w="657" w:type="pct"/>
                  <w:vAlign w:val="center"/>
                </w:tcPr>
                <w:p>
                  <w:pPr>
                    <w:pStyle w:val="45"/>
                    <w:rPr>
                      <w:kern w:val="0"/>
                      <w:szCs w:val="20"/>
                    </w:rPr>
                  </w:pPr>
                  <w:r>
                    <w:rPr>
                      <w:kern w:val="0"/>
                      <w:szCs w:val="20"/>
                    </w:rPr>
                    <w:t>300</w:t>
                  </w:r>
                </w:p>
              </w:tc>
              <w:tc>
                <w:tcPr>
                  <w:tcW w:w="811" w:type="pct"/>
                  <w:vAlign w:val="center"/>
                </w:tcPr>
                <w:p>
                  <w:pPr>
                    <w:pStyle w:val="45"/>
                    <w:rPr>
                      <w:kern w:val="0"/>
                      <w:szCs w:val="20"/>
                    </w:rPr>
                  </w:pPr>
                  <w:r>
                    <w:rPr>
                      <w:kern w:val="0"/>
                      <w:szCs w:val="20"/>
                    </w:rPr>
                    <w:t>203～258</w:t>
                  </w:r>
                </w:p>
              </w:tc>
              <w:tc>
                <w:tcPr>
                  <w:tcW w:w="550" w:type="pct"/>
                  <w:vAlign w:val="center"/>
                </w:tcPr>
                <w:p>
                  <w:pPr>
                    <w:pStyle w:val="45"/>
                    <w:rPr>
                      <w:kern w:val="0"/>
                      <w:szCs w:val="20"/>
                    </w:rPr>
                  </w:pPr>
                  <w:r>
                    <w:rPr>
                      <w:rFonts w:hint="eastAsia"/>
                      <w:kern w:val="0"/>
                      <w:szCs w:val="20"/>
                    </w:rPr>
                    <w:t>86</w:t>
                  </w:r>
                </w:p>
              </w:tc>
              <w:tc>
                <w:tcPr>
                  <w:tcW w:w="378" w:type="pct"/>
                  <w:vAlign w:val="center"/>
                </w:tcPr>
                <w:p>
                  <w:pPr>
                    <w:pStyle w:val="45"/>
                    <w:rPr>
                      <w:kern w:val="0"/>
                      <w:szCs w:val="20"/>
                    </w:rPr>
                  </w:pPr>
                  <w:r>
                    <w:rPr>
                      <w:rFonts w:hint="eastAsia"/>
                      <w:kern w:val="0"/>
                      <w:szCs w:val="20"/>
                    </w:rPr>
                    <w:t>0</w:t>
                  </w:r>
                </w:p>
              </w:tc>
              <w:tc>
                <w:tcPr>
                  <w:tcW w:w="403" w:type="pct"/>
                  <w:vAlign w:val="center"/>
                </w:tcPr>
                <w:p>
                  <w:pPr>
                    <w:pStyle w:val="45"/>
                    <w:rPr>
                      <w:kern w:val="0"/>
                      <w:szCs w:val="20"/>
                    </w:rPr>
                  </w:pPr>
                  <w:r>
                    <w:rPr>
                      <w:rFonts w:hint="eastAsia"/>
                      <w:kern w:val="0"/>
                      <w:szCs w:val="20"/>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475" w:type="pct"/>
                  <w:vAlign w:val="center"/>
                </w:tcPr>
                <w:p>
                  <w:pPr>
                    <w:pStyle w:val="45"/>
                    <w:rPr>
                      <w:kern w:val="0"/>
                      <w:szCs w:val="20"/>
                    </w:rPr>
                  </w:pPr>
                  <w:r>
                    <w:rPr>
                      <w:kern w:val="0"/>
                      <w:szCs w:val="20"/>
                    </w:rPr>
                    <w:t>G2居民楼（龙江）</w:t>
                  </w:r>
                </w:p>
              </w:tc>
              <w:tc>
                <w:tcPr>
                  <w:tcW w:w="399" w:type="pct"/>
                  <w:vAlign w:val="center"/>
                </w:tcPr>
                <w:p>
                  <w:pPr>
                    <w:pStyle w:val="45"/>
                    <w:rPr>
                      <w:kern w:val="0"/>
                      <w:szCs w:val="20"/>
                    </w:rPr>
                  </w:pPr>
                  <w:r>
                    <w:rPr>
                      <w:kern w:val="0"/>
                      <w:szCs w:val="20"/>
                    </w:rPr>
                    <w:t>-60</w:t>
                  </w:r>
                </w:p>
              </w:tc>
              <w:tc>
                <w:tcPr>
                  <w:tcW w:w="340" w:type="pct"/>
                  <w:vAlign w:val="center"/>
                </w:tcPr>
                <w:p>
                  <w:pPr>
                    <w:pStyle w:val="45"/>
                    <w:rPr>
                      <w:kern w:val="0"/>
                      <w:szCs w:val="20"/>
                    </w:rPr>
                  </w:pPr>
                  <w:r>
                    <w:rPr>
                      <w:rFonts w:hint="eastAsia"/>
                      <w:kern w:val="0"/>
                      <w:szCs w:val="20"/>
                    </w:rPr>
                    <w:t>0</w:t>
                  </w:r>
                </w:p>
              </w:tc>
              <w:tc>
                <w:tcPr>
                  <w:tcW w:w="521" w:type="pct"/>
                  <w:vAlign w:val="center"/>
                </w:tcPr>
                <w:p>
                  <w:pPr>
                    <w:pStyle w:val="45"/>
                    <w:rPr>
                      <w:kern w:val="0"/>
                      <w:szCs w:val="20"/>
                    </w:rPr>
                  </w:pPr>
                  <w:r>
                    <w:rPr>
                      <w:kern w:val="0"/>
                      <w:szCs w:val="20"/>
                    </w:rPr>
                    <w:t>TSP</w:t>
                  </w:r>
                </w:p>
              </w:tc>
              <w:tc>
                <w:tcPr>
                  <w:tcW w:w="467" w:type="pct"/>
                  <w:vAlign w:val="center"/>
                </w:tcPr>
                <w:p>
                  <w:pPr>
                    <w:pStyle w:val="45"/>
                    <w:rPr>
                      <w:kern w:val="0"/>
                      <w:szCs w:val="20"/>
                    </w:rPr>
                  </w:pPr>
                  <w:r>
                    <w:rPr>
                      <w:rFonts w:hint="eastAsia"/>
                      <w:kern w:val="0"/>
                      <w:szCs w:val="20"/>
                    </w:rPr>
                    <w:t>24小时平均</w:t>
                  </w:r>
                </w:p>
              </w:tc>
              <w:tc>
                <w:tcPr>
                  <w:tcW w:w="657" w:type="pct"/>
                  <w:vAlign w:val="center"/>
                </w:tcPr>
                <w:p>
                  <w:pPr>
                    <w:pStyle w:val="45"/>
                    <w:rPr>
                      <w:kern w:val="0"/>
                      <w:szCs w:val="20"/>
                    </w:rPr>
                  </w:pPr>
                  <w:r>
                    <w:rPr>
                      <w:kern w:val="0"/>
                      <w:szCs w:val="20"/>
                    </w:rPr>
                    <w:t>300</w:t>
                  </w:r>
                </w:p>
              </w:tc>
              <w:tc>
                <w:tcPr>
                  <w:tcW w:w="811" w:type="pct"/>
                  <w:vAlign w:val="center"/>
                </w:tcPr>
                <w:p>
                  <w:pPr>
                    <w:pStyle w:val="45"/>
                    <w:rPr>
                      <w:kern w:val="0"/>
                      <w:szCs w:val="20"/>
                    </w:rPr>
                  </w:pPr>
                  <w:r>
                    <w:rPr>
                      <w:kern w:val="0"/>
                      <w:szCs w:val="20"/>
                    </w:rPr>
                    <w:t>146～206</w:t>
                  </w:r>
                </w:p>
              </w:tc>
              <w:tc>
                <w:tcPr>
                  <w:tcW w:w="550" w:type="pct"/>
                  <w:vAlign w:val="center"/>
                </w:tcPr>
                <w:p>
                  <w:pPr>
                    <w:pStyle w:val="45"/>
                    <w:rPr>
                      <w:kern w:val="0"/>
                      <w:szCs w:val="20"/>
                    </w:rPr>
                  </w:pPr>
                  <w:r>
                    <w:rPr>
                      <w:rFonts w:hint="eastAsia"/>
                      <w:kern w:val="0"/>
                      <w:szCs w:val="20"/>
                    </w:rPr>
                    <w:t>68.7</w:t>
                  </w:r>
                </w:p>
              </w:tc>
              <w:tc>
                <w:tcPr>
                  <w:tcW w:w="378" w:type="pct"/>
                  <w:vAlign w:val="center"/>
                </w:tcPr>
                <w:p>
                  <w:pPr>
                    <w:pStyle w:val="45"/>
                    <w:rPr>
                      <w:kern w:val="0"/>
                      <w:szCs w:val="20"/>
                    </w:rPr>
                  </w:pPr>
                  <w:r>
                    <w:rPr>
                      <w:rFonts w:hint="eastAsia"/>
                      <w:kern w:val="0"/>
                      <w:szCs w:val="20"/>
                    </w:rPr>
                    <w:t>0</w:t>
                  </w:r>
                </w:p>
              </w:tc>
              <w:tc>
                <w:tcPr>
                  <w:tcW w:w="403" w:type="pct"/>
                  <w:vAlign w:val="center"/>
                </w:tcPr>
                <w:p>
                  <w:pPr>
                    <w:pStyle w:val="45"/>
                    <w:rPr>
                      <w:kern w:val="0"/>
                      <w:szCs w:val="20"/>
                    </w:rPr>
                  </w:pPr>
                  <w:r>
                    <w:rPr>
                      <w:rFonts w:hint="eastAsia"/>
                      <w:kern w:val="0"/>
                      <w:szCs w:val="20"/>
                    </w:rPr>
                    <w:t>达标</w:t>
                  </w:r>
                </w:p>
              </w:tc>
            </w:tr>
          </w:tbl>
          <w:p>
            <w:pPr>
              <w:adjustRightInd w:val="0"/>
              <w:snapToGrid w:val="0"/>
              <w:ind w:firstLine="480"/>
              <w:rPr>
                <w:rFonts w:cs="Times New Roman"/>
                <w:color w:val="000000"/>
              </w:rPr>
            </w:pPr>
            <w:r>
              <w:rPr>
                <w:rFonts w:cs="Times New Roman"/>
                <w:color w:val="000000"/>
              </w:rPr>
              <w:t>根据监测结果，项目所在区域环境空气中TSP的24小时平均浓度值符合《环境空气质量标准》(GB3095 -2012)及其修改单（生态环境部2018年第29号）的二级标准要求。</w:t>
            </w:r>
          </w:p>
          <w:p>
            <w:pPr>
              <w:pStyle w:val="4"/>
              <w:rPr>
                <w:rFonts w:ascii="Times New Roman" w:hAnsi="Times New Roman" w:cs="Times New Roman"/>
                <w:lang w:val="zh-CN"/>
              </w:rPr>
            </w:pPr>
            <w:r>
              <w:rPr>
                <w:rFonts w:ascii="Times New Roman" w:hAnsi="Times New Roman" w:cs="Times New Roman"/>
                <w:lang w:val="zh-CN"/>
              </w:rPr>
              <w:t>3.1.2空气质量不达标区规划</w:t>
            </w:r>
          </w:p>
          <w:p>
            <w:pPr>
              <w:adjustRightInd w:val="0"/>
              <w:snapToGrid w:val="0"/>
              <w:ind w:firstLine="480"/>
              <w:rPr>
                <w:rFonts w:cs="Times New Roman"/>
                <w:color w:val="000000"/>
              </w:rPr>
            </w:pPr>
            <w:r>
              <w:rPr>
                <w:rFonts w:cs="Times New Roman"/>
                <w:color w:val="000000"/>
              </w:rPr>
              <w:t>根据《开平：铁腕治污 决战决胜污染防治攻坚战》3月12日上午，开平市召开环境保护委员会暨总河长会议，总结部署全市生态环境保护工作，动员全市上下全面压实责任，坚持问题导向、坚持铁腕治污、坚持全面达标，决战决胜污染防治攻坚战。会议传达了省第三批第五环保督察组督察江门市情况反馈会精神，江门市生态环境保护工作会议精神；通报了2018年全市环境质量状况、责任制考核情况和河长制工作情况，部署了今年生态环境工作和河长制工作任务；审议了《开平市2019年污染防治攻坚战重点工作任务清单》，《任务清单》重点难点工作不少，在产业调整方面，今年要完成主城区93家以上高污染高排放企业关停搬迁和预拌站优化布局任务，以及推动建筑陶瓷行业退出工作。能源结构调整方面，根据省下达我市2020年要完成68台每小时35蒸吨以下燃煤锅炉清洁能源改造工作，煤炭消费总量比2015年减少171万吨的任务，《任务清单》提出今年需完成35蒸吨以下燃煤锅炉清洁能源改造方案并全面启动改造工作，煤炭消费总量比2015年减少111万吨。</w:t>
            </w:r>
          </w:p>
          <w:p>
            <w:pPr>
              <w:pStyle w:val="4"/>
              <w:rPr>
                <w:rFonts w:ascii="Times New Roman" w:hAnsi="Times New Roman" w:cs="Times New Roman"/>
                <w:lang w:val="zh-CN"/>
              </w:rPr>
            </w:pPr>
            <w:r>
              <w:rPr>
                <w:rFonts w:ascii="Times New Roman" w:hAnsi="Times New Roman" w:cs="Times New Roman"/>
                <w:lang w:val="zh-CN"/>
              </w:rPr>
              <w:t>3.1.3地表水质量现状</w:t>
            </w:r>
          </w:p>
          <w:p>
            <w:pPr>
              <w:adjustRightInd w:val="0"/>
              <w:snapToGrid w:val="0"/>
              <w:ind w:firstLine="480"/>
              <w:rPr>
                <w:rFonts w:cs="Times New Roman"/>
                <w:color w:val="000000"/>
              </w:rPr>
            </w:pPr>
            <w:r>
              <w:rPr>
                <w:rFonts w:cs="Times New Roman"/>
                <w:color w:val="000000"/>
              </w:rPr>
              <w:t>项目所在地属开平市水口污水处理厂纳污范围，污水处理厂处理后排入污水处理厂东面河涌，该河涌最终进入潭江。纳污水体东面河涌执行《地表水环境质量标准》（GB3838-2002）中的III类标准，潭江执行《地表水环境质量标准》（GB3838-2002）中的II类标准。</w:t>
            </w:r>
          </w:p>
          <w:p>
            <w:pPr>
              <w:adjustRightInd w:val="0"/>
              <w:snapToGrid w:val="0"/>
              <w:ind w:firstLine="480"/>
              <w:rPr>
                <w:rFonts w:cs="Times New Roman"/>
                <w:color w:val="000000"/>
              </w:rPr>
            </w:pPr>
            <w:r>
              <w:rPr>
                <w:rFonts w:hint="eastAsia" w:cs="Times New Roman"/>
                <w:color w:val="000000"/>
              </w:rPr>
              <w:t>根据江门市生态环境局网站（http://hbj.jiangmen.gov.cn/hjzl/）公布江门市年度环境质量状况公报，本项目纳污水体潭江近三年水质情况如下：</w:t>
            </w:r>
          </w:p>
          <w:p>
            <w:pPr>
              <w:adjustRightInd w:val="0"/>
              <w:snapToGrid w:val="0"/>
              <w:ind w:firstLine="480"/>
              <w:rPr>
                <w:rFonts w:cs="Times New Roman"/>
                <w:color w:val="000000"/>
              </w:rPr>
            </w:pPr>
            <w:r>
              <w:rPr>
                <w:rFonts w:hint="eastAsia" w:cs="Times New Roman"/>
                <w:color w:val="000000"/>
              </w:rPr>
              <w:t>2016年，江门市区3个城市集中式饮用水源地水质优良，水质达标率稳定达到100%。县级以上集中式饮用水源地（包括台山城北水厂、开平大沙河水库、龙山水库及镇海水库、鹤山西江坡山、恩平锦江水库）水质达标率100%。西江干流、西海水道和潭江干流上游水质优，潭江干流中游水质良至轻度污染，江门河和潭江下游银洲湖段水质良好。江门市水污染防治行动计划地表水考核断面（包括西江的下东、布洲，潭江的牛湾、义兴、新美、苍山渡口，台城河公义、江门河上浅口、西海水道虎跳门）水质优良比例为88.9%，优于2016年度水质优良比例考核目标（≥55.6%）要求。近岸海域水质达标率100%。黄茅海、广海湾、镇海湾、上下川、海宴水质优，均符合《海水水质标准》（GB3097-1997）二类标准要求，铜鼓湾水质良好，符合三类标准要求。</w:t>
            </w:r>
          </w:p>
          <w:p>
            <w:pPr>
              <w:adjustRightInd w:val="0"/>
              <w:snapToGrid w:val="0"/>
              <w:ind w:firstLine="480"/>
              <w:rPr>
                <w:rFonts w:cs="Times New Roman"/>
                <w:color w:val="000000"/>
              </w:rPr>
            </w:pPr>
            <w:r>
              <w:rPr>
                <w:rFonts w:hint="eastAsia" w:cs="Times New Roman"/>
                <w:color w:val="000000"/>
              </w:rPr>
              <w:t>2017年，江门市区3个城市集中式饮用水源地水质优良，水质达标率稳定达到100%。县级以上集中式饮用水源地（包括恩平锦江水库、江南干渠、鹤山西江坡山、开平大沙河水库及龙山水库、台山石花山水库、板潭水库及塘田水库）水质达标率100%。</w:t>
            </w:r>
          </w:p>
          <w:p>
            <w:pPr>
              <w:adjustRightInd w:val="0"/>
              <w:snapToGrid w:val="0"/>
              <w:ind w:firstLine="480"/>
              <w:rPr>
                <w:rFonts w:cs="Times New Roman"/>
                <w:color w:val="000000"/>
              </w:rPr>
            </w:pPr>
            <w:r>
              <w:rPr>
                <w:rFonts w:hint="eastAsia" w:cs="Times New Roman"/>
                <w:color w:val="000000"/>
              </w:rPr>
              <w:t>2018年，西江干流、西海水道和省控跨地级市界河流交接断面水质优良，符合Ⅱ~Ⅲ类水质标准。江门河水质优良至轻度污染，水质类别为Ⅱ~Ⅳ类，达到水环境功能区要求；潭江干流上游水质优良，中游水质良至轻度污染为主，偶有超Ⅳ类水质，下游银洲湖段水质良至轻度污染，潭江入海口水质以优良为主。列入广东省水污染防治行动计划的9个地表水考核监测断面分别为：西江下东和布洲，西江虎跳门水道，台城河公义，潭江义兴、新美、牛湾及苍山渡口、江门河上浅口。2018年度9个监测断面水质均达标。</w:t>
            </w:r>
          </w:p>
          <w:p>
            <w:pPr>
              <w:ind w:firstLine="480"/>
              <w:rPr>
                <w:rFonts w:ascii="宋体" w:hAnsi="宋体" w:cs="宋体"/>
                <w:color w:val="000000"/>
                <w:szCs w:val="24"/>
              </w:rPr>
            </w:pPr>
            <w:r>
              <w:rPr>
                <w:rFonts w:hint="eastAsia" w:cs="Times New Roman"/>
                <w:color w:val="000000"/>
              </w:rPr>
              <w:t>从近三年年度报告可以看出，潭江水质指标不能</w:t>
            </w:r>
            <w:r>
              <w:rPr>
                <w:rFonts w:cs="Times New Roman"/>
                <w:color w:val="000000"/>
              </w:rPr>
              <w:t>满足</w:t>
            </w:r>
            <w:r>
              <w:rPr>
                <w:rFonts w:hint="eastAsia" w:cs="Times New Roman"/>
                <w:color w:val="000000"/>
              </w:rPr>
              <w:t>《地表水环境质量标准》（GB3838-2002）Ⅱ类标准限值要求</w:t>
            </w:r>
            <w:r>
              <w:rPr>
                <w:rFonts w:cs="Times New Roman"/>
                <w:color w:val="000000"/>
              </w:rPr>
              <w:t>，说明水环境质量现状一般</w:t>
            </w:r>
            <w:r>
              <w:rPr>
                <w:rFonts w:hint="eastAsia" w:cs="Times New Roman"/>
                <w:color w:val="000000"/>
              </w:rPr>
              <w:t>。</w:t>
            </w:r>
            <w:r>
              <w:rPr>
                <w:rFonts w:hint="eastAsia" w:ascii="宋体" w:hAnsi="宋体" w:cs="宋体"/>
                <w:color w:val="000000"/>
                <w:szCs w:val="24"/>
              </w:rPr>
              <w:t>根据江门市环境保护委员会，于2</w:t>
            </w:r>
            <w:r>
              <w:rPr>
                <w:rFonts w:ascii="宋体" w:hAnsi="宋体" w:cs="宋体"/>
                <w:color w:val="000000"/>
                <w:szCs w:val="24"/>
              </w:rPr>
              <w:t>019</w:t>
            </w:r>
            <w:r>
              <w:rPr>
                <w:rFonts w:hint="eastAsia" w:ascii="宋体" w:hAnsi="宋体" w:cs="宋体"/>
                <w:color w:val="000000"/>
                <w:szCs w:val="24"/>
              </w:rPr>
              <w:t>年3月1</w:t>
            </w:r>
            <w:r>
              <w:rPr>
                <w:rFonts w:ascii="宋体" w:hAnsi="宋体" w:cs="宋体"/>
                <w:color w:val="000000"/>
                <w:szCs w:val="24"/>
              </w:rPr>
              <w:t>2</w:t>
            </w:r>
            <w:r>
              <w:rPr>
                <w:rFonts w:hint="eastAsia" w:ascii="宋体" w:hAnsi="宋体" w:cs="宋体"/>
                <w:color w:val="000000"/>
                <w:szCs w:val="24"/>
              </w:rPr>
              <w:t>日印发的《江门市2019年污染防治攻坚战重点工作任务清单》（江环委[</w:t>
            </w:r>
            <w:r>
              <w:rPr>
                <w:rFonts w:ascii="宋体" w:hAnsi="宋体" w:cs="宋体"/>
                <w:color w:val="000000"/>
                <w:szCs w:val="24"/>
              </w:rPr>
              <w:t>2019]4</w:t>
            </w:r>
            <w:r>
              <w:rPr>
                <w:rFonts w:hint="eastAsia" w:ascii="宋体" w:hAnsi="宋体" w:cs="宋体"/>
                <w:color w:val="000000"/>
                <w:szCs w:val="24"/>
              </w:rPr>
              <w:t>号），潭江水环境超标原因为工业、农业等污染。其碧水攻坚战重点工作任务，包括切实抓好潭江水环境综合治理，全面深化工业、农业等源头治理，开展牛湾断面生态修复工程，建立镇级环保巡查机制，确保牛湾断面达到Ⅲ类水质。污染防治工作内容包括以下内容。</w:t>
            </w:r>
          </w:p>
          <w:p>
            <w:pPr>
              <w:ind w:firstLine="480"/>
              <w:rPr>
                <w:rFonts w:ascii="宋体" w:hAnsi="宋体" w:cs="宋体"/>
                <w:color w:val="000000"/>
                <w:szCs w:val="24"/>
              </w:rPr>
            </w:pPr>
            <w:r>
              <w:rPr>
                <w:rFonts w:hint="eastAsia" w:ascii="宋体" w:hAnsi="宋体" w:cs="宋体"/>
                <w:color w:val="000000"/>
                <w:szCs w:val="24"/>
              </w:rPr>
              <w:t>（1）出台《潭江牛湾国考断面水质达标2019年攻坚实施方案》。</w:t>
            </w:r>
          </w:p>
          <w:p>
            <w:pPr>
              <w:ind w:firstLine="480"/>
              <w:rPr>
                <w:rFonts w:ascii="宋体" w:hAnsi="宋体" w:cs="宋体"/>
                <w:color w:val="000000"/>
                <w:szCs w:val="24"/>
              </w:rPr>
            </w:pPr>
            <w:r>
              <w:rPr>
                <w:rFonts w:hint="eastAsia" w:ascii="宋体" w:hAnsi="宋体" w:cs="宋体"/>
                <w:color w:val="000000"/>
                <w:szCs w:val="24"/>
              </w:rPr>
              <w:t>（2）完成《潭江牛湾国考断面水质达标2019年攻坚实施方案》各项任务。</w:t>
            </w:r>
          </w:p>
          <w:p>
            <w:pPr>
              <w:ind w:firstLine="480"/>
              <w:rPr>
                <w:rFonts w:ascii="宋体" w:hAnsi="宋体" w:cs="宋体"/>
                <w:color w:val="000000"/>
                <w:szCs w:val="24"/>
              </w:rPr>
            </w:pPr>
            <w:r>
              <w:rPr>
                <w:rFonts w:hint="eastAsia" w:ascii="宋体" w:hAnsi="宋体" w:cs="宋体"/>
                <w:color w:val="000000"/>
                <w:szCs w:val="24"/>
              </w:rPr>
              <w:t>（3）各相关市（区）落实巡查机制，每季度及年底向市生态环境局报送巡查情况。</w:t>
            </w:r>
          </w:p>
          <w:p>
            <w:pPr>
              <w:adjustRightInd w:val="0"/>
              <w:snapToGrid w:val="0"/>
              <w:ind w:firstLine="480"/>
              <w:rPr>
                <w:rFonts w:cs="Times New Roman"/>
                <w:color w:val="000000"/>
              </w:rPr>
            </w:pPr>
            <w:r>
              <w:rPr>
                <w:rFonts w:hint="eastAsia" w:ascii="宋体" w:hAnsi="宋体" w:cs="宋体"/>
                <w:color w:val="000000"/>
                <w:szCs w:val="24"/>
              </w:rPr>
              <w:t>（4）潭江牛湾断面涉及的市（区）分别实施不少于1处的生态修复工程。</w:t>
            </w:r>
          </w:p>
          <w:p>
            <w:pPr>
              <w:pStyle w:val="4"/>
              <w:rPr>
                <w:rFonts w:ascii="Times New Roman" w:hAnsi="Times New Roman" w:cs="Times New Roman"/>
                <w:lang w:val="zh-CN"/>
              </w:rPr>
            </w:pPr>
            <w:r>
              <w:rPr>
                <w:rFonts w:ascii="Times New Roman" w:hAnsi="Times New Roman" w:cs="Times New Roman"/>
                <w:lang w:val="zh-CN"/>
              </w:rPr>
              <w:t>3.1.4声环境质量现状</w:t>
            </w:r>
          </w:p>
          <w:p>
            <w:pPr>
              <w:adjustRightInd w:val="0"/>
              <w:snapToGrid w:val="0"/>
              <w:ind w:firstLine="480"/>
              <w:rPr>
                <w:rFonts w:cs="Times New Roman"/>
                <w:color w:val="000000"/>
              </w:rPr>
            </w:pPr>
            <w:r>
              <w:rPr>
                <w:rFonts w:cs="Times New Roman"/>
                <w:color w:val="000000"/>
              </w:rPr>
              <w:t>根据《声环境功能区划分技术规范》（GBT15190-2014）的相关规定，本项目所在区域为3类声环境功能区，声环境质量执行《声环境质量标准》（GB3096-2008）3类标准，昼间噪声值标准为 65dB(A)，夜间噪声值标准为 55dB(A)。</w:t>
            </w:r>
          </w:p>
          <w:p>
            <w:pPr>
              <w:adjustRightInd w:val="0"/>
              <w:snapToGrid w:val="0"/>
              <w:ind w:firstLine="480"/>
              <w:rPr>
                <w:rFonts w:cs="Times New Roman"/>
                <w:color w:val="000000"/>
              </w:rPr>
            </w:pPr>
            <w:r>
              <w:rPr>
                <w:rFonts w:cs="Times New Roman"/>
                <w:color w:val="000000"/>
              </w:rPr>
              <w:t>为了解项目周围声环境质量现状，本</w:t>
            </w:r>
            <w:r>
              <w:rPr>
                <w:rFonts w:hint="eastAsia" w:cs="Times New Roman"/>
                <w:color w:val="000000"/>
              </w:rPr>
              <w:t>次评价委托阳春市众成检测技术有限公司</w:t>
            </w:r>
            <w:r>
              <w:rPr>
                <w:rFonts w:cs="Times New Roman"/>
                <w:color w:val="000000"/>
              </w:rPr>
              <w:t>于2019年11月</w:t>
            </w:r>
            <w:r>
              <w:rPr>
                <w:rFonts w:hint="eastAsia" w:cs="Times New Roman"/>
                <w:color w:val="000000"/>
              </w:rPr>
              <w:t>1</w:t>
            </w:r>
            <w:r>
              <w:rPr>
                <w:rFonts w:cs="Times New Roman"/>
                <w:color w:val="000000"/>
              </w:rPr>
              <w:t>3</w:t>
            </w:r>
            <w:r>
              <w:rPr>
                <w:rFonts w:hint="eastAsia" w:cs="Times New Roman"/>
                <w:color w:val="000000"/>
              </w:rPr>
              <w:t>日~</w:t>
            </w:r>
            <w:r>
              <w:rPr>
                <w:rFonts w:cs="Times New Roman"/>
                <w:color w:val="000000"/>
              </w:rPr>
              <w:t>11月</w:t>
            </w:r>
            <w:r>
              <w:rPr>
                <w:rFonts w:hint="eastAsia" w:cs="Times New Roman"/>
                <w:color w:val="000000"/>
              </w:rPr>
              <w:t>1</w:t>
            </w:r>
            <w:r>
              <w:rPr>
                <w:rFonts w:cs="Times New Roman"/>
                <w:color w:val="000000"/>
              </w:rPr>
              <w:t>4日在本项目各边界共布设2个环境噪声测点</w:t>
            </w:r>
            <w:r>
              <w:rPr>
                <w:rFonts w:hint="eastAsia" w:cs="Times New Roman"/>
                <w:color w:val="000000"/>
              </w:rPr>
              <w:t>进行</w:t>
            </w:r>
            <w:r>
              <w:rPr>
                <w:rFonts w:cs="Times New Roman"/>
                <w:color w:val="000000"/>
              </w:rPr>
              <w:t>昼</w:t>
            </w:r>
            <w:r>
              <w:rPr>
                <w:rFonts w:hint="eastAsia" w:cs="Times New Roman"/>
                <w:color w:val="000000"/>
              </w:rPr>
              <w:t>间</w:t>
            </w:r>
            <w:r>
              <w:rPr>
                <w:rFonts w:cs="Times New Roman"/>
                <w:color w:val="000000"/>
              </w:rPr>
              <w:t>（6:00-22:00）</w:t>
            </w:r>
            <w:r>
              <w:rPr>
                <w:rFonts w:hint="eastAsia" w:cs="Times New Roman"/>
                <w:color w:val="000000"/>
              </w:rPr>
              <w:t>和夜间（2</w:t>
            </w:r>
            <w:r>
              <w:rPr>
                <w:rFonts w:cs="Times New Roman"/>
                <w:color w:val="000000"/>
              </w:rPr>
              <w:t>2:00-6:00</w:t>
            </w:r>
            <w:r>
              <w:rPr>
                <w:rFonts w:hint="eastAsia" w:cs="Times New Roman"/>
                <w:color w:val="000000"/>
              </w:rPr>
              <w:t>）</w:t>
            </w:r>
            <w:r>
              <w:rPr>
                <w:rFonts w:cs="Times New Roman"/>
                <w:color w:val="000000"/>
              </w:rPr>
              <w:t>监测边界噪声，监测结果见</w:t>
            </w:r>
            <w:r>
              <w:rPr>
                <w:rFonts w:hint="eastAsia" w:cs="Times New Roman"/>
                <w:color w:val="000000"/>
              </w:rPr>
              <w:t>下</w:t>
            </w:r>
            <w:r>
              <w:rPr>
                <w:rFonts w:cs="Times New Roman"/>
                <w:color w:val="000000"/>
              </w:rPr>
              <w:t>表。</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表3-6 声环境现状监测结果  单位dB(A)</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1417"/>
              <w:gridCol w:w="1260"/>
              <w:gridCol w:w="725"/>
              <w:gridCol w:w="1467"/>
              <w:gridCol w:w="1096"/>
              <w:gridCol w:w="1097"/>
              <w:gridCol w:w="10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6" w:type="dxa"/>
                  <w:vMerge w:val="restart"/>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测点编号</w:t>
                  </w:r>
                </w:p>
              </w:tc>
              <w:tc>
                <w:tcPr>
                  <w:tcW w:w="1417" w:type="dxa"/>
                  <w:vMerge w:val="restart"/>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监测点位</w:t>
                  </w:r>
                </w:p>
              </w:tc>
              <w:tc>
                <w:tcPr>
                  <w:tcW w:w="1260" w:type="dxa"/>
                  <w:vMerge w:val="restart"/>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监测项目</w:t>
                  </w:r>
                </w:p>
              </w:tc>
              <w:tc>
                <w:tcPr>
                  <w:tcW w:w="725" w:type="dxa"/>
                  <w:vMerge w:val="restart"/>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主要声源</w:t>
                  </w:r>
                </w:p>
              </w:tc>
              <w:tc>
                <w:tcPr>
                  <w:tcW w:w="4757" w:type="dxa"/>
                  <w:gridSpan w:val="4"/>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监测结果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6"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1417"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1260"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725"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2563" w:type="dxa"/>
                  <w:gridSpan w:val="2"/>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2</w:t>
                  </w:r>
                  <w:r>
                    <w:rPr>
                      <w:rFonts w:cs="Times New Roman"/>
                      <w:kern w:val="0"/>
                      <w:sz w:val="21"/>
                      <w:szCs w:val="21"/>
                      <w:lang w:val="zh-CN"/>
                    </w:rPr>
                    <w:t>019.11.13</w:t>
                  </w:r>
                </w:p>
              </w:tc>
              <w:tc>
                <w:tcPr>
                  <w:tcW w:w="2194" w:type="dxa"/>
                  <w:gridSpan w:val="2"/>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2</w:t>
                  </w:r>
                  <w:r>
                    <w:rPr>
                      <w:rFonts w:cs="Times New Roman"/>
                      <w:kern w:val="0"/>
                      <w:sz w:val="21"/>
                      <w:szCs w:val="21"/>
                      <w:lang w:val="zh-CN"/>
                    </w:rPr>
                    <w:t>019.11.14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6"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1417"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1260"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725"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146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昼间</w:t>
                  </w:r>
                </w:p>
              </w:tc>
              <w:tc>
                <w:tcPr>
                  <w:tcW w:w="1096"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夜间</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昼间</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6" w:type="dxa"/>
                  <w:vAlign w:val="center"/>
                </w:tcPr>
                <w:p>
                  <w:pPr>
                    <w:adjustRightInd w:val="0"/>
                    <w:snapToGrid w:val="0"/>
                    <w:spacing w:line="240" w:lineRule="auto"/>
                    <w:ind w:firstLine="0" w:firstLineChars="0"/>
                    <w:rPr>
                      <w:rFonts w:cs="Times New Roman"/>
                      <w:kern w:val="0"/>
                      <w:sz w:val="21"/>
                      <w:szCs w:val="21"/>
                      <w:lang w:val="zh-CN"/>
                    </w:rPr>
                  </w:pPr>
                  <w:r>
                    <w:rPr>
                      <w:rFonts w:cs="Times New Roman"/>
                      <w:kern w:val="0"/>
                      <w:sz w:val="21"/>
                      <w:szCs w:val="21"/>
                      <w:lang w:val="zh-CN"/>
                    </w:rPr>
                    <w:t>N</w:t>
                  </w:r>
                  <w:r>
                    <w:rPr>
                      <w:rFonts w:hint="eastAsia" w:cs="Times New Roman"/>
                      <w:kern w:val="0"/>
                      <w:sz w:val="21"/>
                      <w:szCs w:val="21"/>
                      <w:lang w:val="zh-CN"/>
                    </w:rPr>
                    <w:t>1</w:t>
                  </w:r>
                </w:p>
              </w:tc>
              <w:tc>
                <w:tcPr>
                  <w:tcW w:w="1417"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项目厂界东侧1米处</w:t>
                  </w:r>
                </w:p>
              </w:tc>
              <w:tc>
                <w:tcPr>
                  <w:tcW w:w="1260" w:type="dxa"/>
                  <w:vMerge w:val="restart"/>
                  <w:vAlign w:val="center"/>
                </w:tcPr>
                <w:p>
                  <w:pPr>
                    <w:adjustRightInd w:val="0"/>
                    <w:snapToGrid w:val="0"/>
                    <w:spacing w:line="240" w:lineRule="auto"/>
                    <w:ind w:firstLine="0" w:firstLineChars="0"/>
                    <w:rPr>
                      <w:rFonts w:cs="Times New Roman"/>
                      <w:kern w:val="0"/>
                      <w:sz w:val="21"/>
                      <w:szCs w:val="21"/>
                      <w:lang w:val="zh-CN"/>
                    </w:rPr>
                  </w:pPr>
                  <w:r>
                    <w:rPr>
                      <w:rFonts w:cs="Times New Roman"/>
                      <w:color w:val="000000"/>
                      <w:kern w:val="0"/>
                      <w:sz w:val="21"/>
                      <w:szCs w:val="21"/>
                    </w:rPr>
                    <w:t>等效连续A声级Leq (A)</w:t>
                  </w:r>
                </w:p>
              </w:tc>
              <w:tc>
                <w:tcPr>
                  <w:tcW w:w="725"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交通</w:t>
                  </w:r>
                </w:p>
              </w:tc>
              <w:tc>
                <w:tcPr>
                  <w:tcW w:w="146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6</w:t>
                  </w:r>
                  <w:r>
                    <w:rPr>
                      <w:rFonts w:cs="Times New Roman"/>
                      <w:kern w:val="0"/>
                      <w:sz w:val="21"/>
                      <w:szCs w:val="21"/>
                      <w:lang w:val="zh-CN"/>
                    </w:rPr>
                    <w:t>2.1</w:t>
                  </w:r>
                </w:p>
              </w:tc>
              <w:tc>
                <w:tcPr>
                  <w:tcW w:w="1096" w:type="dxa"/>
                  <w:vAlign w:val="center"/>
                </w:tcPr>
                <w:p>
                  <w:pPr>
                    <w:adjustRightInd w:val="0"/>
                    <w:snapToGrid w:val="0"/>
                    <w:spacing w:line="240" w:lineRule="auto"/>
                    <w:ind w:firstLine="0" w:firstLineChars="0"/>
                    <w:rPr>
                      <w:rFonts w:cs="Times New Roman"/>
                      <w:kern w:val="0"/>
                      <w:sz w:val="21"/>
                      <w:szCs w:val="21"/>
                      <w:lang w:val="zh-CN"/>
                    </w:rPr>
                  </w:pPr>
                  <w:r>
                    <w:rPr>
                      <w:rFonts w:cs="Times New Roman"/>
                      <w:kern w:val="0"/>
                      <w:sz w:val="21"/>
                      <w:szCs w:val="21"/>
                      <w:lang w:val="zh-CN"/>
                    </w:rPr>
                    <w:t>50.5</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6</w:t>
                  </w:r>
                  <w:r>
                    <w:rPr>
                      <w:rFonts w:cs="Times New Roman"/>
                      <w:kern w:val="0"/>
                      <w:sz w:val="21"/>
                      <w:szCs w:val="21"/>
                      <w:lang w:val="zh-CN"/>
                    </w:rPr>
                    <w:t>3.4</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5</w:t>
                  </w:r>
                  <w:r>
                    <w:rPr>
                      <w:rFonts w:cs="Times New Roman"/>
                      <w:kern w:val="0"/>
                      <w:sz w:val="21"/>
                      <w:szCs w:val="21"/>
                      <w:lang w:val="zh-CN"/>
                    </w:rPr>
                    <w:t>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26" w:type="dxa"/>
                  <w:vAlign w:val="center"/>
                </w:tcPr>
                <w:p>
                  <w:pPr>
                    <w:adjustRightInd w:val="0"/>
                    <w:snapToGrid w:val="0"/>
                    <w:spacing w:line="240" w:lineRule="auto"/>
                    <w:ind w:firstLine="0" w:firstLineChars="0"/>
                    <w:rPr>
                      <w:rFonts w:cs="Times New Roman"/>
                      <w:kern w:val="0"/>
                      <w:sz w:val="21"/>
                      <w:szCs w:val="21"/>
                      <w:lang w:val="zh-CN"/>
                    </w:rPr>
                  </w:pPr>
                  <w:r>
                    <w:rPr>
                      <w:rFonts w:cs="Times New Roman"/>
                      <w:kern w:val="0"/>
                      <w:sz w:val="21"/>
                      <w:szCs w:val="21"/>
                      <w:lang w:val="zh-CN"/>
                    </w:rPr>
                    <w:t>N</w:t>
                  </w:r>
                  <w:r>
                    <w:rPr>
                      <w:rFonts w:hint="eastAsia" w:cs="Times New Roman"/>
                      <w:kern w:val="0"/>
                      <w:sz w:val="21"/>
                      <w:szCs w:val="21"/>
                      <w:lang w:val="zh-CN"/>
                    </w:rPr>
                    <w:t>2</w:t>
                  </w:r>
                </w:p>
              </w:tc>
              <w:tc>
                <w:tcPr>
                  <w:tcW w:w="141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项目厂界南侧1米处</w:t>
                  </w:r>
                </w:p>
              </w:tc>
              <w:tc>
                <w:tcPr>
                  <w:tcW w:w="1260" w:type="dxa"/>
                  <w:vMerge w:val="continue"/>
                  <w:vAlign w:val="center"/>
                </w:tcPr>
                <w:p>
                  <w:pPr>
                    <w:adjustRightInd w:val="0"/>
                    <w:snapToGrid w:val="0"/>
                    <w:spacing w:line="240" w:lineRule="auto"/>
                    <w:ind w:firstLine="0" w:firstLineChars="0"/>
                    <w:rPr>
                      <w:rFonts w:cs="Times New Roman"/>
                      <w:kern w:val="0"/>
                      <w:sz w:val="21"/>
                      <w:szCs w:val="21"/>
                      <w:lang w:val="zh-CN"/>
                    </w:rPr>
                  </w:pPr>
                </w:p>
              </w:tc>
              <w:tc>
                <w:tcPr>
                  <w:tcW w:w="725"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其他</w:t>
                  </w:r>
                </w:p>
              </w:tc>
              <w:tc>
                <w:tcPr>
                  <w:tcW w:w="1467" w:type="dxa"/>
                  <w:vAlign w:val="center"/>
                </w:tcPr>
                <w:p>
                  <w:pPr>
                    <w:adjustRightInd w:val="0"/>
                    <w:snapToGrid w:val="0"/>
                    <w:spacing w:line="240" w:lineRule="auto"/>
                    <w:ind w:firstLine="0" w:firstLineChars="0"/>
                    <w:rPr>
                      <w:rFonts w:cs="Times New Roman"/>
                      <w:kern w:val="0"/>
                      <w:sz w:val="21"/>
                      <w:szCs w:val="21"/>
                      <w:lang w:val="zh-CN"/>
                    </w:rPr>
                  </w:pPr>
                  <w:r>
                    <w:rPr>
                      <w:rFonts w:cs="Times New Roman"/>
                      <w:kern w:val="0"/>
                      <w:sz w:val="21"/>
                      <w:szCs w:val="21"/>
                      <w:lang w:val="zh-CN"/>
                    </w:rPr>
                    <w:t>61.8</w:t>
                  </w:r>
                </w:p>
              </w:tc>
              <w:tc>
                <w:tcPr>
                  <w:tcW w:w="1096" w:type="dxa"/>
                  <w:vAlign w:val="center"/>
                </w:tcPr>
                <w:p>
                  <w:pPr>
                    <w:adjustRightInd w:val="0"/>
                    <w:snapToGrid w:val="0"/>
                    <w:spacing w:line="240" w:lineRule="auto"/>
                    <w:ind w:firstLine="0" w:firstLineChars="0"/>
                    <w:rPr>
                      <w:rFonts w:cs="Times New Roman"/>
                      <w:kern w:val="0"/>
                      <w:sz w:val="21"/>
                      <w:szCs w:val="21"/>
                      <w:lang w:val="zh-CN"/>
                    </w:rPr>
                  </w:pPr>
                  <w:r>
                    <w:rPr>
                      <w:rFonts w:cs="Times New Roman"/>
                      <w:kern w:val="0"/>
                      <w:sz w:val="21"/>
                      <w:szCs w:val="21"/>
                      <w:lang w:val="zh-CN"/>
                    </w:rPr>
                    <w:t>50.1</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6</w:t>
                  </w:r>
                  <w:r>
                    <w:rPr>
                      <w:rFonts w:cs="Times New Roman"/>
                      <w:kern w:val="0"/>
                      <w:sz w:val="21"/>
                      <w:szCs w:val="21"/>
                      <w:lang w:val="zh-CN"/>
                    </w:rPr>
                    <w:t>2.9</w:t>
                  </w:r>
                </w:p>
              </w:tc>
              <w:tc>
                <w:tcPr>
                  <w:tcW w:w="1097" w:type="dxa"/>
                  <w:vAlign w:val="center"/>
                </w:tcPr>
                <w:p>
                  <w:pPr>
                    <w:adjustRightInd w:val="0"/>
                    <w:snapToGrid w:val="0"/>
                    <w:spacing w:line="240" w:lineRule="auto"/>
                    <w:ind w:firstLine="0" w:firstLineChars="0"/>
                    <w:rPr>
                      <w:rFonts w:cs="Times New Roman"/>
                      <w:kern w:val="0"/>
                      <w:sz w:val="21"/>
                      <w:szCs w:val="21"/>
                      <w:lang w:val="zh-CN"/>
                    </w:rPr>
                  </w:pPr>
                  <w:r>
                    <w:rPr>
                      <w:rFonts w:hint="eastAsia" w:cs="Times New Roman"/>
                      <w:kern w:val="0"/>
                      <w:sz w:val="21"/>
                      <w:szCs w:val="21"/>
                      <w:lang w:val="zh-CN"/>
                    </w:rPr>
                    <w:t>5</w:t>
                  </w:r>
                  <w:r>
                    <w:rPr>
                      <w:rFonts w:cs="Times New Roman"/>
                      <w:kern w:val="0"/>
                      <w:sz w:val="21"/>
                      <w:szCs w:val="21"/>
                      <w:lang w:val="zh-CN"/>
                    </w:rPr>
                    <w:t>0.6</w:t>
                  </w:r>
                </w:p>
              </w:tc>
            </w:tr>
          </w:tbl>
          <w:p>
            <w:pPr>
              <w:adjustRightInd w:val="0"/>
              <w:snapToGrid w:val="0"/>
              <w:ind w:firstLine="420"/>
              <w:rPr>
                <w:rFonts w:cs="Times New Roman"/>
                <w:color w:val="000000"/>
                <w:sz w:val="21"/>
                <w:szCs w:val="21"/>
              </w:rPr>
            </w:pPr>
            <w:r>
              <w:rPr>
                <w:rFonts w:hint="eastAsia" w:cs="Times New Roman"/>
                <w:color w:val="000000"/>
                <w:sz w:val="21"/>
                <w:szCs w:val="21"/>
              </w:rPr>
              <w:t>备注：项目目东北侧和西南侧为邻厂，不具备噪声监测条件</w:t>
            </w:r>
          </w:p>
          <w:p>
            <w:pPr>
              <w:adjustRightInd w:val="0"/>
              <w:snapToGrid w:val="0"/>
              <w:ind w:firstLine="480"/>
              <w:rPr>
                <w:rFonts w:cs="Times New Roman"/>
                <w:color w:val="000000"/>
              </w:rPr>
            </w:pPr>
            <w:r>
              <w:rPr>
                <w:rFonts w:cs="Times New Roman"/>
                <w:color w:val="000000"/>
              </w:rPr>
              <w:t>由上表</w:t>
            </w:r>
            <w:r>
              <w:rPr>
                <w:rFonts w:hint="eastAsia" w:cs="Times New Roman"/>
                <w:color w:val="000000"/>
              </w:rPr>
              <w:t>3</w:t>
            </w:r>
            <w:r>
              <w:rPr>
                <w:rFonts w:cs="Times New Roman"/>
                <w:color w:val="000000"/>
              </w:rPr>
              <w:t>-4可见，项目</w:t>
            </w:r>
            <w:r>
              <w:rPr>
                <w:rFonts w:hint="eastAsia" w:cs="Times New Roman"/>
                <w:color w:val="000000"/>
              </w:rPr>
              <w:t>所在地</w:t>
            </w:r>
            <w:r>
              <w:rPr>
                <w:rFonts w:cs="Times New Roman"/>
                <w:color w:val="000000"/>
              </w:rPr>
              <w:t>声环境监测值均符合《声环境质量标准》（GB3096-2008）3类标准</w:t>
            </w:r>
            <w:r>
              <w:rPr>
                <w:rFonts w:hint="eastAsia" w:cs="Times New Roman"/>
                <w:color w:val="000000"/>
              </w:rPr>
              <w:t>，</w:t>
            </w:r>
            <w:r>
              <w:rPr>
                <w:rFonts w:cs="Times New Roman"/>
                <w:color w:val="000000"/>
              </w:rPr>
              <w:t>因此，项目所在区域声环境质量尚好。</w:t>
            </w:r>
          </w:p>
          <w:p>
            <w:pPr>
              <w:pStyle w:val="4"/>
              <w:rPr>
                <w:rFonts w:ascii="Times New Roman" w:hAnsi="Times New Roman" w:cs="Times New Roman"/>
                <w:lang w:val="zh-CN"/>
              </w:rPr>
            </w:pPr>
            <w:r>
              <w:rPr>
                <w:rFonts w:ascii="Times New Roman" w:hAnsi="Times New Roman" w:cs="Times New Roman"/>
                <w:lang w:val="zh-CN"/>
              </w:rPr>
              <w:t>3.1.5地下水环境质量现状</w:t>
            </w:r>
          </w:p>
          <w:p>
            <w:pPr>
              <w:ind w:firstLine="480"/>
              <w:rPr>
                <w:rFonts w:cs="Times New Roman"/>
                <w:szCs w:val="24"/>
              </w:rPr>
            </w:pPr>
            <w:r>
              <w:rPr>
                <w:rFonts w:cs="Times New Roman"/>
                <w:szCs w:val="24"/>
              </w:rPr>
              <w:t>根据《建设项目环境影响评价技术导则 地下水环境》（HJ610-2016）附录 A地下水环境影响评价行业分类表，本项目属于“53、金属制品加工制造”中的报告表类别，对应的是</w:t>
            </w:r>
            <w:r>
              <w:rPr>
                <w:rFonts w:hint="eastAsia" w:ascii="宋体" w:hAnsi="宋体" w:cs="宋体"/>
                <w:szCs w:val="24"/>
              </w:rPr>
              <w:t>Ⅳ</w:t>
            </w:r>
            <w:r>
              <w:rPr>
                <w:rFonts w:cs="Times New Roman"/>
                <w:szCs w:val="24"/>
              </w:rPr>
              <w:t>类项目，不开展地下水环境影响评价。</w:t>
            </w:r>
          </w:p>
          <w:p>
            <w:pPr>
              <w:pStyle w:val="4"/>
              <w:rPr>
                <w:rFonts w:ascii="Times New Roman" w:hAnsi="Times New Roman" w:cs="Times New Roman"/>
                <w:lang w:val="zh-CN"/>
              </w:rPr>
            </w:pPr>
            <w:r>
              <w:rPr>
                <w:rFonts w:ascii="Times New Roman" w:hAnsi="Times New Roman" w:cs="Times New Roman"/>
                <w:lang w:val="zh-CN"/>
              </w:rPr>
              <w:t>3.1.6土壤环境质量现状</w:t>
            </w:r>
          </w:p>
          <w:p>
            <w:pPr>
              <w:ind w:firstLine="480"/>
              <w:rPr>
                <w:rFonts w:cs="Times New Roman"/>
                <w:lang w:val="zh-CN"/>
              </w:rPr>
            </w:pPr>
            <w:r>
              <w:rPr>
                <w:rFonts w:cs="Times New Roman"/>
                <w:szCs w:val="24"/>
              </w:rPr>
              <w:t>根据《环境影响评价技术导则土壤环境（试行）》（HJ964-2018）中的附录A土壤环境评价项目类别得出本项目属于“制造业-金属制品行业”中“</w:t>
            </w:r>
            <w:r>
              <w:rPr>
                <w:rFonts w:hint="eastAsia" w:cs="Times New Roman"/>
                <w:szCs w:val="24"/>
              </w:rPr>
              <w:t>有</w:t>
            </w:r>
            <w:r>
              <w:rPr>
                <w:rFonts w:cs="Times New Roman"/>
                <w:szCs w:val="24"/>
              </w:rPr>
              <w:t>金属制品表面处理及</w:t>
            </w:r>
            <w:r>
              <w:rPr>
                <w:rFonts w:cs="Times New Roman"/>
                <w:color w:val="000000" w:themeColor="text1"/>
                <w:szCs w:val="24"/>
              </w:rPr>
              <w:t>热处理加工的</w:t>
            </w:r>
            <w:r>
              <w:rPr>
                <w:rFonts w:cs="Times New Roman"/>
                <w:szCs w:val="24"/>
              </w:rPr>
              <w:t>”，建设项目类别为</w:t>
            </w:r>
            <w:r>
              <w:rPr>
                <w:rFonts w:hint="eastAsia" w:ascii="宋体" w:hAnsi="宋体" w:cs="宋体"/>
                <w:szCs w:val="24"/>
              </w:rPr>
              <w:t>Ⅰ</w:t>
            </w:r>
            <w:r>
              <w:rPr>
                <w:rFonts w:cs="Times New Roman"/>
                <w:szCs w:val="24"/>
              </w:rPr>
              <w:t>类，占地面积1687.5m</w:t>
            </w:r>
            <w:r>
              <w:rPr>
                <w:rFonts w:cs="Times New Roman"/>
                <w:szCs w:val="24"/>
                <w:vertAlign w:val="superscript"/>
              </w:rPr>
              <w:t>2</w:t>
            </w:r>
            <w:r>
              <w:rPr>
                <w:rFonts w:cs="Times New Roman"/>
                <w:szCs w:val="24"/>
              </w:rPr>
              <w:t>≤5hm</w:t>
            </w:r>
            <w:r>
              <w:rPr>
                <w:rFonts w:cs="Times New Roman"/>
                <w:szCs w:val="24"/>
                <w:vertAlign w:val="superscript"/>
              </w:rPr>
              <w:t>2</w:t>
            </w:r>
            <w:r>
              <w:rPr>
                <w:rFonts w:hint="eastAsia" w:cs="Times New Roman"/>
                <w:szCs w:val="24"/>
              </w:rPr>
              <w:t>，</w:t>
            </w:r>
            <w:r>
              <w:rPr>
                <w:rFonts w:cs="Times New Roman"/>
                <w:szCs w:val="24"/>
              </w:rPr>
              <w:t>属于小型</w:t>
            </w:r>
            <w:r>
              <w:rPr>
                <w:rFonts w:hint="eastAsia" w:cs="Times New Roman"/>
                <w:szCs w:val="24"/>
              </w:rPr>
              <w:t>项目。本项目厂址</w:t>
            </w:r>
            <w:r>
              <w:rPr>
                <w:rFonts w:cs="Times New Roman"/>
                <w:szCs w:val="24"/>
              </w:rPr>
              <w:t>位于工业园区，土壤环境不敏感，评价等级为二级，污染影响型</w:t>
            </w:r>
            <w:r>
              <w:rPr>
                <w:rFonts w:hint="eastAsia" w:cs="Times New Roman"/>
                <w:szCs w:val="24"/>
              </w:rPr>
              <w:t>，</w:t>
            </w:r>
            <w:r>
              <w:rPr>
                <w:rFonts w:cs="Times New Roman"/>
                <w:color w:val="000000" w:themeColor="text1"/>
                <w:szCs w:val="24"/>
              </w:rPr>
              <w:t>占地范围及周边均为混凝土硬化场地，</w:t>
            </w:r>
            <w:r>
              <w:rPr>
                <w:rFonts w:hint="eastAsia" w:cs="Times New Roman"/>
                <w:color w:val="000000" w:themeColor="text1"/>
                <w:szCs w:val="24"/>
              </w:rPr>
              <w:t>故</w:t>
            </w:r>
            <w:r>
              <w:rPr>
                <w:rFonts w:cs="Times New Roman"/>
                <w:color w:val="000000" w:themeColor="text1"/>
                <w:szCs w:val="24"/>
              </w:rPr>
              <w:t>不开展土壤质量监测。</w:t>
            </w:r>
          </w:p>
          <w:p>
            <w:pPr>
              <w:pStyle w:val="4"/>
              <w:rPr>
                <w:rFonts w:ascii="Times New Roman" w:hAnsi="Times New Roman" w:cs="Times New Roman"/>
                <w:lang w:val="zh-CN"/>
              </w:rPr>
            </w:pPr>
            <w:r>
              <w:rPr>
                <w:rFonts w:ascii="Times New Roman" w:hAnsi="Times New Roman" w:cs="Times New Roman"/>
                <w:lang w:val="zh-CN"/>
              </w:rPr>
              <w:t>3.1.7生态环境现状</w:t>
            </w:r>
          </w:p>
          <w:p>
            <w:pPr>
              <w:adjustRightInd w:val="0"/>
              <w:snapToGrid w:val="0"/>
              <w:ind w:firstLine="480"/>
              <w:rPr>
                <w:rFonts w:cs="Times New Roman"/>
                <w:color w:val="000000"/>
              </w:rPr>
            </w:pPr>
            <w:r>
              <w:rPr>
                <w:rFonts w:cs="Times New Roman"/>
                <w:color w:val="000000"/>
              </w:rPr>
              <w:t>据现场调查，本项目建设用地已被开发，无受保护的野生植物分布；项目所在区域及周边地块出没的野生动物主要是爬行类、昆虫等，无野珍稀动物出没。</w:t>
            </w:r>
          </w:p>
        </w:tc>
      </w:tr>
    </w:tbl>
    <w:p>
      <w:pPr>
        <w:ind w:firstLine="0" w:firstLineChars="0"/>
        <w:rPr>
          <w:rFonts w:cs="Times New Roman"/>
        </w:rPr>
      </w:pPr>
    </w:p>
    <w:tbl>
      <w:tblPr>
        <w:tblStyle w:val="22"/>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1" w:hRule="atLeast"/>
          <w:jc w:val="center"/>
        </w:trPr>
        <w:tc>
          <w:tcPr>
            <w:tcW w:w="9111" w:type="dxa"/>
            <w:vAlign w:val="center"/>
          </w:tcPr>
          <w:p>
            <w:pPr>
              <w:pStyle w:val="20"/>
              <w:ind w:firstLine="0" w:firstLineChars="0"/>
              <w:rPr>
                <w:rFonts w:ascii="Times New Roman" w:hAnsi="Times New Roman" w:cs="Times New Roman"/>
                <w:lang w:val="zh-CN"/>
              </w:rPr>
            </w:pPr>
            <w:bookmarkStart w:id="10" w:name="_Toc22823018"/>
            <w:r>
              <w:rPr>
                <w:rFonts w:ascii="Times New Roman" w:hAnsi="Times New Roman" w:cs="Times New Roman"/>
                <w:lang w:val="zh-CN"/>
              </w:rPr>
              <w:t>3.2主要环境保护目标（列出名单及保护级别）：</w:t>
            </w:r>
            <w:bookmarkEnd w:id="10"/>
          </w:p>
          <w:p>
            <w:pPr>
              <w:pStyle w:val="4"/>
              <w:rPr>
                <w:rFonts w:ascii="Times New Roman" w:hAnsi="Times New Roman" w:cs="Times New Roman"/>
                <w:lang w:val="zh-CN"/>
              </w:rPr>
            </w:pPr>
            <w:r>
              <w:rPr>
                <w:rFonts w:ascii="Times New Roman" w:hAnsi="Times New Roman" w:cs="Times New Roman"/>
                <w:lang w:val="zh-CN"/>
              </w:rPr>
              <w:t>3.2.1环境空气保护目标</w:t>
            </w:r>
          </w:p>
          <w:p>
            <w:pPr>
              <w:adjustRightInd w:val="0"/>
              <w:snapToGrid w:val="0"/>
              <w:ind w:firstLine="480"/>
              <w:rPr>
                <w:rFonts w:cs="Times New Roman"/>
                <w:bCs/>
                <w:color w:val="000000"/>
              </w:rPr>
            </w:pPr>
            <w:r>
              <w:rPr>
                <w:rFonts w:cs="Times New Roman"/>
                <w:bCs/>
                <w:color w:val="000000"/>
              </w:rPr>
              <w:t>控制废气污染物排放，使项目所在区域的大气环境质量满足《环境空气质量标准》（GB3095-2012）及其修改单（2018 年）中的二级标准要求。</w:t>
            </w:r>
          </w:p>
          <w:p>
            <w:pPr>
              <w:pStyle w:val="4"/>
              <w:rPr>
                <w:rFonts w:ascii="Times New Roman" w:hAnsi="Times New Roman" w:cs="Times New Roman"/>
                <w:lang w:val="zh-CN"/>
              </w:rPr>
            </w:pPr>
            <w:r>
              <w:rPr>
                <w:rFonts w:ascii="Times New Roman" w:hAnsi="Times New Roman" w:cs="Times New Roman"/>
                <w:lang w:val="zh-CN"/>
              </w:rPr>
              <w:t>3.2.2水环境保护目标</w:t>
            </w:r>
          </w:p>
          <w:p>
            <w:pPr>
              <w:adjustRightInd w:val="0"/>
              <w:snapToGrid w:val="0"/>
              <w:ind w:firstLine="480"/>
              <w:rPr>
                <w:rFonts w:cs="Times New Roman"/>
                <w:color w:val="000000"/>
              </w:rPr>
            </w:pPr>
            <w:r>
              <w:rPr>
                <w:rFonts w:cs="Times New Roman"/>
                <w:color w:val="000000"/>
              </w:rPr>
              <w:t>保护评价范围内的开平市水口污水处理厂东面排污河涌（纳污水体）的水环境质量符合《地表水环境质量标准》（GB3838-2002）中的III类标准要求，及项目南面潭江水质符合《地表水环境质量标准》（GB3838-2002）中的II类标准要求。</w:t>
            </w:r>
          </w:p>
          <w:p>
            <w:pPr>
              <w:pStyle w:val="4"/>
              <w:rPr>
                <w:rFonts w:ascii="Times New Roman" w:hAnsi="Times New Roman" w:cs="Times New Roman"/>
                <w:lang w:val="zh-CN"/>
              </w:rPr>
            </w:pPr>
            <w:r>
              <w:rPr>
                <w:rFonts w:ascii="Times New Roman" w:hAnsi="Times New Roman" w:cs="Times New Roman"/>
                <w:lang w:val="zh-CN"/>
              </w:rPr>
              <w:t>3.2.3声环境保护目标</w:t>
            </w:r>
          </w:p>
          <w:p>
            <w:pPr>
              <w:adjustRightInd w:val="0"/>
              <w:snapToGrid w:val="0"/>
              <w:ind w:firstLine="480"/>
              <w:rPr>
                <w:rFonts w:cs="Times New Roman"/>
                <w:color w:val="000000"/>
              </w:rPr>
            </w:pPr>
            <w:r>
              <w:rPr>
                <w:rFonts w:cs="Times New Roman"/>
                <w:color w:val="000000"/>
              </w:rPr>
              <w:t>声环境保护目标是确保该项目周围环境不受本项目生产噪声干扰，使其声环境质量符合《声环境质量标准》(GB3096-2008) 3类标准。</w:t>
            </w:r>
          </w:p>
          <w:p>
            <w:pPr>
              <w:pStyle w:val="4"/>
              <w:rPr>
                <w:rFonts w:ascii="Times New Roman" w:hAnsi="Times New Roman" w:cs="Times New Roman"/>
                <w:lang w:val="zh-CN"/>
              </w:rPr>
            </w:pPr>
            <w:r>
              <w:rPr>
                <w:rFonts w:ascii="Times New Roman" w:hAnsi="Times New Roman" w:cs="Times New Roman"/>
                <w:lang w:val="zh-CN"/>
              </w:rPr>
              <w:t>3.2.4固体废物保护目标</w:t>
            </w:r>
          </w:p>
          <w:p>
            <w:pPr>
              <w:adjustRightInd w:val="0"/>
              <w:snapToGrid w:val="0"/>
              <w:ind w:firstLine="480"/>
              <w:rPr>
                <w:rFonts w:cs="Times New Roman"/>
                <w:color w:val="000000"/>
              </w:rPr>
            </w:pPr>
            <w:r>
              <w:rPr>
                <w:rFonts w:cs="Times New Roman"/>
                <w:color w:val="000000"/>
              </w:rPr>
              <w:t>妥善处理本项目产生的固体废物，使之不成为区域内危害环境的新污染源，确保固体废物排放符合《中华人民共和国固体废物污染环境防治法》的有关规定。</w:t>
            </w:r>
          </w:p>
          <w:p>
            <w:pPr>
              <w:pStyle w:val="4"/>
              <w:rPr>
                <w:rFonts w:ascii="Times New Roman" w:hAnsi="Times New Roman" w:cs="Times New Roman"/>
                <w:lang w:val="zh-CN"/>
              </w:rPr>
            </w:pPr>
            <w:r>
              <w:rPr>
                <w:rFonts w:ascii="Times New Roman" w:hAnsi="Times New Roman" w:cs="Times New Roman"/>
                <w:lang w:val="zh-CN"/>
              </w:rPr>
              <w:t>3.2.5主要环境敏感保护目标</w:t>
            </w:r>
          </w:p>
          <w:p>
            <w:pPr>
              <w:adjustRightInd w:val="0"/>
              <w:snapToGrid w:val="0"/>
              <w:ind w:firstLine="480"/>
              <w:rPr>
                <w:rFonts w:cs="Times New Roman"/>
                <w:color w:val="000000"/>
              </w:rPr>
            </w:pPr>
            <w:r>
              <w:rPr>
                <w:rFonts w:cs="Times New Roman"/>
                <w:color w:val="000000"/>
              </w:rPr>
              <w:t>根据对本项目所在地的实地踏勘，项目环境影响范围内没有名胜古迹等重要环境敏感点。其周边主要环境敏感点以居民为主，项目四周主要保护目标及敏感点分布情况详见下表：</w:t>
            </w:r>
          </w:p>
          <w:p>
            <w:pPr>
              <w:adjustRightInd w:val="0"/>
              <w:snapToGrid w:val="0"/>
              <w:ind w:firstLine="422"/>
              <w:jc w:val="center"/>
              <w:rPr>
                <w:rFonts w:cs="Times New Roman"/>
                <w:b/>
                <w:color w:val="000000"/>
                <w:sz w:val="21"/>
                <w:lang w:val="zh-CN"/>
              </w:rPr>
            </w:pPr>
            <w:r>
              <w:rPr>
                <w:rFonts w:cs="Times New Roman"/>
                <w:b/>
                <w:color w:val="000000"/>
                <w:sz w:val="21"/>
                <w:lang w:val="zh-CN"/>
              </w:rPr>
              <w:t>表3-5 主要环境保护目标一览表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261"/>
              <w:gridCol w:w="1735"/>
              <w:gridCol w:w="1973"/>
              <w:gridCol w:w="1160"/>
              <w:gridCol w:w="14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736" w:type="pct"/>
                  <w:vMerge w:val="restart"/>
                  <w:vAlign w:val="center"/>
                </w:tcPr>
                <w:p>
                  <w:pPr>
                    <w:pStyle w:val="45"/>
                    <w:rPr>
                      <w:kern w:val="0"/>
                      <w:szCs w:val="20"/>
                    </w:rPr>
                  </w:pPr>
                  <w:r>
                    <w:rPr>
                      <w:kern w:val="0"/>
                      <w:szCs w:val="20"/>
                    </w:rPr>
                    <w:t>名称</w:t>
                  </w:r>
                </w:p>
              </w:tc>
              <w:tc>
                <w:tcPr>
                  <w:tcW w:w="709" w:type="pct"/>
                  <w:vMerge w:val="restart"/>
                  <w:vAlign w:val="center"/>
                </w:tcPr>
                <w:p>
                  <w:pPr>
                    <w:pStyle w:val="45"/>
                    <w:rPr>
                      <w:kern w:val="0"/>
                      <w:szCs w:val="20"/>
                    </w:rPr>
                  </w:pPr>
                  <w:r>
                    <w:rPr>
                      <w:kern w:val="0"/>
                      <w:szCs w:val="20"/>
                    </w:rPr>
                    <w:t>保护对象</w:t>
                  </w:r>
                </w:p>
              </w:tc>
              <w:tc>
                <w:tcPr>
                  <w:tcW w:w="975" w:type="pct"/>
                  <w:vMerge w:val="restart"/>
                  <w:vAlign w:val="center"/>
                </w:tcPr>
                <w:p>
                  <w:pPr>
                    <w:pStyle w:val="45"/>
                    <w:rPr>
                      <w:kern w:val="0"/>
                      <w:szCs w:val="20"/>
                    </w:rPr>
                  </w:pPr>
                  <w:r>
                    <w:rPr>
                      <w:kern w:val="0"/>
                      <w:szCs w:val="20"/>
                    </w:rPr>
                    <w:t>保护内容</w:t>
                  </w:r>
                </w:p>
              </w:tc>
              <w:tc>
                <w:tcPr>
                  <w:tcW w:w="1109" w:type="pct"/>
                  <w:vMerge w:val="restart"/>
                  <w:vAlign w:val="center"/>
                </w:tcPr>
                <w:p>
                  <w:pPr>
                    <w:pStyle w:val="45"/>
                    <w:rPr>
                      <w:kern w:val="0"/>
                      <w:szCs w:val="20"/>
                    </w:rPr>
                  </w:pPr>
                  <w:r>
                    <w:rPr>
                      <w:kern w:val="0"/>
                      <w:szCs w:val="20"/>
                    </w:rPr>
                    <w:t>环境功能区</w:t>
                  </w:r>
                </w:p>
              </w:tc>
              <w:tc>
                <w:tcPr>
                  <w:tcW w:w="652" w:type="pct"/>
                  <w:vMerge w:val="restart"/>
                  <w:vAlign w:val="center"/>
                </w:tcPr>
                <w:p>
                  <w:pPr>
                    <w:pStyle w:val="45"/>
                    <w:rPr>
                      <w:kern w:val="0"/>
                      <w:szCs w:val="20"/>
                    </w:rPr>
                  </w:pPr>
                  <w:r>
                    <w:rPr>
                      <w:kern w:val="0"/>
                      <w:szCs w:val="20"/>
                    </w:rPr>
                    <w:t>相对厂址方位</w:t>
                  </w:r>
                </w:p>
              </w:tc>
              <w:tc>
                <w:tcPr>
                  <w:tcW w:w="819" w:type="pct"/>
                  <w:vMerge w:val="restart"/>
                  <w:vAlign w:val="center"/>
                </w:tcPr>
                <w:p>
                  <w:pPr>
                    <w:pStyle w:val="45"/>
                    <w:rPr>
                      <w:kern w:val="0"/>
                      <w:szCs w:val="20"/>
                    </w:rPr>
                  </w:pPr>
                  <w:r>
                    <w:rPr>
                      <w:kern w:val="0"/>
                      <w:szCs w:val="20"/>
                    </w:rPr>
                    <w:t>相对厂界距离/m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2" w:hRule="exact"/>
                <w:jc w:val="center"/>
              </w:trPr>
              <w:tc>
                <w:tcPr>
                  <w:tcW w:w="736" w:type="pct"/>
                  <w:vMerge w:val="continue"/>
                  <w:vAlign w:val="center"/>
                </w:tcPr>
                <w:p>
                  <w:pPr>
                    <w:pStyle w:val="45"/>
                    <w:rPr>
                      <w:kern w:val="0"/>
                      <w:szCs w:val="20"/>
                    </w:rPr>
                  </w:pPr>
                </w:p>
              </w:tc>
              <w:tc>
                <w:tcPr>
                  <w:tcW w:w="709" w:type="pct"/>
                  <w:vMerge w:val="continue"/>
                  <w:vAlign w:val="center"/>
                </w:tcPr>
                <w:p>
                  <w:pPr>
                    <w:pStyle w:val="45"/>
                    <w:rPr>
                      <w:kern w:val="0"/>
                      <w:szCs w:val="20"/>
                    </w:rPr>
                  </w:pPr>
                </w:p>
              </w:tc>
              <w:tc>
                <w:tcPr>
                  <w:tcW w:w="975" w:type="pct"/>
                  <w:vMerge w:val="continue"/>
                  <w:vAlign w:val="center"/>
                </w:tcPr>
                <w:p>
                  <w:pPr>
                    <w:pStyle w:val="45"/>
                    <w:rPr>
                      <w:kern w:val="0"/>
                      <w:szCs w:val="20"/>
                    </w:rPr>
                  </w:pPr>
                </w:p>
              </w:tc>
              <w:tc>
                <w:tcPr>
                  <w:tcW w:w="1109" w:type="pct"/>
                  <w:vMerge w:val="continue"/>
                  <w:vAlign w:val="center"/>
                </w:tcPr>
                <w:p>
                  <w:pPr>
                    <w:pStyle w:val="45"/>
                    <w:rPr>
                      <w:kern w:val="0"/>
                      <w:szCs w:val="20"/>
                    </w:rPr>
                  </w:pPr>
                </w:p>
              </w:tc>
              <w:tc>
                <w:tcPr>
                  <w:tcW w:w="652" w:type="pct"/>
                  <w:vMerge w:val="continue"/>
                  <w:vAlign w:val="center"/>
                </w:tcPr>
                <w:p>
                  <w:pPr>
                    <w:pStyle w:val="45"/>
                    <w:rPr>
                      <w:kern w:val="0"/>
                      <w:szCs w:val="20"/>
                    </w:rPr>
                  </w:pPr>
                </w:p>
              </w:tc>
              <w:tc>
                <w:tcPr>
                  <w:tcW w:w="819" w:type="pct"/>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36" w:type="pct"/>
                  <w:vAlign w:val="center"/>
                </w:tcPr>
                <w:p>
                  <w:pPr>
                    <w:pStyle w:val="45"/>
                    <w:rPr>
                      <w:kern w:val="0"/>
                      <w:szCs w:val="20"/>
                    </w:rPr>
                  </w:pPr>
                  <w:r>
                    <w:rPr>
                      <w:kern w:val="0"/>
                      <w:szCs w:val="20"/>
                    </w:rPr>
                    <w:t>合龙</w:t>
                  </w:r>
                </w:p>
              </w:tc>
              <w:tc>
                <w:tcPr>
                  <w:tcW w:w="709" w:type="pct"/>
                  <w:vAlign w:val="center"/>
                </w:tcPr>
                <w:p>
                  <w:pPr>
                    <w:pStyle w:val="45"/>
                    <w:rPr>
                      <w:kern w:val="0"/>
                      <w:szCs w:val="20"/>
                    </w:rPr>
                  </w:pPr>
                  <w:r>
                    <w:rPr>
                      <w:kern w:val="0"/>
                      <w:szCs w:val="20"/>
                    </w:rPr>
                    <w:t>居民</w:t>
                  </w:r>
                </w:p>
              </w:tc>
              <w:tc>
                <w:tcPr>
                  <w:tcW w:w="975" w:type="pct"/>
                  <w:vAlign w:val="center"/>
                </w:tcPr>
                <w:p>
                  <w:pPr>
                    <w:pStyle w:val="45"/>
                    <w:rPr>
                      <w:kern w:val="0"/>
                      <w:szCs w:val="20"/>
                    </w:rPr>
                  </w:pPr>
                  <w:r>
                    <w:rPr>
                      <w:kern w:val="0"/>
                      <w:szCs w:val="20"/>
                    </w:rPr>
                    <w:t>约300人</w:t>
                  </w:r>
                </w:p>
              </w:tc>
              <w:tc>
                <w:tcPr>
                  <w:tcW w:w="1109" w:type="pct"/>
                  <w:vMerge w:val="restart"/>
                  <w:vAlign w:val="center"/>
                </w:tcPr>
                <w:p>
                  <w:pPr>
                    <w:pStyle w:val="45"/>
                    <w:rPr>
                      <w:kern w:val="0"/>
                      <w:szCs w:val="20"/>
                    </w:rPr>
                  </w:pPr>
                  <w:r>
                    <w:rPr>
                      <w:kern w:val="0"/>
                      <w:szCs w:val="20"/>
                    </w:rPr>
                    <w:t>大气：二类环境空气质量功能区</w:t>
                  </w:r>
                </w:p>
                <w:p>
                  <w:pPr>
                    <w:pStyle w:val="45"/>
                    <w:rPr>
                      <w:kern w:val="0"/>
                      <w:szCs w:val="20"/>
                    </w:rPr>
                  </w:pPr>
                  <w:r>
                    <w:rPr>
                      <w:kern w:val="0"/>
                      <w:szCs w:val="20"/>
                    </w:rPr>
                    <w:t>声环境：3类声环境功能区</w:t>
                  </w:r>
                </w:p>
              </w:tc>
              <w:tc>
                <w:tcPr>
                  <w:tcW w:w="652" w:type="pct"/>
                  <w:vAlign w:val="center"/>
                </w:tcPr>
                <w:p>
                  <w:pPr>
                    <w:pStyle w:val="45"/>
                    <w:rPr>
                      <w:kern w:val="0"/>
                      <w:szCs w:val="20"/>
                    </w:rPr>
                  </w:pPr>
                  <w:r>
                    <w:rPr>
                      <w:kern w:val="0"/>
                      <w:szCs w:val="20"/>
                    </w:rPr>
                    <w:t>东南</w:t>
                  </w:r>
                </w:p>
              </w:tc>
              <w:tc>
                <w:tcPr>
                  <w:tcW w:w="819" w:type="pct"/>
                  <w:vAlign w:val="center"/>
                </w:tcPr>
                <w:p>
                  <w:pPr>
                    <w:pStyle w:val="45"/>
                    <w:rPr>
                      <w:kern w:val="0"/>
                      <w:szCs w:val="20"/>
                    </w:rPr>
                  </w:pPr>
                  <w:r>
                    <w:rPr>
                      <w:kern w:val="0"/>
                      <w:szCs w:val="20"/>
                    </w:rPr>
                    <w:t>443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36" w:type="pct"/>
                  <w:vAlign w:val="center"/>
                </w:tcPr>
                <w:p>
                  <w:pPr>
                    <w:pStyle w:val="45"/>
                    <w:rPr>
                      <w:kern w:val="0"/>
                      <w:szCs w:val="20"/>
                    </w:rPr>
                  </w:pPr>
                  <w:r>
                    <w:rPr>
                      <w:rFonts w:hint="eastAsia"/>
                      <w:kern w:val="0"/>
                      <w:szCs w:val="20"/>
                    </w:rPr>
                    <w:t>水口镇第一小学分校</w:t>
                  </w:r>
                </w:p>
              </w:tc>
              <w:tc>
                <w:tcPr>
                  <w:tcW w:w="709" w:type="pct"/>
                  <w:vAlign w:val="center"/>
                </w:tcPr>
                <w:p>
                  <w:pPr>
                    <w:pStyle w:val="45"/>
                    <w:rPr>
                      <w:kern w:val="0"/>
                      <w:szCs w:val="20"/>
                    </w:rPr>
                  </w:pPr>
                  <w:r>
                    <w:rPr>
                      <w:rFonts w:hint="eastAsia"/>
                      <w:kern w:val="0"/>
                      <w:szCs w:val="20"/>
                    </w:rPr>
                    <w:t>学校</w:t>
                  </w:r>
                </w:p>
              </w:tc>
              <w:tc>
                <w:tcPr>
                  <w:tcW w:w="975" w:type="pct"/>
                  <w:vAlign w:val="center"/>
                </w:tcPr>
                <w:p>
                  <w:pPr>
                    <w:pStyle w:val="45"/>
                    <w:rPr>
                      <w:kern w:val="0"/>
                      <w:szCs w:val="20"/>
                    </w:rPr>
                  </w:pPr>
                  <w:r>
                    <w:rPr>
                      <w:rFonts w:hint="eastAsia"/>
                      <w:kern w:val="0"/>
                      <w:szCs w:val="20"/>
                    </w:rPr>
                    <w:t>约8</w:t>
                  </w:r>
                  <w:r>
                    <w:rPr>
                      <w:kern w:val="0"/>
                      <w:szCs w:val="20"/>
                    </w:rPr>
                    <w:t>00</w:t>
                  </w:r>
                  <w:r>
                    <w:rPr>
                      <w:rFonts w:hint="eastAsia"/>
                      <w:kern w:val="0"/>
                      <w:szCs w:val="20"/>
                    </w:rPr>
                    <w:t>人</w:t>
                  </w:r>
                </w:p>
              </w:tc>
              <w:tc>
                <w:tcPr>
                  <w:tcW w:w="1109" w:type="pct"/>
                  <w:vMerge w:val="continue"/>
                  <w:vAlign w:val="center"/>
                </w:tcPr>
                <w:p>
                  <w:pPr>
                    <w:pStyle w:val="45"/>
                    <w:rPr>
                      <w:kern w:val="0"/>
                      <w:szCs w:val="20"/>
                    </w:rPr>
                  </w:pPr>
                </w:p>
              </w:tc>
              <w:tc>
                <w:tcPr>
                  <w:tcW w:w="652" w:type="pct"/>
                  <w:vAlign w:val="center"/>
                </w:tcPr>
                <w:p>
                  <w:pPr>
                    <w:pStyle w:val="45"/>
                    <w:rPr>
                      <w:kern w:val="0"/>
                      <w:szCs w:val="20"/>
                    </w:rPr>
                  </w:pPr>
                  <w:r>
                    <w:rPr>
                      <w:rFonts w:hint="eastAsia"/>
                      <w:kern w:val="0"/>
                      <w:szCs w:val="20"/>
                    </w:rPr>
                    <w:t>西南</w:t>
                  </w:r>
                </w:p>
              </w:tc>
              <w:tc>
                <w:tcPr>
                  <w:tcW w:w="819" w:type="pct"/>
                  <w:vAlign w:val="center"/>
                </w:tcPr>
                <w:p>
                  <w:pPr>
                    <w:pStyle w:val="45"/>
                    <w:rPr>
                      <w:kern w:val="0"/>
                      <w:szCs w:val="20"/>
                    </w:rPr>
                  </w:pPr>
                  <w:r>
                    <w:rPr>
                      <w:rFonts w:hint="eastAsia"/>
                      <w:kern w:val="0"/>
                      <w:szCs w:val="20"/>
                    </w:rPr>
                    <w:t>4</w:t>
                  </w:r>
                  <w:r>
                    <w:rPr>
                      <w:kern w:val="0"/>
                      <w:szCs w:val="20"/>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松山</w:t>
                  </w:r>
                </w:p>
              </w:tc>
              <w:tc>
                <w:tcPr>
                  <w:tcW w:w="709" w:type="pct"/>
                  <w:vAlign w:val="center"/>
                </w:tcPr>
                <w:p>
                  <w:pPr>
                    <w:pStyle w:val="45"/>
                    <w:rPr>
                      <w:kern w:val="0"/>
                      <w:szCs w:val="20"/>
                    </w:rPr>
                  </w:pPr>
                  <w:r>
                    <w:rPr>
                      <w:kern w:val="0"/>
                      <w:szCs w:val="20"/>
                    </w:rPr>
                    <w:t>居民</w:t>
                  </w:r>
                </w:p>
              </w:tc>
              <w:tc>
                <w:tcPr>
                  <w:tcW w:w="975" w:type="pct"/>
                  <w:vAlign w:val="center"/>
                </w:tcPr>
                <w:p>
                  <w:pPr>
                    <w:pStyle w:val="45"/>
                    <w:rPr>
                      <w:kern w:val="0"/>
                      <w:szCs w:val="20"/>
                    </w:rPr>
                  </w:pPr>
                  <w:r>
                    <w:rPr>
                      <w:kern w:val="0"/>
                      <w:szCs w:val="20"/>
                    </w:rPr>
                    <w:t>约1500人</w:t>
                  </w:r>
                </w:p>
              </w:tc>
              <w:tc>
                <w:tcPr>
                  <w:tcW w:w="1109" w:type="pct"/>
                  <w:vMerge w:val="continue"/>
                  <w:vAlign w:val="center"/>
                </w:tcPr>
                <w:p>
                  <w:pPr>
                    <w:pStyle w:val="45"/>
                    <w:rPr>
                      <w:kern w:val="0"/>
                      <w:szCs w:val="20"/>
                    </w:rPr>
                  </w:pPr>
                </w:p>
              </w:tc>
              <w:tc>
                <w:tcPr>
                  <w:tcW w:w="652" w:type="pct"/>
                  <w:vAlign w:val="center"/>
                </w:tcPr>
                <w:p>
                  <w:pPr>
                    <w:pStyle w:val="45"/>
                    <w:rPr>
                      <w:kern w:val="0"/>
                      <w:szCs w:val="20"/>
                    </w:rPr>
                  </w:pPr>
                  <w:r>
                    <w:rPr>
                      <w:kern w:val="0"/>
                      <w:szCs w:val="20"/>
                    </w:rPr>
                    <w:t>东南</w:t>
                  </w:r>
                </w:p>
              </w:tc>
              <w:tc>
                <w:tcPr>
                  <w:tcW w:w="819" w:type="pct"/>
                  <w:vAlign w:val="center"/>
                </w:tcPr>
                <w:p>
                  <w:pPr>
                    <w:pStyle w:val="45"/>
                    <w:rPr>
                      <w:kern w:val="0"/>
                      <w:szCs w:val="20"/>
                    </w:rPr>
                  </w:pPr>
                  <w:r>
                    <w:rPr>
                      <w:kern w:val="0"/>
                      <w:szCs w:val="20"/>
                    </w:rPr>
                    <w:t>1180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黎村</w:t>
                  </w:r>
                </w:p>
              </w:tc>
              <w:tc>
                <w:tcPr>
                  <w:tcW w:w="709" w:type="pct"/>
                  <w:vAlign w:val="center"/>
                </w:tcPr>
                <w:p>
                  <w:pPr>
                    <w:pStyle w:val="45"/>
                    <w:rPr>
                      <w:kern w:val="0"/>
                      <w:szCs w:val="20"/>
                    </w:rPr>
                  </w:pPr>
                  <w:r>
                    <w:rPr>
                      <w:kern w:val="0"/>
                      <w:szCs w:val="20"/>
                    </w:rPr>
                    <w:t>居民</w:t>
                  </w:r>
                </w:p>
              </w:tc>
              <w:tc>
                <w:tcPr>
                  <w:tcW w:w="975" w:type="pct"/>
                  <w:vAlign w:val="center"/>
                </w:tcPr>
                <w:p>
                  <w:pPr>
                    <w:pStyle w:val="45"/>
                    <w:rPr>
                      <w:kern w:val="0"/>
                      <w:szCs w:val="20"/>
                    </w:rPr>
                  </w:pPr>
                  <w:r>
                    <w:rPr>
                      <w:kern w:val="0"/>
                      <w:szCs w:val="20"/>
                    </w:rPr>
                    <w:t>约800人</w:t>
                  </w:r>
                </w:p>
              </w:tc>
              <w:tc>
                <w:tcPr>
                  <w:tcW w:w="1109" w:type="pct"/>
                  <w:vMerge w:val="continue"/>
                  <w:vAlign w:val="center"/>
                </w:tcPr>
                <w:p>
                  <w:pPr>
                    <w:pStyle w:val="45"/>
                    <w:rPr>
                      <w:kern w:val="0"/>
                      <w:szCs w:val="20"/>
                    </w:rPr>
                  </w:pPr>
                </w:p>
              </w:tc>
              <w:tc>
                <w:tcPr>
                  <w:tcW w:w="652" w:type="pct"/>
                  <w:vAlign w:val="center"/>
                </w:tcPr>
                <w:p>
                  <w:pPr>
                    <w:pStyle w:val="45"/>
                    <w:rPr>
                      <w:kern w:val="0"/>
                      <w:szCs w:val="20"/>
                    </w:rPr>
                  </w:pPr>
                  <w:r>
                    <w:rPr>
                      <w:kern w:val="0"/>
                      <w:szCs w:val="20"/>
                    </w:rPr>
                    <w:t>东</w:t>
                  </w:r>
                </w:p>
              </w:tc>
              <w:tc>
                <w:tcPr>
                  <w:tcW w:w="819" w:type="pct"/>
                  <w:vAlign w:val="center"/>
                </w:tcPr>
                <w:p>
                  <w:pPr>
                    <w:pStyle w:val="45"/>
                    <w:rPr>
                      <w:kern w:val="0"/>
                      <w:szCs w:val="20"/>
                    </w:rPr>
                  </w:pPr>
                  <w:r>
                    <w:rPr>
                      <w:kern w:val="0"/>
                      <w:szCs w:val="20"/>
                    </w:rPr>
                    <w:t>1187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东园</w:t>
                  </w:r>
                </w:p>
              </w:tc>
              <w:tc>
                <w:tcPr>
                  <w:tcW w:w="709" w:type="pct"/>
                  <w:vAlign w:val="center"/>
                </w:tcPr>
                <w:p>
                  <w:pPr>
                    <w:pStyle w:val="45"/>
                    <w:rPr>
                      <w:kern w:val="0"/>
                      <w:szCs w:val="20"/>
                    </w:rPr>
                  </w:pPr>
                  <w:r>
                    <w:rPr>
                      <w:kern w:val="0"/>
                      <w:szCs w:val="20"/>
                    </w:rPr>
                    <w:t>居民</w:t>
                  </w:r>
                </w:p>
              </w:tc>
              <w:tc>
                <w:tcPr>
                  <w:tcW w:w="975" w:type="pct"/>
                  <w:vAlign w:val="center"/>
                </w:tcPr>
                <w:p>
                  <w:pPr>
                    <w:pStyle w:val="45"/>
                    <w:rPr>
                      <w:kern w:val="0"/>
                      <w:szCs w:val="20"/>
                    </w:rPr>
                  </w:pPr>
                  <w:r>
                    <w:rPr>
                      <w:kern w:val="0"/>
                      <w:szCs w:val="20"/>
                    </w:rPr>
                    <w:t>约2000人</w:t>
                  </w:r>
                </w:p>
              </w:tc>
              <w:tc>
                <w:tcPr>
                  <w:tcW w:w="1109" w:type="pct"/>
                  <w:vMerge w:val="continue"/>
                  <w:vAlign w:val="center"/>
                </w:tcPr>
                <w:p>
                  <w:pPr>
                    <w:pStyle w:val="45"/>
                    <w:rPr>
                      <w:kern w:val="0"/>
                      <w:szCs w:val="20"/>
                    </w:rPr>
                  </w:pPr>
                </w:p>
              </w:tc>
              <w:tc>
                <w:tcPr>
                  <w:tcW w:w="652" w:type="pct"/>
                  <w:vAlign w:val="center"/>
                </w:tcPr>
                <w:p>
                  <w:pPr>
                    <w:pStyle w:val="45"/>
                    <w:rPr>
                      <w:kern w:val="0"/>
                      <w:szCs w:val="20"/>
                    </w:rPr>
                  </w:pPr>
                  <w:r>
                    <w:rPr>
                      <w:kern w:val="0"/>
                      <w:szCs w:val="20"/>
                    </w:rPr>
                    <w:t>东北</w:t>
                  </w:r>
                </w:p>
              </w:tc>
              <w:tc>
                <w:tcPr>
                  <w:tcW w:w="819" w:type="pct"/>
                  <w:vAlign w:val="center"/>
                </w:tcPr>
                <w:p>
                  <w:pPr>
                    <w:pStyle w:val="45"/>
                    <w:rPr>
                      <w:kern w:val="0"/>
                      <w:szCs w:val="20"/>
                    </w:rPr>
                  </w:pPr>
                  <w:r>
                    <w:rPr>
                      <w:kern w:val="0"/>
                      <w:szCs w:val="20"/>
                    </w:rPr>
                    <w:t>689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永贞</w:t>
                  </w:r>
                </w:p>
              </w:tc>
              <w:tc>
                <w:tcPr>
                  <w:tcW w:w="709" w:type="pct"/>
                  <w:vAlign w:val="center"/>
                </w:tcPr>
                <w:p>
                  <w:pPr>
                    <w:pStyle w:val="45"/>
                    <w:rPr>
                      <w:kern w:val="0"/>
                      <w:szCs w:val="20"/>
                    </w:rPr>
                  </w:pPr>
                  <w:r>
                    <w:rPr>
                      <w:kern w:val="0"/>
                      <w:szCs w:val="20"/>
                    </w:rPr>
                    <w:t>居民</w:t>
                  </w:r>
                </w:p>
              </w:tc>
              <w:tc>
                <w:tcPr>
                  <w:tcW w:w="975" w:type="pct"/>
                  <w:vAlign w:val="center"/>
                </w:tcPr>
                <w:p>
                  <w:pPr>
                    <w:pStyle w:val="45"/>
                    <w:rPr>
                      <w:kern w:val="0"/>
                      <w:szCs w:val="20"/>
                    </w:rPr>
                  </w:pPr>
                  <w:r>
                    <w:rPr>
                      <w:kern w:val="0"/>
                      <w:szCs w:val="20"/>
                    </w:rPr>
                    <w:t>约300人</w:t>
                  </w:r>
                </w:p>
              </w:tc>
              <w:tc>
                <w:tcPr>
                  <w:tcW w:w="1109" w:type="pct"/>
                  <w:vMerge w:val="continue"/>
                  <w:vAlign w:val="center"/>
                </w:tcPr>
                <w:p>
                  <w:pPr>
                    <w:pStyle w:val="45"/>
                    <w:rPr>
                      <w:kern w:val="0"/>
                      <w:szCs w:val="20"/>
                    </w:rPr>
                  </w:pPr>
                </w:p>
              </w:tc>
              <w:tc>
                <w:tcPr>
                  <w:tcW w:w="652" w:type="pct"/>
                  <w:vAlign w:val="center"/>
                </w:tcPr>
                <w:p>
                  <w:pPr>
                    <w:pStyle w:val="45"/>
                    <w:rPr>
                      <w:kern w:val="0"/>
                      <w:szCs w:val="20"/>
                    </w:rPr>
                  </w:pPr>
                  <w:r>
                    <w:rPr>
                      <w:kern w:val="0"/>
                      <w:szCs w:val="20"/>
                    </w:rPr>
                    <w:t>东北</w:t>
                  </w:r>
                </w:p>
              </w:tc>
              <w:tc>
                <w:tcPr>
                  <w:tcW w:w="819" w:type="pct"/>
                  <w:vAlign w:val="center"/>
                </w:tcPr>
                <w:p>
                  <w:pPr>
                    <w:pStyle w:val="45"/>
                    <w:rPr>
                      <w:kern w:val="0"/>
                      <w:szCs w:val="20"/>
                    </w:rPr>
                  </w:pPr>
                  <w:r>
                    <w:rPr>
                      <w:kern w:val="0"/>
                      <w:szCs w:val="20"/>
                    </w:rPr>
                    <w:t>700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庆宁</w:t>
                  </w:r>
                </w:p>
              </w:tc>
              <w:tc>
                <w:tcPr>
                  <w:tcW w:w="709" w:type="pct"/>
                  <w:vAlign w:val="center"/>
                </w:tcPr>
                <w:p>
                  <w:pPr>
                    <w:pStyle w:val="45"/>
                    <w:rPr>
                      <w:kern w:val="0"/>
                      <w:szCs w:val="21"/>
                    </w:rPr>
                  </w:pPr>
                  <w:r>
                    <w:rPr>
                      <w:kern w:val="0"/>
                      <w:szCs w:val="21"/>
                    </w:rPr>
                    <w:t>居民</w:t>
                  </w:r>
                </w:p>
              </w:tc>
              <w:tc>
                <w:tcPr>
                  <w:tcW w:w="975" w:type="pct"/>
                  <w:vAlign w:val="center"/>
                </w:tcPr>
                <w:p>
                  <w:pPr>
                    <w:pStyle w:val="45"/>
                    <w:rPr>
                      <w:kern w:val="0"/>
                      <w:szCs w:val="21"/>
                    </w:rPr>
                  </w:pPr>
                  <w:r>
                    <w:rPr>
                      <w:kern w:val="0"/>
                      <w:szCs w:val="21"/>
                    </w:rPr>
                    <w:t>约1000人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kern w:val="0"/>
                      <w:szCs w:val="21"/>
                    </w:rPr>
                    <w:t>西北</w:t>
                  </w:r>
                </w:p>
              </w:tc>
              <w:tc>
                <w:tcPr>
                  <w:tcW w:w="819" w:type="pct"/>
                  <w:vAlign w:val="center"/>
                </w:tcPr>
                <w:p>
                  <w:pPr>
                    <w:pStyle w:val="45"/>
                    <w:rPr>
                      <w:kern w:val="0"/>
                      <w:szCs w:val="21"/>
                    </w:rPr>
                  </w:pPr>
                  <w:r>
                    <w:rPr>
                      <w:kern w:val="0"/>
                      <w:szCs w:val="21"/>
                    </w:rPr>
                    <w:t>725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罗岗</w:t>
                  </w:r>
                </w:p>
              </w:tc>
              <w:tc>
                <w:tcPr>
                  <w:tcW w:w="709" w:type="pct"/>
                  <w:vAlign w:val="center"/>
                </w:tcPr>
                <w:p>
                  <w:pPr>
                    <w:pStyle w:val="45"/>
                    <w:rPr>
                      <w:kern w:val="0"/>
                      <w:szCs w:val="21"/>
                    </w:rPr>
                  </w:pPr>
                  <w:r>
                    <w:rPr>
                      <w:kern w:val="0"/>
                      <w:szCs w:val="21"/>
                    </w:rPr>
                    <w:t>居民</w:t>
                  </w:r>
                </w:p>
              </w:tc>
              <w:tc>
                <w:tcPr>
                  <w:tcW w:w="975" w:type="pct"/>
                  <w:vAlign w:val="center"/>
                </w:tcPr>
                <w:p>
                  <w:pPr>
                    <w:pStyle w:val="45"/>
                    <w:rPr>
                      <w:kern w:val="0"/>
                      <w:szCs w:val="21"/>
                    </w:rPr>
                  </w:pPr>
                  <w:r>
                    <w:rPr>
                      <w:kern w:val="0"/>
                      <w:szCs w:val="21"/>
                    </w:rPr>
                    <w:t>约1350人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kern w:val="0"/>
                      <w:szCs w:val="21"/>
                    </w:rPr>
                    <w:t>西北</w:t>
                  </w:r>
                </w:p>
              </w:tc>
              <w:tc>
                <w:tcPr>
                  <w:tcW w:w="819" w:type="pct"/>
                  <w:vAlign w:val="center"/>
                </w:tcPr>
                <w:p>
                  <w:pPr>
                    <w:pStyle w:val="45"/>
                    <w:rPr>
                      <w:kern w:val="0"/>
                      <w:szCs w:val="21"/>
                    </w:rPr>
                  </w:pPr>
                  <w:r>
                    <w:rPr>
                      <w:kern w:val="0"/>
                      <w:szCs w:val="21"/>
                    </w:rPr>
                    <w:t>576.8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平冈</w:t>
                  </w:r>
                </w:p>
              </w:tc>
              <w:tc>
                <w:tcPr>
                  <w:tcW w:w="709" w:type="pct"/>
                  <w:vAlign w:val="center"/>
                </w:tcPr>
                <w:p>
                  <w:pPr>
                    <w:pStyle w:val="45"/>
                    <w:rPr>
                      <w:kern w:val="0"/>
                      <w:szCs w:val="21"/>
                    </w:rPr>
                  </w:pPr>
                  <w:r>
                    <w:rPr>
                      <w:kern w:val="0"/>
                      <w:szCs w:val="21"/>
                    </w:rPr>
                    <w:t>居民</w:t>
                  </w:r>
                </w:p>
              </w:tc>
              <w:tc>
                <w:tcPr>
                  <w:tcW w:w="975" w:type="pct"/>
                  <w:vAlign w:val="center"/>
                </w:tcPr>
                <w:p>
                  <w:pPr>
                    <w:pStyle w:val="45"/>
                    <w:rPr>
                      <w:kern w:val="0"/>
                      <w:szCs w:val="21"/>
                    </w:rPr>
                  </w:pPr>
                  <w:r>
                    <w:rPr>
                      <w:kern w:val="0"/>
                      <w:szCs w:val="21"/>
                    </w:rPr>
                    <w:t>约2000人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kern w:val="0"/>
                      <w:szCs w:val="21"/>
                    </w:rPr>
                    <w:t>西北</w:t>
                  </w:r>
                </w:p>
              </w:tc>
              <w:tc>
                <w:tcPr>
                  <w:tcW w:w="819" w:type="pct"/>
                  <w:vAlign w:val="center"/>
                </w:tcPr>
                <w:p>
                  <w:pPr>
                    <w:pStyle w:val="45"/>
                    <w:rPr>
                      <w:kern w:val="0"/>
                      <w:szCs w:val="21"/>
                    </w:rPr>
                  </w:pPr>
                  <w:r>
                    <w:rPr>
                      <w:kern w:val="0"/>
                      <w:szCs w:val="21"/>
                    </w:rPr>
                    <w:t>310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rFonts w:hint="eastAsia"/>
                      <w:kern w:val="0"/>
                      <w:szCs w:val="20"/>
                    </w:rPr>
                    <w:t>龙江</w:t>
                  </w:r>
                </w:p>
              </w:tc>
              <w:tc>
                <w:tcPr>
                  <w:tcW w:w="709" w:type="pct"/>
                  <w:vAlign w:val="center"/>
                </w:tcPr>
                <w:p>
                  <w:pPr>
                    <w:pStyle w:val="45"/>
                    <w:rPr>
                      <w:kern w:val="0"/>
                      <w:szCs w:val="21"/>
                    </w:rPr>
                  </w:pPr>
                  <w:r>
                    <w:rPr>
                      <w:rFonts w:hint="eastAsia"/>
                      <w:kern w:val="0"/>
                      <w:szCs w:val="21"/>
                    </w:rPr>
                    <w:t>居民</w:t>
                  </w:r>
                </w:p>
              </w:tc>
              <w:tc>
                <w:tcPr>
                  <w:tcW w:w="975" w:type="pct"/>
                  <w:vAlign w:val="center"/>
                </w:tcPr>
                <w:p>
                  <w:pPr>
                    <w:pStyle w:val="45"/>
                    <w:rPr>
                      <w:kern w:val="0"/>
                      <w:szCs w:val="21"/>
                    </w:rPr>
                  </w:pPr>
                  <w:r>
                    <w:rPr>
                      <w:rFonts w:hint="eastAsia"/>
                      <w:kern w:val="0"/>
                      <w:szCs w:val="21"/>
                    </w:rPr>
                    <w:t>约1</w:t>
                  </w:r>
                  <w:r>
                    <w:rPr>
                      <w:kern w:val="0"/>
                      <w:szCs w:val="21"/>
                    </w:rPr>
                    <w:t>000</w:t>
                  </w:r>
                  <w:r>
                    <w:rPr>
                      <w:rFonts w:hint="eastAsia"/>
                      <w:kern w:val="0"/>
                      <w:szCs w:val="21"/>
                    </w:rPr>
                    <w:t>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rFonts w:hint="eastAsia"/>
                      <w:kern w:val="0"/>
                      <w:szCs w:val="21"/>
                    </w:rPr>
                    <w:t>西北</w:t>
                  </w:r>
                </w:p>
              </w:tc>
              <w:tc>
                <w:tcPr>
                  <w:tcW w:w="819" w:type="pct"/>
                  <w:vAlign w:val="center"/>
                </w:tcPr>
                <w:p>
                  <w:pPr>
                    <w:pStyle w:val="45"/>
                    <w:rPr>
                      <w:kern w:val="0"/>
                      <w:szCs w:val="21"/>
                    </w:rPr>
                  </w:pPr>
                  <w:r>
                    <w:rPr>
                      <w:rFonts w:hint="eastAsia"/>
                      <w:kern w:val="0"/>
                      <w:szCs w:val="21"/>
                    </w:rPr>
                    <w:t>5</w:t>
                  </w:r>
                  <w:r>
                    <w:rPr>
                      <w:kern w:val="0"/>
                      <w:szCs w:val="21"/>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kern w:val="0"/>
                      <w:szCs w:val="20"/>
                    </w:rPr>
                    <w:t>乐安</w:t>
                  </w:r>
                </w:p>
              </w:tc>
              <w:tc>
                <w:tcPr>
                  <w:tcW w:w="709" w:type="pct"/>
                  <w:vAlign w:val="center"/>
                </w:tcPr>
                <w:p>
                  <w:pPr>
                    <w:pStyle w:val="45"/>
                    <w:rPr>
                      <w:kern w:val="0"/>
                      <w:szCs w:val="21"/>
                    </w:rPr>
                  </w:pPr>
                  <w:r>
                    <w:rPr>
                      <w:kern w:val="0"/>
                      <w:szCs w:val="21"/>
                    </w:rPr>
                    <w:t>居民</w:t>
                  </w:r>
                </w:p>
              </w:tc>
              <w:tc>
                <w:tcPr>
                  <w:tcW w:w="975" w:type="pct"/>
                  <w:vAlign w:val="center"/>
                </w:tcPr>
                <w:p>
                  <w:pPr>
                    <w:pStyle w:val="45"/>
                    <w:rPr>
                      <w:kern w:val="0"/>
                      <w:szCs w:val="21"/>
                    </w:rPr>
                  </w:pPr>
                  <w:r>
                    <w:rPr>
                      <w:kern w:val="0"/>
                      <w:szCs w:val="21"/>
                    </w:rPr>
                    <w:t>约200人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kern w:val="0"/>
                      <w:szCs w:val="21"/>
                    </w:rPr>
                    <w:t>西南</w:t>
                  </w:r>
                </w:p>
              </w:tc>
              <w:tc>
                <w:tcPr>
                  <w:tcW w:w="819" w:type="pct"/>
                  <w:vAlign w:val="center"/>
                </w:tcPr>
                <w:p>
                  <w:pPr>
                    <w:pStyle w:val="45"/>
                    <w:rPr>
                      <w:kern w:val="0"/>
                      <w:szCs w:val="21"/>
                    </w:rPr>
                  </w:pPr>
                  <w:r>
                    <w:rPr>
                      <w:kern w:val="0"/>
                      <w:szCs w:val="21"/>
                    </w:rPr>
                    <w:t>994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0"/>
                    </w:rPr>
                  </w:pPr>
                  <w:r>
                    <w:rPr>
                      <w:rFonts w:hint="eastAsia"/>
                      <w:kern w:val="0"/>
                      <w:szCs w:val="20"/>
                    </w:rPr>
                    <w:t>乐雅苑</w:t>
                  </w:r>
                </w:p>
              </w:tc>
              <w:tc>
                <w:tcPr>
                  <w:tcW w:w="709" w:type="pct"/>
                  <w:vAlign w:val="center"/>
                </w:tcPr>
                <w:p>
                  <w:pPr>
                    <w:pStyle w:val="45"/>
                    <w:rPr>
                      <w:kern w:val="0"/>
                      <w:szCs w:val="21"/>
                    </w:rPr>
                  </w:pPr>
                  <w:r>
                    <w:rPr>
                      <w:rFonts w:hint="eastAsia"/>
                      <w:kern w:val="0"/>
                      <w:szCs w:val="21"/>
                    </w:rPr>
                    <w:t>居民</w:t>
                  </w:r>
                </w:p>
              </w:tc>
              <w:tc>
                <w:tcPr>
                  <w:tcW w:w="975" w:type="pct"/>
                  <w:vAlign w:val="center"/>
                </w:tcPr>
                <w:p>
                  <w:pPr>
                    <w:pStyle w:val="45"/>
                    <w:rPr>
                      <w:kern w:val="0"/>
                      <w:szCs w:val="21"/>
                    </w:rPr>
                  </w:pPr>
                  <w:r>
                    <w:rPr>
                      <w:rFonts w:hint="eastAsia"/>
                      <w:kern w:val="0"/>
                      <w:szCs w:val="21"/>
                    </w:rPr>
                    <w:t>约3</w:t>
                  </w:r>
                  <w:r>
                    <w:rPr>
                      <w:kern w:val="0"/>
                      <w:szCs w:val="21"/>
                    </w:rPr>
                    <w:t>000</w:t>
                  </w:r>
                  <w:r>
                    <w:rPr>
                      <w:rFonts w:hint="eastAsia"/>
                      <w:kern w:val="0"/>
                      <w:szCs w:val="21"/>
                    </w:rPr>
                    <w:t>人</w:t>
                  </w:r>
                </w:p>
              </w:tc>
              <w:tc>
                <w:tcPr>
                  <w:tcW w:w="1109" w:type="pct"/>
                  <w:vMerge w:val="continue"/>
                  <w:vAlign w:val="center"/>
                </w:tcPr>
                <w:p>
                  <w:pPr>
                    <w:pStyle w:val="45"/>
                    <w:rPr>
                      <w:kern w:val="0"/>
                      <w:szCs w:val="21"/>
                    </w:rPr>
                  </w:pPr>
                </w:p>
              </w:tc>
              <w:tc>
                <w:tcPr>
                  <w:tcW w:w="652" w:type="pct"/>
                  <w:vAlign w:val="center"/>
                </w:tcPr>
                <w:p>
                  <w:pPr>
                    <w:pStyle w:val="45"/>
                    <w:rPr>
                      <w:kern w:val="0"/>
                      <w:szCs w:val="21"/>
                    </w:rPr>
                  </w:pPr>
                  <w:r>
                    <w:rPr>
                      <w:rFonts w:hint="eastAsia"/>
                      <w:kern w:val="0"/>
                      <w:szCs w:val="21"/>
                    </w:rPr>
                    <w:t>西南</w:t>
                  </w:r>
                </w:p>
              </w:tc>
              <w:tc>
                <w:tcPr>
                  <w:tcW w:w="819" w:type="pct"/>
                  <w:vAlign w:val="center"/>
                </w:tcPr>
                <w:p>
                  <w:pPr>
                    <w:pStyle w:val="45"/>
                    <w:rPr>
                      <w:kern w:val="0"/>
                      <w:szCs w:val="21"/>
                    </w:rPr>
                  </w:pPr>
                  <w:r>
                    <w:rPr>
                      <w:rFonts w:hint="eastAsia"/>
                      <w:kern w:val="0"/>
                      <w:szCs w:val="21"/>
                    </w:rPr>
                    <w:t>7</w:t>
                  </w:r>
                  <w:r>
                    <w:rPr>
                      <w:kern w:val="0"/>
                      <w:szCs w:val="21"/>
                    </w:rPr>
                    <w:t>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736" w:type="pct"/>
                  <w:vAlign w:val="center"/>
                </w:tcPr>
                <w:p>
                  <w:pPr>
                    <w:pStyle w:val="45"/>
                    <w:rPr>
                      <w:kern w:val="0"/>
                      <w:szCs w:val="21"/>
                    </w:rPr>
                  </w:pPr>
                  <w:r>
                    <w:rPr>
                      <w:kern w:val="0"/>
                      <w:szCs w:val="21"/>
                    </w:rPr>
                    <w:t>潭江</w:t>
                  </w:r>
                </w:p>
              </w:tc>
              <w:tc>
                <w:tcPr>
                  <w:tcW w:w="709" w:type="pct"/>
                  <w:vAlign w:val="center"/>
                </w:tcPr>
                <w:p>
                  <w:pPr>
                    <w:pStyle w:val="45"/>
                    <w:rPr>
                      <w:kern w:val="0"/>
                      <w:szCs w:val="21"/>
                    </w:rPr>
                  </w:pPr>
                  <w:r>
                    <w:rPr>
                      <w:kern w:val="0"/>
                      <w:szCs w:val="21"/>
                    </w:rPr>
                    <w:t>河流</w:t>
                  </w:r>
                </w:p>
              </w:tc>
              <w:tc>
                <w:tcPr>
                  <w:tcW w:w="975" w:type="pct"/>
                  <w:vAlign w:val="center"/>
                </w:tcPr>
                <w:p>
                  <w:pPr>
                    <w:pStyle w:val="45"/>
                    <w:rPr>
                      <w:kern w:val="0"/>
                      <w:szCs w:val="21"/>
                    </w:rPr>
                  </w:pPr>
                  <w:r>
                    <w:rPr>
                      <w:kern w:val="0"/>
                      <w:szCs w:val="21"/>
                    </w:rPr>
                    <w:t>水质</w:t>
                  </w:r>
                </w:p>
              </w:tc>
              <w:tc>
                <w:tcPr>
                  <w:tcW w:w="1109" w:type="pct"/>
                  <w:vAlign w:val="center"/>
                </w:tcPr>
                <w:p>
                  <w:pPr>
                    <w:pStyle w:val="45"/>
                    <w:rPr>
                      <w:kern w:val="0"/>
                      <w:szCs w:val="21"/>
                    </w:rPr>
                  </w:pPr>
                  <w:r>
                    <w:rPr>
                      <w:kern w:val="0"/>
                      <w:szCs w:val="21"/>
                    </w:rPr>
                    <w:t>II类水质功能区</w:t>
                  </w:r>
                </w:p>
              </w:tc>
              <w:tc>
                <w:tcPr>
                  <w:tcW w:w="652" w:type="pct"/>
                  <w:vAlign w:val="center"/>
                </w:tcPr>
                <w:p>
                  <w:pPr>
                    <w:pStyle w:val="45"/>
                    <w:rPr>
                      <w:kern w:val="0"/>
                      <w:szCs w:val="21"/>
                    </w:rPr>
                  </w:pPr>
                  <w:r>
                    <w:rPr>
                      <w:kern w:val="0"/>
                      <w:szCs w:val="21"/>
                    </w:rPr>
                    <w:t>南</w:t>
                  </w:r>
                </w:p>
              </w:tc>
              <w:tc>
                <w:tcPr>
                  <w:tcW w:w="819" w:type="pct"/>
                  <w:vAlign w:val="center"/>
                </w:tcPr>
                <w:p>
                  <w:pPr>
                    <w:pStyle w:val="45"/>
                    <w:rPr>
                      <w:kern w:val="0"/>
                      <w:szCs w:val="21"/>
                    </w:rPr>
                  </w:pPr>
                  <w:r>
                    <w:rPr>
                      <w:kern w:val="0"/>
                      <w:szCs w:val="21"/>
                    </w:rPr>
                    <w:t>1562</w:t>
                  </w:r>
                </w:p>
              </w:tc>
            </w:tr>
          </w:tbl>
          <w:p>
            <w:pPr>
              <w:adjustRightInd w:val="0"/>
              <w:snapToGrid w:val="0"/>
              <w:ind w:firstLine="420"/>
              <w:rPr>
                <w:rFonts w:cs="Times New Roman"/>
                <w:color w:val="000000"/>
                <w:sz w:val="21"/>
                <w:szCs w:val="21"/>
              </w:rPr>
            </w:pPr>
          </w:p>
        </w:tc>
      </w:tr>
    </w:tbl>
    <w:p>
      <w:pPr>
        <w:ind w:firstLine="48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bookmarkStart w:id="11" w:name="_Toc27729833"/>
      <w:r>
        <w:rPr>
          <w:rFonts w:cs="Times New Roman"/>
        </w:rPr>
        <w:t>评价适用标准</w:t>
      </w:r>
      <w:bookmarkEnd w:id="11"/>
    </w:p>
    <w:tbl>
      <w:tblPr>
        <w:tblStyle w:val="22"/>
        <w:tblW w:w="9287"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541"/>
        <w:gridCol w:w="874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dxa"/>
            <w:tcBorders>
              <w:bottom w:val="single" w:color="auto" w:sz="4" w:space="0"/>
            </w:tcBorders>
            <w:vAlign w:val="center"/>
          </w:tcPr>
          <w:p>
            <w:pPr>
              <w:adjustRightInd w:val="0"/>
              <w:snapToGrid w:val="0"/>
              <w:ind w:firstLine="0" w:firstLineChars="0"/>
              <w:jc w:val="center"/>
              <w:rPr>
                <w:rFonts w:cs="Times New Roman"/>
                <w:color w:val="000000"/>
              </w:rPr>
            </w:pPr>
            <w:r>
              <w:rPr>
                <w:rFonts w:cs="Times New Roman"/>
                <w:color w:val="000000"/>
              </w:rPr>
              <w:t>环</w:t>
            </w:r>
          </w:p>
          <w:p>
            <w:pPr>
              <w:adjustRightInd w:val="0"/>
              <w:snapToGrid w:val="0"/>
              <w:ind w:firstLine="0" w:firstLineChars="0"/>
              <w:jc w:val="center"/>
              <w:rPr>
                <w:rFonts w:cs="Times New Roman"/>
                <w:color w:val="000000"/>
              </w:rPr>
            </w:pPr>
            <w:r>
              <w:rPr>
                <w:rFonts w:cs="Times New Roman"/>
                <w:color w:val="000000"/>
              </w:rPr>
              <w:t>境</w:t>
            </w:r>
          </w:p>
          <w:p>
            <w:pPr>
              <w:adjustRightInd w:val="0"/>
              <w:snapToGrid w:val="0"/>
              <w:ind w:firstLine="0" w:firstLineChars="0"/>
              <w:jc w:val="center"/>
              <w:rPr>
                <w:rFonts w:cs="Times New Roman"/>
                <w:color w:val="000000"/>
              </w:rPr>
            </w:pPr>
            <w:r>
              <w:rPr>
                <w:rFonts w:cs="Times New Roman"/>
                <w:color w:val="000000"/>
              </w:rPr>
              <w:t>质</w:t>
            </w:r>
          </w:p>
          <w:p>
            <w:pPr>
              <w:adjustRightInd w:val="0"/>
              <w:snapToGrid w:val="0"/>
              <w:ind w:firstLine="0" w:firstLineChars="0"/>
              <w:jc w:val="center"/>
              <w:rPr>
                <w:rFonts w:cs="Times New Roman"/>
                <w:color w:val="000000"/>
              </w:rPr>
            </w:pPr>
            <w:r>
              <w:rPr>
                <w:rFonts w:cs="Times New Roman"/>
                <w:color w:val="000000"/>
              </w:rPr>
              <w:t>量</w:t>
            </w:r>
          </w:p>
          <w:p>
            <w:pPr>
              <w:adjustRightInd w:val="0"/>
              <w:snapToGrid w:val="0"/>
              <w:ind w:firstLine="0" w:firstLineChars="0"/>
              <w:jc w:val="center"/>
              <w:rPr>
                <w:rFonts w:cs="Times New Roman"/>
                <w:color w:val="000000"/>
              </w:rPr>
            </w:pPr>
            <w:r>
              <w:rPr>
                <w:rFonts w:cs="Times New Roman"/>
                <w:color w:val="000000"/>
              </w:rPr>
              <w:t>标</w:t>
            </w:r>
          </w:p>
          <w:p>
            <w:pPr>
              <w:adjustRightInd w:val="0"/>
              <w:snapToGrid w:val="0"/>
              <w:ind w:firstLine="0" w:firstLineChars="0"/>
              <w:jc w:val="center"/>
              <w:rPr>
                <w:rFonts w:cs="Times New Roman"/>
                <w:color w:val="000000"/>
              </w:rPr>
            </w:pPr>
            <w:r>
              <w:rPr>
                <w:rFonts w:cs="Times New Roman"/>
                <w:color w:val="000000"/>
              </w:rPr>
              <w:t>准</w:t>
            </w:r>
          </w:p>
        </w:tc>
        <w:tc>
          <w:tcPr>
            <w:tcW w:w="8746" w:type="dxa"/>
            <w:tcBorders>
              <w:bottom w:val="single" w:color="auto" w:sz="4" w:space="0"/>
            </w:tcBorders>
            <w:vAlign w:val="center"/>
          </w:tcPr>
          <w:p>
            <w:pPr>
              <w:pStyle w:val="20"/>
              <w:ind w:firstLine="0" w:firstLineChars="0"/>
              <w:rPr>
                <w:lang w:val="zh-CN"/>
              </w:rPr>
            </w:pPr>
            <w:r>
              <w:rPr>
                <w:lang w:val="zh-CN"/>
              </w:rPr>
              <w:t>4.1环境空气质量标准</w:t>
            </w:r>
          </w:p>
          <w:p>
            <w:pPr>
              <w:adjustRightInd w:val="0"/>
              <w:snapToGrid w:val="0"/>
              <w:ind w:firstLine="480"/>
              <w:rPr>
                <w:rFonts w:cs="Times New Roman"/>
                <w:bCs/>
                <w:color w:val="000000"/>
              </w:rPr>
            </w:pPr>
            <w:r>
              <w:rPr>
                <w:rFonts w:cs="Times New Roman"/>
                <w:bCs/>
                <w:color w:val="000000"/>
              </w:rPr>
              <w:t>本项目所在区域环境空气质量执行《环境空气质量标准》（GB3095-2012）及其修改单（2018年）中的二级标准，详见下表：</w:t>
            </w:r>
          </w:p>
          <w:p>
            <w:pPr>
              <w:adjustRightInd w:val="0"/>
              <w:snapToGrid w:val="0"/>
              <w:spacing w:line="240" w:lineRule="auto"/>
              <w:ind w:firstLine="480" w:firstLineChars="0"/>
              <w:jc w:val="center"/>
              <w:rPr>
                <w:rFonts w:cs="Times New Roman"/>
                <w:b/>
                <w:color w:val="000000"/>
                <w:sz w:val="21"/>
                <w:lang w:val="zh-CN"/>
              </w:rPr>
            </w:pPr>
            <w:r>
              <w:rPr>
                <w:rFonts w:cs="Times New Roman"/>
                <w:b/>
                <w:color w:val="000000"/>
                <w:sz w:val="21"/>
                <w:lang w:val="zh-CN"/>
              </w:rPr>
              <w:t>表4-1  项目所在区域环境空气质量标准  单位：mg/m</w:t>
            </w:r>
            <w:r>
              <w:rPr>
                <w:rFonts w:cs="Times New Roman"/>
                <w:b/>
                <w:color w:val="000000"/>
                <w:sz w:val="21"/>
                <w:vertAlign w:val="superscript"/>
                <w:lang w:val="zh-CN"/>
              </w:rPr>
              <w:t>3</w:t>
            </w:r>
            <w:r>
              <w:rPr>
                <w:rFonts w:cs="Times New Roman"/>
                <w:b/>
                <w:color w:val="000000"/>
                <w:sz w:val="21"/>
                <w:lang w:val="zh-CN"/>
              </w:rPr>
              <w:t xml:space="preserve"> </w:t>
            </w:r>
          </w:p>
          <w:tbl>
            <w:tblPr>
              <w:tblStyle w:val="42"/>
              <w:tblW w:w="85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2268"/>
              <w:gridCol w:w="1457"/>
              <w:gridCol w:w="2789"/>
              <w:gridCol w:w="11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Merge w:val="restart"/>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污染物名称</w:t>
                  </w:r>
                </w:p>
              </w:tc>
              <w:tc>
                <w:tcPr>
                  <w:tcW w:w="2268" w:type="dxa"/>
                  <w:vMerge w:val="restart"/>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评价标准</w:t>
                  </w:r>
                </w:p>
              </w:tc>
              <w:tc>
                <w:tcPr>
                  <w:tcW w:w="5362" w:type="dxa"/>
                  <w:gridSpan w:val="3"/>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二级标准限值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Merge w:val="continue"/>
                  <w:vAlign w:val="center"/>
                </w:tcPr>
                <w:p>
                  <w:pPr>
                    <w:numPr>
                      <w:ilvl w:val="0"/>
                      <w:numId w:val="3"/>
                    </w:numPr>
                    <w:adjustRightInd w:val="0"/>
                    <w:snapToGrid w:val="0"/>
                    <w:spacing w:line="240" w:lineRule="auto"/>
                    <w:ind w:left="0" w:firstLineChars="0"/>
                    <w:rPr>
                      <w:rFonts w:cs="Times New Roman"/>
                      <w:color w:val="000000"/>
                      <w:kern w:val="0"/>
                      <w:sz w:val="21"/>
                      <w:szCs w:val="20"/>
                      <w:lang w:val="zh-CN"/>
                    </w:rPr>
                  </w:pPr>
                </w:p>
              </w:tc>
              <w:tc>
                <w:tcPr>
                  <w:tcW w:w="2268" w:type="dxa"/>
                  <w:vMerge w:val="continue"/>
                  <w:vAlign w:val="center"/>
                </w:tcPr>
                <w:p>
                  <w:pPr>
                    <w:numPr>
                      <w:ilvl w:val="0"/>
                      <w:numId w:val="3"/>
                    </w:numPr>
                    <w:adjustRightInd w:val="0"/>
                    <w:snapToGrid w:val="0"/>
                    <w:spacing w:line="240" w:lineRule="auto"/>
                    <w:ind w:left="0" w:firstLineChars="0"/>
                    <w:rPr>
                      <w:rFonts w:cs="Times New Roman"/>
                      <w:color w:val="00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1小时平均</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24小时平均</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年平均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SO</w:t>
                  </w:r>
                  <w:r>
                    <w:rPr>
                      <w:rFonts w:cs="Times New Roman"/>
                      <w:color w:val="000000"/>
                      <w:kern w:val="0"/>
                      <w:sz w:val="21"/>
                      <w:szCs w:val="20"/>
                      <w:vertAlign w:val="subscript"/>
                      <w:lang w:val="zh-CN"/>
                    </w:rPr>
                    <w:t>2</w:t>
                  </w:r>
                </w:p>
              </w:tc>
              <w:tc>
                <w:tcPr>
                  <w:tcW w:w="2268" w:type="dxa"/>
                  <w:vMerge w:val="restart"/>
                  <w:vAlign w:val="center"/>
                </w:tcPr>
                <w:p>
                  <w:pPr>
                    <w:adjustRightInd w:val="0"/>
                    <w:snapToGrid w:val="0"/>
                    <w:spacing w:line="240" w:lineRule="auto"/>
                    <w:ind w:firstLine="0" w:firstLineChars="0"/>
                    <w:rPr>
                      <w:rFonts w:cs="Times New Roman"/>
                      <w:color w:val="000000" w:themeColor="text1"/>
                      <w:kern w:val="0"/>
                      <w:sz w:val="21"/>
                      <w:szCs w:val="20"/>
                      <w:lang w:val="zh-CN"/>
                    </w:rPr>
                  </w:pPr>
                  <w:r>
                    <w:rPr>
                      <w:rFonts w:cs="Times New Roman"/>
                      <w:color w:val="000000" w:themeColor="text1"/>
                      <w:kern w:val="0"/>
                      <w:sz w:val="21"/>
                      <w:szCs w:val="20"/>
                      <w:lang w:val="zh-CN"/>
                    </w:rPr>
                    <w:t>环境空气质量标准（GB3095-2012）及其修改单（2018年）</w:t>
                  </w:r>
                </w:p>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0.5</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0.15</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NO</w:t>
                  </w:r>
                  <w:r>
                    <w:rPr>
                      <w:rFonts w:cs="Times New Roman"/>
                      <w:color w:val="000000"/>
                      <w:kern w:val="0"/>
                      <w:sz w:val="21"/>
                      <w:szCs w:val="20"/>
                      <w:vertAlign w:val="subscript"/>
                      <w:lang w:val="zh-CN"/>
                    </w:rPr>
                    <w:t>2</w:t>
                  </w:r>
                </w:p>
              </w:tc>
              <w:tc>
                <w:tcPr>
                  <w:tcW w:w="2268" w:type="dxa"/>
                  <w:vMerge w:val="continue"/>
                  <w:vAlign w:val="center"/>
                </w:tcPr>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0.2</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0.08</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CO</w:t>
                  </w:r>
                </w:p>
              </w:tc>
              <w:tc>
                <w:tcPr>
                  <w:tcW w:w="2268" w:type="dxa"/>
                  <w:vMerge w:val="continue"/>
                  <w:vAlign w:val="center"/>
                </w:tcPr>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10</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4</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vertAlign w:val="subscript"/>
                      <w:lang w:val="zh-CN"/>
                    </w:rPr>
                  </w:pPr>
                  <w:r>
                    <w:rPr>
                      <w:rFonts w:cs="Times New Roman"/>
                      <w:color w:val="000000"/>
                      <w:kern w:val="0"/>
                      <w:sz w:val="21"/>
                      <w:szCs w:val="20"/>
                      <w:lang w:val="zh-CN"/>
                    </w:rPr>
                    <w:t>PM</w:t>
                  </w:r>
                  <w:r>
                    <w:rPr>
                      <w:rFonts w:cs="Times New Roman"/>
                      <w:color w:val="000000"/>
                      <w:kern w:val="0"/>
                      <w:sz w:val="21"/>
                      <w:szCs w:val="20"/>
                      <w:vertAlign w:val="subscript"/>
                      <w:lang w:val="zh-CN"/>
                    </w:rPr>
                    <w:t>10</w:t>
                  </w:r>
                </w:p>
              </w:tc>
              <w:tc>
                <w:tcPr>
                  <w:tcW w:w="2268" w:type="dxa"/>
                  <w:vMerge w:val="continue"/>
                  <w:vAlign w:val="center"/>
                </w:tcPr>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0.15</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PM</w:t>
                  </w:r>
                  <w:r>
                    <w:rPr>
                      <w:rFonts w:cs="Times New Roman"/>
                      <w:color w:val="000000"/>
                      <w:kern w:val="0"/>
                      <w:sz w:val="21"/>
                      <w:szCs w:val="20"/>
                      <w:vertAlign w:val="subscript"/>
                      <w:lang w:val="zh-CN"/>
                    </w:rPr>
                    <w:t>2.5</w:t>
                  </w:r>
                </w:p>
              </w:tc>
              <w:tc>
                <w:tcPr>
                  <w:tcW w:w="2268" w:type="dxa"/>
                  <w:vMerge w:val="continue"/>
                  <w:vAlign w:val="center"/>
                </w:tcPr>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0.075</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TSP</w:t>
                  </w:r>
                </w:p>
              </w:tc>
              <w:tc>
                <w:tcPr>
                  <w:tcW w:w="2268" w:type="dxa"/>
                  <w:vMerge w:val="continue"/>
                  <w:vAlign w:val="center"/>
                </w:tcPr>
                <w:p>
                  <w:pPr>
                    <w:adjustRightInd w:val="0"/>
                    <w:snapToGrid w:val="0"/>
                    <w:spacing w:line="240" w:lineRule="auto"/>
                    <w:ind w:firstLine="42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0.3</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0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O</w:t>
                  </w:r>
                  <w:r>
                    <w:rPr>
                      <w:rFonts w:cs="Times New Roman"/>
                      <w:color w:val="000000"/>
                      <w:kern w:val="0"/>
                      <w:sz w:val="21"/>
                      <w:szCs w:val="20"/>
                      <w:vertAlign w:val="subscript"/>
                      <w:lang w:val="zh-CN"/>
                    </w:rPr>
                    <w:t>3</w:t>
                  </w:r>
                </w:p>
              </w:tc>
              <w:tc>
                <w:tcPr>
                  <w:tcW w:w="2268" w:type="dxa"/>
                  <w:vMerge w:val="continue"/>
                  <w:vAlign w:val="center"/>
                </w:tcPr>
                <w:p>
                  <w:pPr>
                    <w:adjustRightInd w:val="0"/>
                    <w:snapToGrid w:val="0"/>
                    <w:spacing w:line="240" w:lineRule="auto"/>
                    <w:ind w:firstLine="0" w:firstLineChars="0"/>
                    <w:rPr>
                      <w:rFonts w:cs="Times New Roman"/>
                      <w:color w:val="FF0000"/>
                      <w:kern w:val="0"/>
                      <w:sz w:val="21"/>
                      <w:szCs w:val="20"/>
                      <w:lang w:val="zh-CN"/>
                    </w:rPr>
                  </w:pPr>
                </w:p>
              </w:tc>
              <w:tc>
                <w:tcPr>
                  <w:tcW w:w="1457"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0.2</w:t>
                  </w:r>
                </w:p>
              </w:tc>
              <w:tc>
                <w:tcPr>
                  <w:tcW w:w="2789"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0.16（日最大8小时平均）</w:t>
                  </w:r>
                </w:p>
              </w:tc>
              <w:tc>
                <w:tcPr>
                  <w:tcW w:w="1116"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w:t>
                  </w:r>
                </w:p>
              </w:tc>
            </w:tr>
          </w:tbl>
          <w:p>
            <w:pPr>
              <w:pStyle w:val="20"/>
              <w:ind w:firstLine="0" w:firstLineChars="0"/>
              <w:rPr>
                <w:lang w:val="zh-CN"/>
              </w:rPr>
            </w:pPr>
            <w:r>
              <w:rPr>
                <w:lang w:val="zh-CN"/>
              </w:rPr>
              <w:t>4.2地表水环境质量标准</w:t>
            </w:r>
          </w:p>
          <w:p>
            <w:pPr>
              <w:adjustRightInd w:val="0"/>
              <w:snapToGrid w:val="0"/>
              <w:ind w:firstLine="480"/>
              <w:rPr>
                <w:rFonts w:cs="Times New Roman"/>
                <w:color w:val="000000"/>
              </w:rPr>
            </w:pPr>
            <w:r>
              <w:rPr>
                <w:rFonts w:cs="Times New Roman"/>
                <w:color w:val="000000"/>
              </w:rPr>
              <w:t>本项目无生产废水排放，生活污水经厂区化粪池处理后，排入市政污水管网进入开平市水口污水处理厂，开平市水口污水处理厂东面的排污河涌执行《地表水环境质量标准》（GB3838-2002）中的III类标准，潭江执行《地表水环境质量标准》（GB3838-2002）中的II类标准，悬浮物选用《地表水资源质量标准》（SL63-94）标准限值，详细标准值如下表：</w:t>
            </w:r>
          </w:p>
          <w:p>
            <w:pPr>
              <w:adjustRightInd w:val="0"/>
              <w:snapToGrid w:val="0"/>
              <w:spacing w:line="240" w:lineRule="auto"/>
              <w:ind w:firstLine="480" w:firstLineChars="0"/>
              <w:jc w:val="center"/>
              <w:rPr>
                <w:rFonts w:cs="Times New Roman"/>
                <w:b/>
                <w:color w:val="000000"/>
                <w:sz w:val="21"/>
                <w:lang w:val="zh-CN"/>
              </w:rPr>
            </w:pPr>
            <w:r>
              <w:rPr>
                <w:rFonts w:cs="Times New Roman"/>
                <w:b/>
                <w:color w:val="000000"/>
                <w:sz w:val="21"/>
                <w:lang w:val="zh-CN"/>
              </w:rPr>
              <w:t>表4-2  地表水环境质量标准  单位：mg/L</w:t>
            </w:r>
          </w:p>
          <w:tbl>
            <w:tblPr>
              <w:tblStyle w:val="42"/>
              <w:tblW w:w="85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2"/>
              <w:gridCol w:w="1849"/>
              <w:gridCol w:w="1913"/>
              <w:gridCol w:w="33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rPr>
                  </w:pPr>
                  <w:r>
                    <w:rPr>
                      <w:kern w:val="0"/>
                      <w:szCs w:val="20"/>
                    </w:rPr>
                    <w:t>指标</w:t>
                  </w:r>
                </w:p>
              </w:tc>
              <w:tc>
                <w:tcPr>
                  <w:tcW w:w="1849" w:type="dxa"/>
                  <w:vAlign w:val="center"/>
                </w:tcPr>
                <w:p>
                  <w:pPr>
                    <w:pStyle w:val="45"/>
                    <w:rPr>
                      <w:kern w:val="0"/>
                      <w:szCs w:val="20"/>
                    </w:rPr>
                  </w:pPr>
                  <w:r>
                    <w:rPr>
                      <w:kern w:val="0"/>
                      <w:szCs w:val="20"/>
                    </w:rPr>
                    <w:t>II标准值</w:t>
                  </w:r>
                </w:p>
              </w:tc>
              <w:tc>
                <w:tcPr>
                  <w:tcW w:w="1913" w:type="dxa"/>
                  <w:vAlign w:val="center"/>
                </w:tcPr>
                <w:p>
                  <w:pPr>
                    <w:pStyle w:val="45"/>
                    <w:rPr>
                      <w:kern w:val="0"/>
                      <w:szCs w:val="20"/>
                    </w:rPr>
                  </w:pPr>
                  <w:r>
                    <w:rPr>
                      <w:kern w:val="0"/>
                      <w:szCs w:val="20"/>
                    </w:rPr>
                    <w:t>III标准值</w:t>
                  </w:r>
                </w:p>
              </w:tc>
              <w:tc>
                <w:tcPr>
                  <w:tcW w:w="3308" w:type="dxa"/>
                  <w:vAlign w:val="center"/>
                </w:tcPr>
                <w:p>
                  <w:pPr>
                    <w:pStyle w:val="45"/>
                    <w:rPr>
                      <w:kern w:val="0"/>
                      <w:szCs w:val="20"/>
                    </w:rPr>
                  </w:pPr>
                  <w:r>
                    <w:rPr>
                      <w:kern w:val="0"/>
                      <w:szCs w:val="20"/>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rPr>
                  </w:pPr>
                  <w:r>
                    <w:rPr>
                      <w:kern w:val="0"/>
                      <w:szCs w:val="20"/>
                    </w:rPr>
                    <w:t>pH值</w:t>
                  </w:r>
                </w:p>
              </w:tc>
              <w:tc>
                <w:tcPr>
                  <w:tcW w:w="1849" w:type="dxa"/>
                  <w:vAlign w:val="center"/>
                </w:tcPr>
                <w:p>
                  <w:pPr>
                    <w:pStyle w:val="45"/>
                    <w:rPr>
                      <w:kern w:val="0"/>
                      <w:szCs w:val="20"/>
                    </w:rPr>
                  </w:pPr>
                  <w:r>
                    <w:rPr>
                      <w:kern w:val="0"/>
                      <w:szCs w:val="20"/>
                    </w:rPr>
                    <w:t>6.0～9.0（无量纲）</w:t>
                  </w:r>
                </w:p>
              </w:tc>
              <w:tc>
                <w:tcPr>
                  <w:tcW w:w="1913" w:type="dxa"/>
                  <w:vAlign w:val="center"/>
                </w:tcPr>
                <w:p>
                  <w:pPr>
                    <w:pStyle w:val="45"/>
                    <w:rPr>
                      <w:kern w:val="0"/>
                      <w:szCs w:val="20"/>
                    </w:rPr>
                  </w:pPr>
                  <w:r>
                    <w:rPr>
                      <w:kern w:val="0"/>
                      <w:szCs w:val="20"/>
                    </w:rPr>
                    <w:t>6.0～9.0（无量纲）</w:t>
                  </w:r>
                </w:p>
              </w:tc>
              <w:tc>
                <w:tcPr>
                  <w:tcW w:w="3308" w:type="dxa"/>
                  <w:vMerge w:val="restart"/>
                  <w:vAlign w:val="center"/>
                </w:tcPr>
                <w:p>
                  <w:pPr>
                    <w:pStyle w:val="45"/>
                    <w:rPr>
                      <w:kern w:val="0"/>
                      <w:szCs w:val="20"/>
                    </w:rPr>
                  </w:pPr>
                  <w:r>
                    <w:rPr>
                      <w:kern w:val="0"/>
                      <w:szCs w:val="20"/>
                    </w:rPr>
                    <w:t>《地表水环境质量标准》（GB3838-2002）标准限值；</w:t>
                  </w:r>
                </w:p>
                <w:p>
                  <w:pPr>
                    <w:pStyle w:val="45"/>
                    <w:rPr>
                      <w:kern w:val="0"/>
                      <w:szCs w:val="20"/>
                    </w:rPr>
                  </w:pPr>
                  <w:r>
                    <w:rPr>
                      <w:kern w:val="0"/>
                      <w:szCs w:val="20"/>
                    </w:rPr>
                    <w:t>悬浮物选用《地表水资源质量标准》（SL63-94）标准限值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lang w:val="en-US"/>
                    </w:rPr>
                  </w:pPr>
                  <w:r>
                    <w:rPr>
                      <w:kern w:val="0"/>
                      <w:szCs w:val="20"/>
                      <w:lang w:val="en-US"/>
                    </w:rPr>
                    <w:t>DO</w:t>
                  </w:r>
                </w:p>
              </w:tc>
              <w:tc>
                <w:tcPr>
                  <w:tcW w:w="1849" w:type="dxa"/>
                  <w:vAlign w:val="center"/>
                </w:tcPr>
                <w:p>
                  <w:pPr>
                    <w:pStyle w:val="45"/>
                    <w:rPr>
                      <w:kern w:val="0"/>
                      <w:szCs w:val="20"/>
                      <w:lang w:val="en-US"/>
                    </w:rPr>
                  </w:pPr>
                  <w:r>
                    <w:rPr>
                      <w:kern w:val="0"/>
                      <w:szCs w:val="20"/>
                      <w:lang w:val="en-US"/>
                    </w:rPr>
                    <w:t>≥6</w:t>
                  </w:r>
                </w:p>
              </w:tc>
              <w:tc>
                <w:tcPr>
                  <w:tcW w:w="1913" w:type="dxa"/>
                  <w:vAlign w:val="center"/>
                </w:tcPr>
                <w:p>
                  <w:pPr>
                    <w:pStyle w:val="45"/>
                    <w:rPr>
                      <w:kern w:val="0"/>
                      <w:szCs w:val="20"/>
                      <w:lang w:val="en-US"/>
                    </w:rPr>
                  </w:pPr>
                  <w:r>
                    <w:rPr>
                      <w:kern w:val="0"/>
                      <w:szCs w:val="20"/>
                      <w:lang w:val="en-US"/>
                    </w:rPr>
                    <w:t>≥5</w:t>
                  </w:r>
                </w:p>
              </w:tc>
              <w:tc>
                <w:tcPr>
                  <w:tcW w:w="3308" w:type="dxa"/>
                  <w:vMerge w:val="continue"/>
                  <w:vAlign w:val="center"/>
                </w:tcPr>
                <w:p>
                  <w:pPr>
                    <w:pStyle w:val="45"/>
                    <w:rPr>
                      <w:kern w:val="0"/>
                      <w:szCs w:val="20"/>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vertAlign w:val="subscript"/>
                      <w:lang w:val="en-US"/>
                    </w:rPr>
                  </w:pPr>
                  <w:r>
                    <w:rPr>
                      <w:kern w:val="0"/>
                      <w:szCs w:val="20"/>
                      <w:lang w:val="en-US"/>
                    </w:rPr>
                    <w:t>CODcr</w:t>
                  </w:r>
                </w:p>
              </w:tc>
              <w:tc>
                <w:tcPr>
                  <w:tcW w:w="1849" w:type="dxa"/>
                  <w:vAlign w:val="center"/>
                </w:tcPr>
                <w:p>
                  <w:pPr>
                    <w:pStyle w:val="45"/>
                    <w:rPr>
                      <w:kern w:val="0"/>
                      <w:szCs w:val="20"/>
                      <w:lang w:val="en-US"/>
                    </w:rPr>
                  </w:pPr>
                  <w:r>
                    <w:rPr>
                      <w:kern w:val="0"/>
                      <w:szCs w:val="20"/>
                      <w:lang w:val="en-US"/>
                    </w:rPr>
                    <w:t>≤15</w:t>
                  </w:r>
                </w:p>
              </w:tc>
              <w:tc>
                <w:tcPr>
                  <w:tcW w:w="1913" w:type="dxa"/>
                  <w:vAlign w:val="center"/>
                </w:tcPr>
                <w:p>
                  <w:pPr>
                    <w:pStyle w:val="45"/>
                    <w:rPr>
                      <w:kern w:val="0"/>
                      <w:szCs w:val="20"/>
                      <w:lang w:val="en-US"/>
                    </w:rPr>
                  </w:pPr>
                  <w:r>
                    <w:rPr>
                      <w:kern w:val="0"/>
                      <w:szCs w:val="20"/>
                      <w:lang w:val="en-US"/>
                    </w:rPr>
                    <w:t>≤20</w:t>
                  </w:r>
                </w:p>
              </w:tc>
              <w:tc>
                <w:tcPr>
                  <w:tcW w:w="3308" w:type="dxa"/>
                  <w:vMerge w:val="continue"/>
                  <w:vAlign w:val="center"/>
                </w:tcPr>
                <w:p>
                  <w:pPr>
                    <w:pStyle w:val="45"/>
                    <w:rPr>
                      <w:kern w:val="0"/>
                      <w:szCs w:val="20"/>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vertAlign w:val="subscript"/>
                      <w:lang w:val="en-US"/>
                    </w:rPr>
                  </w:pPr>
                  <w:r>
                    <w:rPr>
                      <w:kern w:val="0"/>
                      <w:szCs w:val="20"/>
                      <w:lang w:val="en-US"/>
                    </w:rPr>
                    <w:t>BOD</w:t>
                  </w:r>
                  <w:r>
                    <w:rPr>
                      <w:kern w:val="0"/>
                      <w:szCs w:val="20"/>
                      <w:vertAlign w:val="subscript"/>
                      <w:lang w:val="en-US"/>
                    </w:rPr>
                    <w:t>5</w:t>
                  </w:r>
                </w:p>
              </w:tc>
              <w:tc>
                <w:tcPr>
                  <w:tcW w:w="1849" w:type="dxa"/>
                  <w:vAlign w:val="center"/>
                </w:tcPr>
                <w:p>
                  <w:pPr>
                    <w:pStyle w:val="45"/>
                    <w:rPr>
                      <w:kern w:val="0"/>
                      <w:szCs w:val="20"/>
                      <w:lang w:val="en-US"/>
                    </w:rPr>
                  </w:pPr>
                  <w:r>
                    <w:rPr>
                      <w:kern w:val="0"/>
                      <w:szCs w:val="20"/>
                      <w:lang w:val="en-US"/>
                    </w:rPr>
                    <w:t>≤3</w:t>
                  </w:r>
                </w:p>
              </w:tc>
              <w:tc>
                <w:tcPr>
                  <w:tcW w:w="1913" w:type="dxa"/>
                  <w:vAlign w:val="center"/>
                </w:tcPr>
                <w:p>
                  <w:pPr>
                    <w:pStyle w:val="45"/>
                    <w:rPr>
                      <w:kern w:val="0"/>
                      <w:szCs w:val="20"/>
                      <w:lang w:val="en-US"/>
                    </w:rPr>
                  </w:pPr>
                  <w:r>
                    <w:rPr>
                      <w:kern w:val="0"/>
                      <w:szCs w:val="20"/>
                      <w:lang w:val="en-US"/>
                    </w:rPr>
                    <w:t>≤4</w:t>
                  </w:r>
                </w:p>
              </w:tc>
              <w:tc>
                <w:tcPr>
                  <w:tcW w:w="3308" w:type="dxa"/>
                  <w:vMerge w:val="continue"/>
                  <w:vAlign w:val="center"/>
                </w:tcPr>
                <w:p>
                  <w:pPr>
                    <w:pStyle w:val="45"/>
                    <w:rPr>
                      <w:kern w:val="0"/>
                      <w:szCs w:val="20"/>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lang w:val="en-US"/>
                    </w:rPr>
                  </w:pPr>
                  <w:r>
                    <w:rPr>
                      <w:kern w:val="0"/>
                      <w:szCs w:val="20"/>
                    </w:rPr>
                    <w:t>氨氮</w:t>
                  </w:r>
                </w:p>
              </w:tc>
              <w:tc>
                <w:tcPr>
                  <w:tcW w:w="1849" w:type="dxa"/>
                  <w:vAlign w:val="center"/>
                </w:tcPr>
                <w:p>
                  <w:pPr>
                    <w:pStyle w:val="45"/>
                    <w:rPr>
                      <w:kern w:val="0"/>
                      <w:szCs w:val="20"/>
                      <w:lang w:val="en-US"/>
                    </w:rPr>
                  </w:pPr>
                  <w:r>
                    <w:rPr>
                      <w:kern w:val="0"/>
                      <w:szCs w:val="20"/>
                      <w:lang w:val="en-US"/>
                    </w:rPr>
                    <w:t>≤0.5</w:t>
                  </w:r>
                </w:p>
              </w:tc>
              <w:tc>
                <w:tcPr>
                  <w:tcW w:w="1913" w:type="dxa"/>
                  <w:vAlign w:val="center"/>
                </w:tcPr>
                <w:p>
                  <w:pPr>
                    <w:pStyle w:val="45"/>
                    <w:rPr>
                      <w:kern w:val="0"/>
                      <w:szCs w:val="20"/>
                      <w:lang w:val="en-US"/>
                    </w:rPr>
                  </w:pPr>
                  <w:r>
                    <w:rPr>
                      <w:kern w:val="0"/>
                      <w:szCs w:val="20"/>
                      <w:lang w:val="en-US"/>
                    </w:rPr>
                    <w:t>≤1.0</w:t>
                  </w:r>
                </w:p>
              </w:tc>
              <w:tc>
                <w:tcPr>
                  <w:tcW w:w="3308" w:type="dxa"/>
                  <w:vMerge w:val="continue"/>
                  <w:vAlign w:val="center"/>
                </w:tcPr>
                <w:p>
                  <w:pPr>
                    <w:pStyle w:val="45"/>
                    <w:rPr>
                      <w:kern w:val="0"/>
                      <w:szCs w:val="20"/>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lang w:val="en-US"/>
                    </w:rPr>
                  </w:pPr>
                  <w:r>
                    <w:rPr>
                      <w:kern w:val="0"/>
                      <w:szCs w:val="20"/>
                    </w:rPr>
                    <w:t>总磷</w:t>
                  </w:r>
                </w:p>
              </w:tc>
              <w:tc>
                <w:tcPr>
                  <w:tcW w:w="1849" w:type="dxa"/>
                  <w:vAlign w:val="center"/>
                </w:tcPr>
                <w:p>
                  <w:pPr>
                    <w:pStyle w:val="45"/>
                    <w:rPr>
                      <w:kern w:val="0"/>
                      <w:szCs w:val="20"/>
                      <w:lang w:val="en-US"/>
                    </w:rPr>
                  </w:pPr>
                  <w:r>
                    <w:rPr>
                      <w:kern w:val="0"/>
                      <w:szCs w:val="20"/>
                      <w:lang w:val="en-US"/>
                    </w:rPr>
                    <w:t>≤0.1</w:t>
                  </w:r>
                </w:p>
              </w:tc>
              <w:tc>
                <w:tcPr>
                  <w:tcW w:w="1913" w:type="dxa"/>
                  <w:vAlign w:val="center"/>
                </w:tcPr>
                <w:p>
                  <w:pPr>
                    <w:pStyle w:val="45"/>
                    <w:rPr>
                      <w:kern w:val="0"/>
                      <w:szCs w:val="20"/>
                      <w:lang w:val="en-US"/>
                    </w:rPr>
                  </w:pPr>
                  <w:r>
                    <w:rPr>
                      <w:kern w:val="0"/>
                      <w:szCs w:val="20"/>
                      <w:lang w:val="en-US"/>
                    </w:rPr>
                    <w:t>≤0.2</w:t>
                  </w:r>
                </w:p>
              </w:tc>
              <w:tc>
                <w:tcPr>
                  <w:tcW w:w="3308" w:type="dxa"/>
                  <w:vMerge w:val="continue"/>
                  <w:vAlign w:val="center"/>
                </w:tcPr>
                <w:p>
                  <w:pPr>
                    <w:pStyle w:val="45"/>
                    <w:rPr>
                      <w:kern w:val="0"/>
                      <w:szCs w:val="20"/>
                      <w:lang w:val="en-U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452" w:type="dxa"/>
                  <w:vAlign w:val="center"/>
                </w:tcPr>
                <w:p>
                  <w:pPr>
                    <w:pStyle w:val="45"/>
                    <w:rPr>
                      <w:kern w:val="0"/>
                      <w:szCs w:val="20"/>
                      <w:lang w:val="en-US"/>
                    </w:rPr>
                  </w:pPr>
                  <w:r>
                    <w:rPr>
                      <w:kern w:val="0"/>
                      <w:szCs w:val="20"/>
                      <w:lang w:val="en-US"/>
                    </w:rPr>
                    <w:t>SS</w:t>
                  </w:r>
                </w:p>
              </w:tc>
              <w:tc>
                <w:tcPr>
                  <w:tcW w:w="1849" w:type="dxa"/>
                  <w:vAlign w:val="center"/>
                </w:tcPr>
                <w:p>
                  <w:pPr>
                    <w:pStyle w:val="45"/>
                    <w:rPr>
                      <w:kern w:val="0"/>
                      <w:szCs w:val="20"/>
                      <w:lang w:val="en-US"/>
                    </w:rPr>
                  </w:pPr>
                  <w:r>
                    <w:rPr>
                      <w:kern w:val="0"/>
                      <w:szCs w:val="20"/>
                      <w:lang w:val="en-US"/>
                    </w:rPr>
                    <w:t>≤25</w:t>
                  </w:r>
                </w:p>
              </w:tc>
              <w:tc>
                <w:tcPr>
                  <w:tcW w:w="1913" w:type="dxa"/>
                  <w:vAlign w:val="center"/>
                </w:tcPr>
                <w:p>
                  <w:pPr>
                    <w:pStyle w:val="45"/>
                    <w:rPr>
                      <w:kern w:val="0"/>
                      <w:szCs w:val="20"/>
                      <w:lang w:val="en-US"/>
                    </w:rPr>
                  </w:pPr>
                  <w:r>
                    <w:rPr>
                      <w:kern w:val="0"/>
                      <w:szCs w:val="20"/>
                      <w:lang w:val="en-US"/>
                    </w:rPr>
                    <w:t>≤30</w:t>
                  </w:r>
                </w:p>
              </w:tc>
              <w:tc>
                <w:tcPr>
                  <w:tcW w:w="3308" w:type="dxa"/>
                  <w:vMerge w:val="continue"/>
                  <w:vAlign w:val="center"/>
                </w:tcPr>
                <w:p>
                  <w:pPr>
                    <w:pStyle w:val="45"/>
                    <w:rPr>
                      <w:kern w:val="0"/>
                      <w:szCs w:val="20"/>
                      <w:lang w:val="en-US"/>
                    </w:rPr>
                  </w:pPr>
                </w:p>
              </w:tc>
            </w:tr>
          </w:tbl>
          <w:p>
            <w:pPr>
              <w:pStyle w:val="20"/>
              <w:ind w:firstLine="0" w:firstLineChars="0"/>
            </w:pPr>
            <w:r>
              <w:t>4.3</w:t>
            </w:r>
            <w:r>
              <w:rPr>
                <w:lang w:val="zh-CN"/>
              </w:rPr>
              <w:t>声环境质量标准</w:t>
            </w:r>
          </w:p>
          <w:p>
            <w:pPr>
              <w:adjustRightInd w:val="0"/>
              <w:snapToGrid w:val="0"/>
              <w:ind w:firstLine="480"/>
              <w:rPr>
                <w:rFonts w:cs="Times New Roman"/>
                <w:color w:val="000000"/>
              </w:rPr>
            </w:pPr>
            <w:r>
              <w:rPr>
                <w:rFonts w:cs="Times New Roman"/>
                <w:color w:val="000000"/>
              </w:rPr>
              <w:t>项目所在地属《声环境质量标准》（GB3096-2008）3类区，声环境质量执行《声环境质量标准》（GB3096-2008）中3类标准，具体限值见下表。</w:t>
            </w:r>
          </w:p>
          <w:p>
            <w:pPr>
              <w:adjustRightInd w:val="0"/>
              <w:snapToGrid w:val="0"/>
              <w:spacing w:line="240" w:lineRule="auto"/>
              <w:ind w:firstLine="480" w:firstLineChars="0"/>
              <w:jc w:val="center"/>
              <w:rPr>
                <w:rFonts w:cs="Times New Roman"/>
                <w:b/>
                <w:color w:val="000000"/>
                <w:sz w:val="21"/>
                <w:lang w:val="zh-CN"/>
              </w:rPr>
            </w:pPr>
            <w:r>
              <w:rPr>
                <w:rFonts w:cs="Times New Roman"/>
                <w:b/>
                <w:color w:val="000000"/>
                <w:sz w:val="21"/>
                <w:lang w:val="zh-CN"/>
              </w:rPr>
              <w:t>表4-3  声环境质量标准  单位：dB(A)</w:t>
            </w:r>
          </w:p>
          <w:tbl>
            <w:tblPr>
              <w:tblStyle w:val="42"/>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43"/>
              <w:gridCol w:w="2843"/>
              <w:gridCol w:w="28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3" w:type="dxa"/>
                  <w:vAlign w:val="center"/>
                </w:tcPr>
                <w:p>
                  <w:pPr>
                    <w:pStyle w:val="45"/>
                    <w:rPr>
                      <w:kern w:val="0"/>
                      <w:szCs w:val="20"/>
                    </w:rPr>
                  </w:pPr>
                  <w:r>
                    <w:rPr>
                      <w:kern w:val="0"/>
                      <w:szCs w:val="20"/>
                    </w:rPr>
                    <w:t>声环境功能区类别</w:t>
                  </w:r>
                </w:p>
              </w:tc>
              <w:tc>
                <w:tcPr>
                  <w:tcW w:w="2843" w:type="dxa"/>
                  <w:vAlign w:val="center"/>
                </w:tcPr>
                <w:p>
                  <w:pPr>
                    <w:pStyle w:val="45"/>
                    <w:rPr>
                      <w:kern w:val="0"/>
                      <w:szCs w:val="20"/>
                    </w:rPr>
                  </w:pPr>
                  <w:r>
                    <w:rPr>
                      <w:kern w:val="0"/>
                      <w:szCs w:val="20"/>
                    </w:rPr>
                    <w:t>昼间</w:t>
                  </w:r>
                </w:p>
              </w:tc>
              <w:tc>
                <w:tcPr>
                  <w:tcW w:w="2842" w:type="dxa"/>
                  <w:vAlign w:val="center"/>
                </w:tcPr>
                <w:p>
                  <w:pPr>
                    <w:pStyle w:val="45"/>
                    <w:rPr>
                      <w:kern w:val="0"/>
                      <w:szCs w:val="20"/>
                    </w:rPr>
                  </w:pPr>
                  <w:r>
                    <w:rPr>
                      <w:kern w:val="0"/>
                      <w:szCs w:val="20"/>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3" w:type="dxa"/>
                  <w:vAlign w:val="center"/>
                </w:tcPr>
                <w:p>
                  <w:pPr>
                    <w:pStyle w:val="45"/>
                    <w:rPr>
                      <w:kern w:val="0"/>
                      <w:szCs w:val="20"/>
                    </w:rPr>
                  </w:pPr>
                  <w:r>
                    <w:rPr>
                      <w:kern w:val="0"/>
                      <w:szCs w:val="20"/>
                    </w:rPr>
                    <w:t>3类</w:t>
                  </w:r>
                </w:p>
              </w:tc>
              <w:tc>
                <w:tcPr>
                  <w:tcW w:w="2843" w:type="dxa"/>
                  <w:vAlign w:val="center"/>
                </w:tcPr>
                <w:p>
                  <w:pPr>
                    <w:pStyle w:val="45"/>
                    <w:rPr>
                      <w:kern w:val="0"/>
                      <w:szCs w:val="20"/>
                    </w:rPr>
                  </w:pPr>
                  <w:r>
                    <w:rPr>
                      <w:kern w:val="0"/>
                      <w:szCs w:val="20"/>
                    </w:rPr>
                    <w:t>65dB</w:t>
                  </w:r>
                </w:p>
              </w:tc>
              <w:tc>
                <w:tcPr>
                  <w:tcW w:w="2842" w:type="dxa"/>
                  <w:vAlign w:val="center"/>
                </w:tcPr>
                <w:p>
                  <w:pPr>
                    <w:pStyle w:val="45"/>
                    <w:rPr>
                      <w:kern w:val="0"/>
                      <w:szCs w:val="20"/>
                    </w:rPr>
                  </w:pPr>
                  <w:r>
                    <w:rPr>
                      <w:kern w:val="0"/>
                      <w:szCs w:val="20"/>
                    </w:rPr>
                    <w:t>55dB</w:t>
                  </w:r>
                </w:p>
              </w:tc>
            </w:tr>
          </w:tbl>
          <w:p>
            <w:pPr>
              <w:adjustRightInd w:val="0"/>
              <w:snapToGrid w:val="0"/>
              <w:ind w:firstLine="480"/>
              <w:rPr>
                <w:rFonts w:cs="Times New Roman"/>
                <w:color w:val="000000"/>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1" w:type="dxa"/>
            <w:tcBorders>
              <w:top w:val="single" w:color="auto" w:sz="4" w:space="0"/>
            </w:tcBorders>
            <w:vAlign w:val="center"/>
          </w:tcPr>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p>
          <w:p>
            <w:pPr>
              <w:adjustRightInd w:val="0"/>
              <w:snapToGrid w:val="0"/>
              <w:ind w:firstLine="0" w:firstLineChars="0"/>
              <w:rPr>
                <w:rFonts w:cs="Times New Roman"/>
                <w:color w:val="000000"/>
              </w:rPr>
            </w:pPr>
            <w:r>
              <w:rPr>
                <w:rFonts w:cs="Times New Roman"/>
                <w:color w:val="000000"/>
              </w:rPr>
              <w:t>污</w:t>
            </w:r>
          </w:p>
          <w:p>
            <w:pPr>
              <w:adjustRightInd w:val="0"/>
              <w:snapToGrid w:val="0"/>
              <w:ind w:firstLine="0" w:firstLineChars="0"/>
              <w:rPr>
                <w:rFonts w:cs="Times New Roman"/>
                <w:color w:val="000000"/>
              </w:rPr>
            </w:pPr>
            <w:r>
              <w:rPr>
                <w:rFonts w:cs="Times New Roman"/>
                <w:color w:val="000000"/>
              </w:rPr>
              <w:t>染</w:t>
            </w:r>
          </w:p>
          <w:p>
            <w:pPr>
              <w:adjustRightInd w:val="0"/>
              <w:snapToGrid w:val="0"/>
              <w:ind w:firstLine="0" w:firstLineChars="0"/>
              <w:rPr>
                <w:rFonts w:cs="Times New Roman"/>
                <w:color w:val="000000"/>
              </w:rPr>
            </w:pPr>
            <w:r>
              <w:rPr>
                <w:rFonts w:cs="Times New Roman"/>
                <w:color w:val="000000"/>
              </w:rPr>
              <w:t>物</w:t>
            </w:r>
          </w:p>
          <w:p>
            <w:pPr>
              <w:adjustRightInd w:val="0"/>
              <w:snapToGrid w:val="0"/>
              <w:ind w:firstLine="0" w:firstLineChars="0"/>
              <w:rPr>
                <w:rFonts w:cs="Times New Roman"/>
                <w:color w:val="000000"/>
              </w:rPr>
            </w:pPr>
            <w:r>
              <w:rPr>
                <w:rFonts w:cs="Times New Roman"/>
                <w:color w:val="000000"/>
              </w:rPr>
              <w:t>排</w:t>
            </w:r>
          </w:p>
          <w:p>
            <w:pPr>
              <w:adjustRightInd w:val="0"/>
              <w:snapToGrid w:val="0"/>
              <w:ind w:firstLine="0" w:firstLineChars="0"/>
              <w:rPr>
                <w:rFonts w:cs="Times New Roman"/>
                <w:color w:val="000000"/>
              </w:rPr>
            </w:pPr>
            <w:r>
              <w:rPr>
                <w:rFonts w:cs="Times New Roman"/>
                <w:color w:val="000000"/>
              </w:rPr>
              <w:t>放</w:t>
            </w:r>
          </w:p>
          <w:p>
            <w:pPr>
              <w:adjustRightInd w:val="0"/>
              <w:snapToGrid w:val="0"/>
              <w:ind w:firstLine="0" w:firstLineChars="0"/>
              <w:rPr>
                <w:rFonts w:cs="Times New Roman"/>
                <w:color w:val="000000"/>
              </w:rPr>
            </w:pPr>
            <w:r>
              <w:rPr>
                <w:rFonts w:cs="Times New Roman"/>
                <w:color w:val="000000"/>
              </w:rPr>
              <w:t>标</w:t>
            </w:r>
          </w:p>
          <w:p>
            <w:pPr>
              <w:adjustRightInd w:val="0"/>
              <w:snapToGrid w:val="0"/>
              <w:ind w:firstLine="0" w:firstLineChars="0"/>
              <w:rPr>
                <w:rFonts w:cs="Times New Roman"/>
                <w:color w:val="000000"/>
              </w:rPr>
            </w:pPr>
            <w:r>
              <w:rPr>
                <w:rFonts w:cs="Times New Roman"/>
                <w:color w:val="000000"/>
              </w:rPr>
              <w:t>准</w:t>
            </w:r>
          </w:p>
        </w:tc>
        <w:tc>
          <w:tcPr>
            <w:tcW w:w="8746" w:type="dxa"/>
            <w:tcBorders>
              <w:top w:val="single" w:color="auto" w:sz="4" w:space="0"/>
            </w:tcBorders>
            <w:vAlign w:val="center"/>
          </w:tcPr>
          <w:p>
            <w:pPr>
              <w:pStyle w:val="20"/>
              <w:ind w:firstLine="0" w:firstLineChars="0"/>
              <w:rPr>
                <w:lang w:val="zh-CN"/>
              </w:rPr>
            </w:pPr>
            <w:r>
              <w:rPr>
                <w:lang w:val="zh-CN"/>
              </w:rPr>
              <w:t>4.4废气污染物排放标准</w:t>
            </w:r>
          </w:p>
          <w:p>
            <w:pPr>
              <w:adjustRightInd w:val="0"/>
              <w:snapToGrid w:val="0"/>
              <w:ind w:firstLine="480"/>
              <w:rPr>
                <w:rFonts w:cs="Times New Roman"/>
                <w:color w:val="000000"/>
              </w:rPr>
            </w:pPr>
            <w:r>
              <w:rPr>
                <w:rFonts w:cs="Times New Roman"/>
                <w:color w:val="000000"/>
              </w:rPr>
              <w:t>（1）金属粉尘</w:t>
            </w:r>
          </w:p>
          <w:p>
            <w:pPr>
              <w:adjustRightInd w:val="0"/>
              <w:snapToGrid w:val="0"/>
              <w:ind w:firstLine="480"/>
              <w:rPr>
                <w:rFonts w:cs="Times New Roman"/>
                <w:color w:val="000000"/>
              </w:rPr>
            </w:pPr>
            <w:r>
              <w:rPr>
                <w:rFonts w:cs="Times New Roman"/>
                <w:color w:val="000000"/>
              </w:rPr>
              <w:t>项目营运期产生的抛光粉尘分为有组织排放和无组织排放，分别执行广东省地方标准《大气污染物排放限值》（DB44/27-2001）第二时段二级标准排放浓度限值和无组织排放监控点浓度限值。具体标准值见下表。</w:t>
            </w:r>
          </w:p>
          <w:p>
            <w:pPr>
              <w:adjustRightInd w:val="0"/>
              <w:snapToGrid w:val="0"/>
              <w:spacing w:line="240" w:lineRule="auto"/>
              <w:ind w:firstLine="480" w:firstLineChars="0"/>
              <w:jc w:val="center"/>
              <w:rPr>
                <w:rFonts w:cs="Times New Roman"/>
                <w:b/>
                <w:color w:val="000000" w:themeColor="text1"/>
                <w:sz w:val="21"/>
                <w:lang w:val="zh-CN"/>
              </w:rPr>
            </w:pPr>
            <w:r>
              <w:rPr>
                <w:rFonts w:cs="Times New Roman"/>
                <w:b/>
                <w:color w:val="000000" w:themeColor="text1"/>
                <w:sz w:val="21"/>
                <w:lang w:val="zh-CN"/>
              </w:rPr>
              <w:t>表4-4  粉尘排放标准</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6"/>
              <w:gridCol w:w="1018"/>
              <w:gridCol w:w="2051"/>
              <w:gridCol w:w="1184"/>
              <w:gridCol w:w="1274"/>
              <w:gridCol w:w="1310"/>
              <w:gridCol w:w="10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61" w:type="pct"/>
                  <w:vMerge w:val="restart"/>
                  <w:vAlign w:val="center"/>
                </w:tcPr>
                <w:p>
                  <w:pPr>
                    <w:pStyle w:val="45"/>
                    <w:rPr>
                      <w:kern w:val="0"/>
                      <w:szCs w:val="20"/>
                    </w:rPr>
                  </w:pPr>
                  <w:r>
                    <w:rPr>
                      <w:kern w:val="0"/>
                      <w:szCs w:val="20"/>
                    </w:rPr>
                    <w:t>序号</w:t>
                  </w:r>
                </w:p>
              </w:tc>
              <w:tc>
                <w:tcPr>
                  <w:tcW w:w="597" w:type="pct"/>
                  <w:vMerge w:val="restart"/>
                  <w:vAlign w:val="center"/>
                </w:tcPr>
                <w:p>
                  <w:pPr>
                    <w:pStyle w:val="45"/>
                    <w:rPr>
                      <w:kern w:val="0"/>
                      <w:szCs w:val="20"/>
                    </w:rPr>
                  </w:pPr>
                  <w:r>
                    <w:rPr>
                      <w:kern w:val="0"/>
                      <w:szCs w:val="20"/>
                    </w:rPr>
                    <w:t>污染物</w:t>
                  </w:r>
                </w:p>
              </w:tc>
              <w:tc>
                <w:tcPr>
                  <w:tcW w:w="1202" w:type="pct"/>
                  <w:vMerge w:val="restart"/>
                  <w:vAlign w:val="center"/>
                </w:tcPr>
                <w:p>
                  <w:pPr>
                    <w:pStyle w:val="45"/>
                    <w:rPr>
                      <w:kern w:val="0"/>
                      <w:szCs w:val="20"/>
                    </w:rPr>
                  </w:pPr>
                  <w:r>
                    <w:rPr>
                      <w:kern w:val="0"/>
                      <w:szCs w:val="20"/>
                    </w:rPr>
                    <w:t>执行标准</w:t>
                  </w:r>
                </w:p>
              </w:tc>
              <w:tc>
                <w:tcPr>
                  <w:tcW w:w="2209" w:type="pct"/>
                  <w:gridSpan w:val="3"/>
                  <w:tcBorders>
                    <w:left w:val="single" w:color="auto" w:sz="4" w:space="0"/>
                  </w:tcBorders>
                  <w:vAlign w:val="center"/>
                </w:tcPr>
                <w:p>
                  <w:pPr>
                    <w:pStyle w:val="45"/>
                    <w:rPr>
                      <w:kern w:val="0"/>
                      <w:szCs w:val="20"/>
                    </w:rPr>
                  </w:pPr>
                  <w:r>
                    <w:rPr>
                      <w:kern w:val="0"/>
                      <w:szCs w:val="20"/>
                    </w:rPr>
                    <w:t>第二时段二级</w:t>
                  </w:r>
                </w:p>
              </w:tc>
              <w:tc>
                <w:tcPr>
                  <w:tcW w:w="631" w:type="pct"/>
                  <w:vMerge w:val="restart"/>
                  <w:vAlign w:val="center"/>
                </w:tcPr>
                <w:p>
                  <w:pPr>
                    <w:pStyle w:val="45"/>
                    <w:rPr>
                      <w:kern w:val="0"/>
                      <w:szCs w:val="20"/>
                    </w:rPr>
                  </w:pPr>
                  <w:r>
                    <w:rPr>
                      <w:kern w:val="0"/>
                      <w:szCs w:val="20"/>
                    </w:rPr>
                    <w:t>无组织排放监控浓度限值(mg/m</w:t>
                  </w:r>
                  <w:r>
                    <w:rPr>
                      <w:kern w:val="0"/>
                      <w:szCs w:val="20"/>
                      <w:vertAlign w:val="superscript"/>
                    </w:rPr>
                    <w:t>3</w:t>
                  </w:r>
                  <w:r>
                    <w:rPr>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61" w:type="pct"/>
                  <w:vMerge w:val="continue"/>
                  <w:vAlign w:val="center"/>
                </w:tcPr>
                <w:p>
                  <w:pPr>
                    <w:pStyle w:val="45"/>
                    <w:rPr>
                      <w:kern w:val="0"/>
                      <w:szCs w:val="20"/>
                    </w:rPr>
                  </w:pPr>
                </w:p>
              </w:tc>
              <w:tc>
                <w:tcPr>
                  <w:tcW w:w="597" w:type="pct"/>
                  <w:vMerge w:val="continue"/>
                  <w:vAlign w:val="center"/>
                </w:tcPr>
                <w:p>
                  <w:pPr>
                    <w:pStyle w:val="45"/>
                    <w:rPr>
                      <w:kern w:val="0"/>
                      <w:szCs w:val="20"/>
                    </w:rPr>
                  </w:pPr>
                </w:p>
              </w:tc>
              <w:tc>
                <w:tcPr>
                  <w:tcW w:w="1202" w:type="pct"/>
                  <w:vMerge w:val="continue"/>
                  <w:vAlign w:val="center"/>
                </w:tcPr>
                <w:p>
                  <w:pPr>
                    <w:pStyle w:val="45"/>
                    <w:rPr>
                      <w:kern w:val="0"/>
                      <w:szCs w:val="20"/>
                    </w:rPr>
                  </w:pPr>
                </w:p>
              </w:tc>
              <w:tc>
                <w:tcPr>
                  <w:tcW w:w="694" w:type="pct"/>
                  <w:tcBorders>
                    <w:left w:val="single" w:color="auto" w:sz="4" w:space="0"/>
                  </w:tcBorders>
                  <w:vAlign w:val="center"/>
                </w:tcPr>
                <w:p>
                  <w:pPr>
                    <w:pStyle w:val="45"/>
                    <w:rPr>
                      <w:kern w:val="0"/>
                      <w:szCs w:val="20"/>
                    </w:rPr>
                  </w:pPr>
                  <w:r>
                    <w:rPr>
                      <w:kern w:val="0"/>
                      <w:szCs w:val="20"/>
                    </w:rPr>
                    <w:t>排气筒高度（m）</w:t>
                  </w:r>
                </w:p>
              </w:tc>
              <w:tc>
                <w:tcPr>
                  <w:tcW w:w="747" w:type="pct"/>
                  <w:vAlign w:val="center"/>
                </w:tcPr>
                <w:p>
                  <w:pPr>
                    <w:pStyle w:val="45"/>
                    <w:rPr>
                      <w:kern w:val="0"/>
                      <w:szCs w:val="20"/>
                    </w:rPr>
                  </w:pPr>
                  <w:r>
                    <w:rPr>
                      <w:kern w:val="0"/>
                      <w:szCs w:val="20"/>
                    </w:rPr>
                    <w:t>最高允许排放速率(Kg/h)</w:t>
                  </w:r>
                </w:p>
              </w:tc>
              <w:tc>
                <w:tcPr>
                  <w:tcW w:w="768" w:type="pct"/>
                  <w:vAlign w:val="center"/>
                </w:tcPr>
                <w:p>
                  <w:pPr>
                    <w:pStyle w:val="45"/>
                    <w:rPr>
                      <w:kern w:val="0"/>
                      <w:szCs w:val="20"/>
                    </w:rPr>
                  </w:pPr>
                  <w:r>
                    <w:rPr>
                      <w:kern w:val="0"/>
                      <w:szCs w:val="20"/>
                      <w:lang w:val="en-US"/>
                    </w:rPr>
                    <w:t>最高允许排放浓度(mg/m</w:t>
                  </w:r>
                  <w:r>
                    <w:rPr>
                      <w:kern w:val="0"/>
                      <w:szCs w:val="20"/>
                      <w:vertAlign w:val="superscript"/>
                      <w:lang w:val="en-US"/>
                    </w:rPr>
                    <w:t>3</w:t>
                  </w:r>
                  <w:r>
                    <w:rPr>
                      <w:kern w:val="0"/>
                      <w:szCs w:val="20"/>
                      <w:lang w:val="en-US"/>
                    </w:rPr>
                    <w:t>)</w:t>
                  </w:r>
                </w:p>
              </w:tc>
              <w:tc>
                <w:tcPr>
                  <w:tcW w:w="631" w:type="pct"/>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61" w:type="pct"/>
                  <w:vAlign w:val="center"/>
                </w:tcPr>
                <w:p>
                  <w:pPr>
                    <w:pStyle w:val="45"/>
                    <w:rPr>
                      <w:kern w:val="0"/>
                      <w:szCs w:val="20"/>
                    </w:rPr>
                  </w:pPr>
                  <w:r>
                    <w:rPr>
                      <w:kern w:val="0"/>
                      <w:szCs w:val="20"/>
                    </w:rPr>
                    <w:t>1</w:t>
                  </w:r>
                </w:p>
              </w:tc>
              <w:tc>
                <w:tcPr>
                  <w:tcW w:w="597" w:type="pct"/>
                  <w:vAlign w:val="center"/>
                </w:tcPr>
                <w:p>
                  <w:pPr>
                    <w:pStyle w:val="45"/>
                    <w:rPr>
                      <w:kern w:val="0"/>
                      <w:szCs w:val="20"/>
                    </w:rPr>
                  </w:pPr>
                  <w:r>
                    <w:rPr>
                      <w:kern w:val="0"/>
                      <w:szCs w:val="20"/>
                    </w:rPr>
                    <w:t>颗粒物</w:t>
                  </w:r>
                </w:p>
              </w:tc>
              <w:tc>
                <w:tcPr>
                  <w:tcW w:w="1202" w:type="pct"/>
                  <w:vAlign w:val="center"/>
                </w:tcPr>
                <w:p>
                  <w:pPr>
                    <w:pStyle w:val="45"/>
                    <w:rPr>
                      <w:kern w:val="0"/>
                      <w:szCs w:val="20"/>
                    </w:rPr>
                  </w:pPr>
                  <w:r>
                    <w:rPr>
                      <w:kern w:val="0"/>
                      <w:szCs w:val="20"/>
                    </w:rPr>
                    <w:t>广东省地方标准《大气污染物排放限值》（DB44/27-2001）</w:t>
                  </w:r>
                </w:p>
              </w:tc>
              <w:tc>
                <w:tcPr>
                  <w:tcW w:w="694" w:type="pct"/>
                  <w:vAlign w:val="center"/>
                </w:tcPr>
                <w:p>
                  <w:pPr>
                    <w:pStyle w:val="45"/>
                    <w:rPr>
                      <w:kern w:val="0"/>
                      <w:szCs w:val="20"/>
                    </w:rPr>
                  </w:pPr>
                  <w:r>
                    <w:rPr>
                      <w:kern w:val="0"/>
                      <w:szCs w:val="20"/>
                    </w:rPr>
                    <w:t>15</w:t>
                  </w:r>
                </w:p>
              </w:tc>
              <w:tc>
                <w:tcPr>
                  <w:tcW w:w="747" w:type="pct"/>
                  <w:vAlign w:val="center"/>
                </w:tcPr>
                <w:p>
                  <w:pPr>
                    <w:pStyle w:val="45"/>
                    <w:rPr>
                      <w:kern w:val="0"/>
                      <w:szCs w:val="20"/>
                    </w:rPr>
                  </w:pPr>
                  <w:r>
                    <w:rPr>
                      <w:kern w:val="0"/>
                      <w:szCs w:val="20"/>
                    </w:rPr>
                    <w:t>1.45</w:t>
                  </w:r>
                </w:p>
              </w:tc>
              <w:tc>
                <w:tcPr>
                  <w:tcW w:w="768" w:type="pct"/>
                  <w:vAlign w:val="center"/>
                </w:tcPr>
                <w:p>
                  <w:pPr>
                    <w:pStyle w:val="45"/>
                    <w:rPr>
                      <w:kern w:val="0"/>
                      <w:szCs w:val="20"/>
                    </w:rPr>
                  </w:pPr>
                  <w:r>
                    <w:rPr>
                      <w:kern w:val="0"/>
                      <w:szCs w:val="20"/>
                    </w:rPr>
                    <w:t>120</w:t>
                  </w:r>
                </w:p>
              </w:tc>
              <w:tc>
                <w:tcPr>
                  <w:tcW w:w="631" w:type="pct"/>
                  <w:vAlign w:val="center"/>
                </w:tcPr>
                <w:p>
                  <w:pPr>
                    <w:pStyle w:val="45"/>
                    <w:rPr>
                      <w:kern w:val="0"/>
                      <w:szCs w:val="20"/>
                    </w:rPr>
                  </w:pPr>
                  <w:r>
                    <w:rPr>
                      <w:kern w:val="0"/>
                      <w:szCs w:val="20"/>
                    </w:rPr>
                    <w:t>1.0</w:t>
                  </w:r>
                </w:p>
              </w:tc>
            </w:tr>
          </w:tbl>
          <w:p>
            <w:pPr>
              <w:adjustRightInd w:val="0"/>
              <w:snapToGrid w:val="0"/>
              <w:spacing w:line="240" w:lineRule="auto"/>
              <w:ind w:firstLine="198" w:firstLineChars="0"/>
              <w:rPr>
                <w:rFonts w:cs="Times New Roman"/>
                <w:color w:val="000000"/>
                <w:sz w:val="21"/>
                <w:szCs w:val="21"/>
              </w:rPr>
            </w:pPr>
            <w:r>
              <w:rPr>
                <w:rFonts w:cs="Times New Roman"/>
                <w:color w:val="000000"/>
                <w:sz w:val="21"/>
                <w:szCs w:val="21"/>
              </w:rPr>
              <w:t>注：由于粉尘废气排气筒周边200m范围内建筑物高度约为15米，企业自身高度大约为10m， 15米高度的排放速率2.9，故严格50%的排放速率为1.45。</w:t>
            </w:r>
          </w:p>
          <w:p>
            <w:pPr>
              <w:adjustRightInd w:val="0"/>
              <w:snapToGrid w:val="0"/>
              <w:spacing w:beforeLines="50"/>
              <w:ind w:firstLine="198" w:firstLineChars="0"/>
              <w:rPr>
                <w:rFonts w:cs="Times New Roman"/>
                <w:color w:val="000000" w:themeColor="text1"/>
                <w:szCs w:val="24"/>
              </w:rPr>
            </w:pPr>
            <w:r>
              <w:rPr>
                <w:rFonts w:cs="Times New Roman"/>
                <w:color w:val="000000" w:themeColor="text1"/>
                <w:szCs w:val="24"/>
              </w:rPr>
              <w:t>（2）脱模油烟</w:t>
            </w:r>
          </w:p>
          <w:p>
            <w:pPr>
              <w:adjustRightInd w:val="0"/>
              <w:snapToGrid w:val="0"/>
              <w:spacing w:line="240" w:lineRule="auto"/>
              <w:ind w:firstLine="480"/>
              <w:rPr>
                <w:rFonts w:cs="Times New Roman"/>
                <w:color w:val="000000" w:themeColor="text1"/>
                <w:szCs w:val="24"/>
              </w:rPr>
            </w:pPr>
            <w:r>
              <w:rPr>
                <w:rFonts w:cs="Times New Roman"/>
                <w:color w:val="000000" w:themeColor="text1"/>
                <w:szCs w:val="24"/>
              </w:rPr>
              <w:t>脱模油烟参照执行《饮食业油烟排放标准》（GB18483-2001）排放标准。</w:t>
            </w:r>
          </w:p>
          <w:p>
            <w:pPr>
              <w:adjustRightInd w:val="0"/>
              <w:snapToGrid w:val="0"/>
              <w:spacing w:line="240" w:lineRule="auto"/>
              <w:ind w:firstLine="480" w:firstLineChars="0"/>
              <w:jc w:val="center"/>
              <w:rPr>
                <w:rFonts w:cs="Times New Roman"/>
                <w:b/>
                <w:color w:val="000000" w:themeColor="text1"/>
                <w:sz w:val="21"/>
                <w:lang w:val="zh-CN"/>
              </w:rPr>
            </w:pPr>
            <w:r>
              <w:rPr>
                <w:rFonts w:cs="Times New Roman"/>
                <w:b/>
                <w:color w:val="000000" w:themeColor="text1"/>
                <w:sz w:val="21"/>
                <w:lang w:val="zh-CN"/>
              </w:rPr>
              <w:t xml:space="preserve">表4-5  油烟排放标准  </w:t>
            </w:r>
          </w:p>
          <w:tbl>
            <w:tblPr>
              <w:tblStyle w:val="42"/>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10"/>
              <w:gridCol w:w="42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5" w:hRule="atLeast"/>
                <w:jc w:val="center"/>
              </w:trPr>
              <w:tc>
                <w:tcPr>
                  <w:tcW w:w="4310" w:type="dxa"/>
                  <w:vAlign w:val="center"/>
                </w:tcPr>
                <w:p>
                  <w:pPr>
                    <w:pStyle w:val="45"/>
                    <w:rPr>
                      <w:kern w:val="0"/>
                      <w:szCs w:val="20"/>
                    </w:rPr>
                  </w:pPr>
                  <w:r>
                    <w:rPr>
                      <w:kern w:val="0"/>
                      <w:szCs w:val="20"/>
                    </w:rPr>
                    <w:t>执行标准</w:t>
                  </w:r>
                </w:p>
              </w:tc>
              <w:tc>
                <w:tcPr>
                  <w:tcW w:w="4218" w:type="dxa"/>
                  <w:vAlign w:val="center"/>
                </w:tcPr>
                <w:p>
                  <w:pPr>
                    <w:pStyle w:val="45"/>
                    <w:rPr>
                      <w:kern w:val="0"/>
                      <w:szCs w:val="20"/>
                    </w:rPr>
                  </w:pPr>
                  <w:r>
                    <w:rPr>
                      <w:kern w:val="0"/>
                      <w:szCs w:val="20"/>
                    </w:rPr>
                    <w:t>最高允许排放浓度（mg/m</w:t>
                  </w:r>
                  <w:r>
                    <w:rPr>
                      <w:kern w:val="0"/>
                      <w:szCs w:val="20"/>
                      <w:vertAlign w:val="superscript"/>
                    </w:rPr>
                    <w:t>3</w:t>
                  </w:r>
                  <w:r>
                    <w:rPr>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35" w:hRule="atLeast"/>
                <w:jc w:val="center"/>
              </w:trPr>
              <w:tc>
                <w:tcPr>
                  <w:tcW w:w="4310" w:type="dxa"/>
                  <w:vAlign w:val="center"/>
                </w:tcPr>
                <w:p>
                  <w:pPr>
                    <w:pStyle w:val="45"/>
                    <w:rPr>
                      <w:kern w:val="0"/>
                      <w:szCs w:val="20"/>
                    </w:rPr>
                  </w:pPr>
                  <w:r>
                    <w:rPr>
                      <w:kern w:val="0"/>
                      <w:szCs w:val="20"/>
                    </w:rPr>
                    <w:t>《饮食业油烟排放标准》（GB18483-2001）</w:t>
                  </w:r>
                </w:p>
              </w:tc>
              <w:tc>
                <w:tcPr>
                  <w:tcW w:w="4218" w:type="dxa"/>
                  <w:vAlign w:val="center"/>
                </w:tcPr>
                <w:p>
                  <w:pPr>
                    <w:pStyle w:val="45"/>
                    <w:rPr>
                      <w:kern w:val="0"/>
                      <w:szCs w:val="20"/>
                    </w:rPr>
                  </w:pPr>
                  <w:r>
                    <w:rPr>
                      <w:kern w:val="0"/>
                      <w:szCs w:val="20"/>
                    </w:rPr>
                    <w:t>2.0</w:t>
                  </w:r>
                </w:p>
              </w:tc>
            </w:tr>
          </w:tbl>
          <w:p>
            <w:pPr>
              <w:pStyle w:val="20"/>
              <w:ind w:firstLine="0" w:firstLineChars="0"/>
              <w:rPr>
                <w:lang w:val="zh-CN"/>
              </w:rPr>
            </w:pPr>
            <w:r>
              <w:rPr>
                <w:lang w:val="zh-CN"/>
              </w:rPr>
              <w:t>4.5噪声排放标准</w:t>
            </w:r>
          </w:p>
          <w:p>
            <w:pPr>
              <w:adjustRightInd w:val="0"/>
              <w:snapToGrid w:val="0"/>
              <w:spacing w:beforeLines="50"/>
              <w:ind w:firstLine="480"/>
              <w:rPr>
                <w:rFonts w:cs="Times New Roman"/>
                <w:color w:val="000000"/>
              </w:rPr>
            </w:pPr>
            <w:r>
              <w:rPr>
                <w:rFonts w:cs="Times New Roman"/>
                <w:color w:val="000000"/>
              </w:rPr>
              <w:t>项目营运期噪声执行《工业企业厂界环境噪声排放标准》（GB12348-2008）3 类标准，详见下表。</w:t>
            </w:r>
          </w:p>
          <w:p>
            <w:pPr>
              <w:adjustRightInd w:val="0"/>
              <w:snapToGrid w:val="0"/>
              <w:spacing w:line="240" w:lineRule="auto"/>
              <w:ind w:firstLine="480" w:firstLineChars="0"/>
              <w:jc w:val="center"/>
              <w:rPr>
                <w:rFonts w:cs="Times New Roman"/>
                <w:b/>
                <w:color w:val="000000"/>
                <w:sz w:val="21"/>
                <w:lang w:val="zh-CN"/>
              </w:rPr>
            </w:pPr>
            <w:r>
              <w:rPr>
                <w:rFonts w:cs="Times New Roman"/>
                <w:b/>
                <w:color w:val="000000"/>
                <w:sz w:val="21"/>
                <w:lang w:val="zh-CN"/>
              </w:rPr>
              <w:t>表4-6  项目厂界环境噪声排放标准 单位：dB（A）</w:t>
            </w:r>
          </w:p>
          <w:tbl>
            <w:tblPr>
              <w:tblStyle w:val="42"/>
              <w:tblW w:w="85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6"/>
              <w:gridCol w:w="2774"/>
              <w:gridCol w:w="43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436" w:type="dxa"/>
                  <w:vAlign w:val="center"/>
                </w:tcPr>
                <w:p>
                  <w:pPr>
                    <w:pStyle w:val="45"/>
                    <w:rPr>
                      <w:kern w:val="0"/>
                      <w:szCs w:val="20"/>
                    </w:rPr>
                  </w:pPr>
                  <w:r>
                    <w:rPr>
                      <w:kern w:val="0"/>
                      <w:szCs w:val="20"/>
                    </w:rPr>
                    <w:t>类别</w:t>
                  </w:r>
                </w:p>
              </w:tc>
              <w:tc>
                <w:tcPr>
                  <w:tcW w:w="2774" w:type="dxa"/>
                  <w:vAlign w:val="center"/>
                </w:tcPr>
                <w:p>
                  <w:pPr>
                    <w:pStyle w:val="45"/>
                    <w:rPr>
                      <w:kern w:val="0"/>
                      <w:szCs w:val="20"/>
                    </w:rPr>
                  </w:pPr>
                  <w:r>
                    <w:rPr>
                      <w:kern w:val="0"/>
                      <w:szCs w:val="20"/>
                    </w:rPr>
                    <w:t>昼间</w:t>
                  </w:r>
                </w:p>
              </w:tc>
              <w:tc>
                <w:tcPr>
                  <w:tcW w:w="4320" w:type="dxa"/>
                  <w:vAlign w:val="center"/>
                </w:tcPr>
                <w:p>
                  <w:pPr>
                    <w:pStyle w:val="45"/>
                    <w:rPr>
                      <w:kern w:val="0"/>
                      <w:szCs w:val="20"/>
                    </w:rPr>
                  </w:pPr>
                  <w:r>
                    <w:rPr>
                      <w:kern w:val="0"/>
                      <w:szCs w:val="20"/>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436" w:type="dxa"/>
                  <w:vAlign w:val="center"/>
                </w:tcPr>
                <w:p>
                  <w:pPr>
                    <w:pStyle w:val="45"/>
                    <w:rPr>
                      <w:kern w:val="0"/>
                      <w:szCs w:val="20"/>
                    </w:rPr>
                  </w:pPr>
                  <w:r>
                    <w:rPr>
                      <w:kern w:val="0"/>
                      <w:szCs w:val="20"/>
                    </w:rPr>
                    <w:t>3类</w:t>
                  </w:r>
                </w:p>
              </w:tc>
              <w:tc>
                <w:tcPr>
                  <w:tcW w:w="2774" w:type="dxa"/>
                  <w:vAlign w:val="center"/>
                </w:tcPr>
                <w:p>
                  <w:pPr>
                    <w:pStyle w:val="45"/>
                    <w:rPr>
                      <w:kern w:val="0"/>
                      <w:szCs w:val="20"/>
                    </w:rPr>
                  </w:pPr>
                  <w:r>
                    <w:rPr>
                      <w:kern w:val="0"/>
                      <w:szCs w:val="20"/>
                    </w:rPr>
                    <w:t>65</w:t>
                  </w:r>
                </w:p>
              </w:tc>
              <w:tc>
                <w:tcPr>
                  <w:tcW w:w="4320" w:type="dxa"/>
                  <w:vAlign w:val="center"/>
                </w:tcPr>
                <w:p>
                  <w:pPr>
                    <w:pStyle w:val="45"/>
                    <w:rPr>
                      <w:kern w:val="0"/>
                      <w:szCs w:val="20"/>
                    </w:rPr>
                  </w:pPr>
                  <w:r>
                    <w:rPr>
                      <w:kern w:val="0"/>
                      <w:szCs w:val="20"/>
                    </w:rPr>
                    <w:t>55</w:t>
                  </w:r>
                </w:p>
              </w:tc>
            </w:tr>
          </w:tbl>
          <w:p>
            <w:pPr>
              <w:pStyle w:val="20"/>
              <w:ind w:firstLine="0" w:firstLineChars="0"/>
              <w:rPr>
                <w:i/>
                <w:lang w:val="zh-CN"/>
              </w:rPr>
            </w:pPr>
            <w:r>
              <w:rPr>
                <w:lang w:val="zh-CN"/>
              </w:rPr>
              <w:t>4.6水污染物排放标准</w:t>
            </w:r>
          </w:p>
          <w:p>
            <w:pPr>
              <w:adjustRightInd w:val="0"/>
              <w:snapToGrid w:val="0"/>
              <w:ind w:firstLine="480"/>
              <w:rPr>
                <w:rFonts w:cs="Times New Roman"/>
                <w:color w:val="000000"/>
              </w:rPr>
            </w:pPr>
            <w:r>
              <w:rPr>
                <w:rFonts w:cs="Times New Roman"/>
                <w:color w:val="000000"/>
              </w:rPr>
              <w:t>本项目所在地属于开平市水口污水处理厂的纳污范围，项目营运期生活污水经三级化粪池预处理达到广东省《水污染物排放限值》(DB44/26-2001)第二时段三级标准</w:t>
            </w:r>
            <w:r>
              <w:rPr>
                <w:rFonts w:cs="Times New Roman"/>
                <w:bCs/>
                <w:color w:val="000000"/>
              </w:rPr>
              <w:t>和《污水排入城镇下水道水质标准》（GB/T31962-2015）一级</w:t>
            </w:r>
            <w:r>
              <w:rPr>
                <w:rFonts w:hint="eastAsia" w:cs="Times New Roman"/>
                <w:bCs/>
                <w:color w:val="000000"/>
              </w:rPr>
              <w:t>B</w:t>
            </w:r>
            <w:r>
              <w:rPr>
                <w:rFonts w:cs="Times New Roman"/>
                <w:bCs/>
                <w:color w:val="000000"/>
              </w:rPr>
              <w:t>标准</w:t>
            </w:r>
            <w:r>
              <w:rPr>
                <w:rFonts w:cs="Times New Roman"/>
                <w:color w:val="000000"/>
              </w:rPr>
              <w:t>后排入市政污水管网，最终纳入开平市水口污水处理厂处理。开平市水口污水处理厂尾水执行《广东省水污染物排放限值》(DB44/26-2001)第二时段一级标准及《城镇污水处理厂污染物排放标准》（GB18918-2002）一级A类标准中较严者，具体指标详见下表。</w:t>
            </w:r>
          </w:p>
          <w:p>
            <w:pPr>
              <w:adjustRightInd w:val="0"/>
              <w:snapToGrid w:val="0"/>
              <w:spacing w:line="240" w:lineRule="auto"/>
              <w:ind w:firstLine="480" w:firstLineChars="0"/>
              <w:jc w:val="center"/>
              <w:rPr>
                <w:rFonts w:cs="Times New Roman"/>
                <w:b/>
                <w:color w:val="000000"/>
                <w:sz w:val="21"/>
                <w:lang w:val="zh-CN"/>
              </w:rPr>
            </w:pPr>
          </w:p>
          <w:p>
            <w:pPr>
              <w:adjustRightInd w:val="0"/>
              <w:snapToGrid w:val="0"/>
              <w:spacing w:line="240" w:lineRule="auto"/>
              <w:ind w:firstLine="480" w:firstLineChars="0"/>
              <w:jc w:val="center"/>
              <w:rPr>
                <w:rFonts w:cs="Times New Roman"/>
                <w:b/>
                <w:color w:val="000000"/>
                <w:sz w:val="21"/>
                <w:lang w:val="zh-CN"/>
              </w:rPr>
            </w:pPr>
            <w:r>
              <w:rPr>
                <w:rFonts w:cs="Times New Roman"/>
                <w:b/>
                <w:color w:val="000000"/>
                <w:sz w:val="21"/>
                <w:lang w:val="zh-CN"/>
              </w:rPr>
              <w:t>表4-7  项目水污染物排放限值（摘录） 单位：mg/L，pH 除外</w:t>
            </w:r>
          </w:p>
          <w:tbl>
            <w:tblPr>
              <w:tblStyle w:val="42"/>
              <w:tblW w:w="85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72"/>
              <w:gridCol w:w="1418"/>
              <w:gridCol w:w="1276"/>
              <w:gridCol w:w="992"/>
              <w:gridCol w:w="992"/>
              <w:gridCol w:w="9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287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标准名称</w:t>
                  </w:r>
                </w:p>
              </w:tc>
              <w:tc>
                <w:tcPr>
                  <w:tcW w:w="141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标准值</w:t>
                  </w:r>
                </w:p>
              </w:tc>
              <w:tc>
                <w:tcPr>
                  <w:tcW w:w="1276"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COD</w:t>
                  </w:r>
                  <w:r>
                    <w:rPr>
                      <w:rFonts w:cs="Times New Roman"/>
                      <w:color w:val="000000"/>
                      <w:kern w:val="0"/>
                      <w:sz w:val="21"/>
                      <w:szCs w:val="20"/>
                      <w:vertAlign w:val="subscript"/>
                      <w:lang w:val="zh-CN"/>
                    </w:rPr>
                    <w:t>Cr</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BOD</w:t>
                  </w:r>
                  <w:r>
                    <w:rPr>
                      <w:rFonts w:cs="Times New Roman"/>
                      <w:color w:val="000000"/>
                      <w:kern w:val="0"/>
                      <w:sz w:val="21"/>
                      <w:szCs w:val="20"/>
                      <w:vertAlign w:val="subscript"/>
                      <w:lang w:val="zh-CN"/>
                    </w:rPr>
                    <w:t>5</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SS</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NH</w:t>
                  </w:r>
                  <w:r>
                    <w:rPr>
                      <w:rFonts w:cs="Times New Roman"/>
                      <w:color w:val="000000"/>
                      <w:kern w:val="0"/>
                      <w:sz w:val="21"/>
                      <w:szCs w:val="20"/>
                      <w:vertAlign w:val="subscript"/>
                      <w:lang w:val="zh-CN"/>
                    </w:rPr>
                    <w:t>3</w:t>
                  </w:r>
                  <w:r>
                    <w:rPr>
                      <w:rFonts w:cs="Times New Roman"/>
                      <w:color w:val="000000"/>
                      <w:kern w:val="0"/>
                      <w:sz w:val="21"/>
                      <w:szCs w:val="20"/>
                      <w:lang w:val="zh-CN"/>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287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广东省《水污染物排放限值》(DB44/26-2001)</w:t>
                  </w:r>
                </w:p>
              </w:tc>
              <w:tc>
                <w:tcPr>
                  <w:tcW w:w="141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第二时段三级标准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500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300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400</w:t>
                  </w:r>
                </w:p>
              </w:tc>
              <w:tc>
                <w:tcPr>
                  <w:tcW w:w="978"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45" w:hRule="atLeast"/>
                <w:jc w:val="center"/>
              </w:trPr>
              <w:tc>
                <w:tcPr>
                  <w:tcW w:w="287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《下水道水质标准》（GB/T 31962-2015）</w:t>
                  </w:r>
                </w:p>
              </w:tc>
              <w:tc>
                <w:tcPr>
                  <w:tcW w:w="141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一级B标准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500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350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400</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4290" w:type="dxa"/>
                  <w:gridSpan w:val="2"/>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最终厂区预处理执行标准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500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300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400</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287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《广东省水污染物排放限值》(DB44/26-2001)</w:t>
                  </w:r>
                </w:p>
              </w:tc>
              <w:tc>
                <w:tcPr>
                  <w:tcW w:w="141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第二时段一级标准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40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20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20</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287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《城镇污水处理厂污染物排放标准》（GB18918-2002）</w:t>
                  </w:r>
                </w:p>
              </w:tc>
              <w:tc>
                <w:tcPr>
                  <w:tcW w:w="141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一级A类标准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50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10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10</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4290" w:type="dxa"/>
                  <w:gridSpan w:val="2"/>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污水处理厂出水标准</w:t>
                  </w:r>
                </w:p>
              </w:tc>
              <w:tc>
                <w:tcPr>
                  <w:tcW w:w="1276" w:type="dxa"/>
                  <w:vAlign w:val="center"/>
                </w:tcPr>
                <w:p>
                  <w:pPr>
                    <w:adjustRightInd w:val="0"/>
                    <w:snapToGrid w:val="0"/>
                    <w:ind w:left="420" w:firstLine="0" w:firstLineChars="0"/>
                    <w:rPr>
                      <w:rFonts w:cs="Times New Roman"/>
                      <w:color w:val="000000"/>
                      <w:kern w:val="0"/>
                      <w:sz w:val="21"/>
                      <w:szCs w:val="20"/>
                      <w:lang w:val="zh-CN"/>
                    </w:rPr>
                  </w:pPr>
                  <w:r>
                    <w:rPr>
                      <w:rFonts w:cs="Times New Roman"/>
                      <w:color w:val="000000"/>
                      <w:kern w:val="0"/>
                      <w:sz w:val="21"/>
                      <w:szCs w:val="20"/>
                      <w:lang w:val="zh-CN"/>
                    </w:rPr>
                    <w:t>40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10</w:t>
                  </w:r>
                </w:p>
              </w:tc>
              <w:tc>
                <w:tcPr>
                  <w:tcW w:w="992"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10</w:t>
                  </w:r>
                </w:p>
              </w:tc>
              <w:tc>
                <w:tcPr>
                  <w:tcW w:w="978" w:type="dxa"/>
                  <w:vAlign w:val="center"/>
                </w:tcPr>
                <w:p>
                  <w:pPr>
                    <w:adjustRightInd w:val="0"/>
                    <w:snapToGrid w:val="0"/>
                    <w:ind w:firstLine="0" w:firstLineChars="0"/>
                    <w:rPr>
                      <w:rFonts w:cs="Times New Roman"/>
                      <w:color w:val="000000"/>
                      <w:kern w:val="0"/>
                      <w:sz w:val="21"/>
                      <w:szCs w:val="20"/>
                      <w:lang w:val="zh-CN"/>
                    </w:rPr>
                  </w:pPr>
                  <w:r>
                    <w:rPr>
                      <w:rFonts w:cs="Times New Roman"/>
                      <w:color w:val="000000"/>
                      <w:kern w:val="0"/>
                      <w:sz w:val="21"/>
                      <w:szCs w:val="20"/>
                      <w:lang w:val="zh-CN"/>
                    </w:rPr>
                    <w:t>5</w:t>
                  </w:r>
                </w:p>
              </w:tc>
            </w:tr>
          </w:tbl>
          <w:p>
            <w:pPr>
              <w:pStyle w:val="20"/>
              <w:ind w:firstLine="0" w:firstLineChars="0"/>
              <w:rPr>
                <w:lang w:val="zh-CN"/>
              </w:rPr>
            </w:pPr>
            <w:r>
              <w:rPr>
                <w:lang w:val="zh-CN"/>
              </w:rPr>
              <w:t>4.7固废排放标准</w:t>
            </w:r>
          </w:p>
          <w:p>
            <w:pPr>
              <w:adjustRightInd w:val="0"/>
              <w:snapToGrid w:val="0"/>
              <w:ind w:firstLine="480"/>
              <w:rPr>
                <w:rFonts w:cs="Times New Roman"/>
                <w:color w:val="000000"/>
              </w:rPr>
            </w:pPr>
            <w:r>
              <w:rPr>
                <w:rFonts w:cs="Times New Roman"/>
                <w:color w:val="000000"/>
              </w:rPr>
              <w:t>固体废物管理遵照《中华人民共和国固体废物污染环境防治法》、《广东省固体废物污染环境防治条例》执行，一般固体废物执行《一般工业固体废物贮存、处置场污染控制标准》（GB18599-2001），危险废物执行《国家危险废物名录》（2016 版）以及《危险废物贮存污染控制标准》（GB18597-2001），同时执行《关于发布&lt;一般工业固体废物贮存、处置场污染控制标准&gt;（GB18599-2001）等3项国家污染物控制标准修改单的公告》（2013年第 36 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1893" w:hRule="atLeast"/>
          <w:jc w:val="center"/>
        </w:trPr>
        <w:tc>
          <w:tcPr>
            <w:tcW w:w="541" w:type="dxa"/>
            <w:vAlign w:val="center"/>
          </w:tcPr>
          <w:p>
            <w:pPr>
              <w:adjustRightInd w:val="0"/>
              <w:snapToGrid w:val="0"/>
              <w:ind w:firstLine="0" w:firstLineChars="0"/>
              <w:jc w:val="center"/>
              <w:rPr>
                <w:rFonts w:cs="Times New Roman"/>
                <w:color w:val="000000"/>
              </w:rPr>
            </w:pPr>
            <w:r>
              <w:rPr>
                <w:rFonts w:cs="Times New Roman"/>
                <w:color w:val="000000"/>
              </w:rPr>
              <w:t>总</w:t>
            </w:r>
          </w:p>
          <w:p>
            <w:pPr>
              <w:adjustRightInd w:val="0"/>
              <w:snapToGrid w:val="0"/>
              <w:ind w:firstLine="0" w:firstLineChars="0"/>
              <w:jc w:val="center"/>
              <w:rPr>
                <w:rFonts w:cs="Times New Roman"/>
                <w:color w:val="000000"/>
              </w:rPr>
            </w:pPr>
            <w:r>
              <w:rPr>
                <w:rFonts w:cs="Times New Roman"/>
                <w:color w:val="000000"/>
              </w:rPr>
              <w:t>量</w:t>
            </w:r>
          </w:p>
          <w:p>
            <w:pPr>
              <w:adjustRightInd w:val="0"/>
              <w:snapToGrid w:val="0"/>
              <w:ind w:firstLine="0" w:firstLineChars="0"/>
              <w:jc w:val="center"/>
              <w:rPr>
                <w:rFonts w:cs="Times New Roman"/>
                <w:color w:val="000000"/>
              </w:rPr>
            </w:pPr>
            <w:r>
              <w:rPr>
                <w:rFonts w:cs="Times New Roman"/>
                <w:color w:val="000000"/>
              </w:rPr>
              <w:t>控</w:t>
            </w:r>
          </w:p>
          <w:p>
            <w:pPr>
              <w:adjustRightInd w:val="0"/>
              <w:snapToGrid w:val="0"/>
              <w:ind w:firstLine="0" w:firstLineChars="0"/>
              <w:jc w:val="center"/>
              <w:rPr>
                <w:rFonts w:cs="Times New Roman"/>
                <w:color w:val="000000"/>
              </w:rPr>
            </w:pPr>
            <w:r>
              <w:rPr>
                <w:rFonts w:cs="Times New Roman"/>
                <w:color w:val="000000"/>
              </w:rPr>
              <w:t>制</w:t>
            </w:r>
          </w:p>
          <w:p>
            <w:pPr>
              <w:adjustRightInd w:val="0"/>
              <w:snapToGrid w:val="0"/>
              <w:ind w:firstLine="0" w:firstLineChars="0"/>
              <w:jc w:val="center"/>
              <w:rPr>
                <w:rFonts w:cs="Times New Roman"/>
                <w:color w:val="000000"/>
              </w:rPr>
            </w:pPr>
            <w:r>
              <w:rPr>
                <w:rFonts w:cs="Times New Roman"/>
                <w:color w:val="000000"/>
              </w:rPr>
              <w:t>指</w:t>
            </w:r>
          </w:p>
          <w:p>
            <w:pPr>
              <w:adjustRightInd w:val="0"/>
              <w:snapToGrid w:val="0"/>
              <w:ind w:firstLine="0" w:firstLineChars="0"/>
              <w:jc w:val="center"/>
              <w:rPr>
                <w:rFonts w:cs="Times New Roman"/>
                <w:color w:val="000000"/>
              </w:rPr>
            </w:pPr>
            <w:r>
              <w:rPr>
                <w:rFonts w:cs="Times New Roman"/>
                <w:color w:val="000000"/>
              </w:rPr>
              <w:t>标</w:t>
            </w:r>
          </w:p>
        </w:tc>
        <w:tc>
          <w:tcPr>
            <w:tcW w:w="8746" w:type="dxa"/>
            <w:vAlign w:val="center"/>
          </w:tcPr>
          <w:p>
            <w:pPr>
              <w:adjustRightInd w:val="0"/>
              <w:snapToGrid w:val="0"/>
              <w:ind w:firstLine="480"/>
              <w:rPr>
                <w:rFonts w:cs="Times New Roman"/>
                <w:color w:val="000000"/>
              </w:rPr>
            </w:pPr>
            <w:r>
              <w:rPr>
                <w:rFonts w:cs="Times New Roman"/>
                <w:color w:val="000000"/>
              </w:rPr>
              <w:t>根据《国务院关于印发国家环境保护“十三五”规划的通知》（国发〔2016〕65 号），</w:t>
            </w:r>
            <w:r>
              <w:rPr>
                <w:rFonts w:cs="Times New Roman"/>
              </w:rPr>
              <w:t>江门市被列入了总氮总量控制区，</w:t>
            </w:r>
            <w:r>
              <w:rPr>
                <w:rFonts w:cs="Times New Roman"/>
                <w:color w:val="000000"/>
              </w:rPr>
              <w:t>确定项目纳入总量控制的污染物为化学需氧量（COD</w:t>
            </w:r>
            <w:r>
              <w:rPr>
                <w:rFonts w:cs="Times New Roman"/>
                <w:color w:val="FF0000"/>
              </w:rPr>
              <w:t>cr</w:t>
            </w:r>
            <w:r>
              <w:rPr>
                <w:rFonts w:cs="Times New Roman"/>
                <w:color w:val="000000"/>
              </w:rPr>
              <w:t>）、氨氮（NH</w:t>
            </w:r>
            <w:r>
              <w:rPr>
                <w:rFonts w:cs="Times New Roman"/>
                <w:color w:val="000000"/>
                <w:vertAlign w:val="subscript"/>
              </w:rPr>
              <w:t>3</w:t>
            </w:r>
            <w:r>
              <w:rPr>
                <w:rFonts w:cs="Times New Roman"/>
                <w:color w:val="000000"/>
              </w:rPr>
              <w:t>-N）、二氧化硫（SO</w:t>
            </w:r>
            <w:r>
              <w:rPr>
                <w:rFonts w:cs="Times New Roman"/>
                <w:color w:val="000000"/>
                <w:vertAlign w:val="subscript"/>
              </w:rPr>
              <w:t>2</w:t>
            </w:r>
            <w:r>
              <w:rPr>
                <w:rFonts w:cs="Times New Roman"/>
                <w:color w:val="000000"/>
              </w:rPr>
              <w:t>）、氮氧化物（NO</w:t>
            </w:r>
            <w:r>
              <w:rPr>
                <w:rFonts w:cs="Times New Roman"/>
                <w:color w:val="FF0000"/>
              </w:rPr>
              <w:t>x</w:t>
            </w:r>
            <w:r>
              <w:rPr>
                <w:rFonts w:cs="Times New Roman"/>
                <w:color w:val="000000"/>
              </w:rPr>
              <w:t>）。</w:t>
            </w:r>
          </w:p>
          <w:p>
            <w:pPr>
              <w:adjustRightInd w:val="0"/>
              <w:snapToGrid w:val="0"/>
              <w:ind w:firstLine="480"/>
              <w:rPr>
                <w:rFonts w:cs="Times New Roman"/>
                <w:color w:val="000000"/>
              </w:rPr>
            </w:pPr>
            <w:r>
              <w:rPr>
                <w:rFonts w:cs="Times New Roman"/>
                <w:color w:val="000000"/>
              </w:rPr>
              <w:t>根据《</w:t>
            </w:r>
            <w:r>
              <w:rPr>
                <w:rFonts w:cs="Times New Roman"/>
              </w:rPr>
              <w:t>广东省环境保护“十三五”规划</w:t>
            </w:r>
            <w:r>
              <w:rPr>
                <w:rFonts w:cs="Times New Roman"/>
                <w:color w:val="000000"/>
              </w:rPr>
              <w:t>》</w:t>
            </w:r>
            <w:r>
              <w:rPr>
                <w:rFonts w:cs="Times New Roman"/>
              </w:rPr>
              <w:t>（粤环[2016]51号）</w:t>
            </w:r>
            <w:r>
              <w:rPr>
                <w:rFonts w:cs="Times New Roman"/>
                <w:color w:val="000000"/>
              </w:rPr>
              <w:t>的要求，大气总量约束性指标共 4 项， 分别为二氧化硫、氮氧化物、化学需氧量、氨氮；</w:t>
            </w:r>
            <w:r>
              <w:rPr>
                <w:rFonts w:cs="Times New Roman"/>
              </w:rPr>
              <w:t>预期性指标包括沿海城市总氮、</w:t>
            </w:r>
            <w:r>
              <w:rPr>
                <w:rFonts w:cs="Times New Roman"/>
                <w:color w:val="000000" w:themeColor="text1"/>
              </w:rPr>
              <w:t>挥发性有机物</w:t>
            </w:r>
            <w:r>
              <w:rPr>
                <w:rFonts w:cs="Times New Roman"/>
              </w:rPr>
              <w:t>，重点行业的重点重金属。</w:t>
            </w:r>
          </w:p>
          <w:p>
            <w:pPr>
              <w:adjustRightInd w:val="0"/>
              <w:snapToGrid w:val="0"/>
              <w:ind w:firstLine="480"/>
              <w:rPr>
                <w:rFonts w:cs="Times New Roman"/>
                <w:color w:val="000000"/>
                <w:szCs w:val="24"/>
              </w:rPr>
            </w:pPr>
            <w:r>
              <w:rPr>
                <w:rFonts w:cs="Times New Roman"/>
                <w:color w:val="000000"/>
              </w:rPr>
              <w:t>总量控制因子及建议指</w:t>
            </w:r>
            <w:r>
              <w:rPr>
                <w:rFonts w:cs="Times New Roman"/>
                <w:color w:val="000000"/>
                <w:szCs w:val="24"/>
              </w:rPr>
              <w:t>标如下所示：</w:t>
            </w:r>
          </w:p>
          <w:p>
            <w:pPr>
              <w:pStyle w:val="37"/>
              <w:numPr>
                <w:ilvl w:val="0"/>
                <w:numId w:val="4"/>
              </w:numPr>
              <w:adjustRightInd w:val="0"/>
              <w:snapToGrid w:val="0"/>
              <w:ind w:firstLineChars="0"/>
              <w:rPr>
                <w:rFonts w:cs="Times New Roman"/>
                <w:color w:val="000000"/>
                <w:szCs w:val="24"/>
              </w:rPr>
            </w:pPr>
            <w:r>
              <w:rPr>
                <w:rFonts w:cs="Times New Roman"/>
                <w:color w:val="000000"/>
                <w:szCs w:val="24"/>
              </w:rPr>
              <w:t>废水：因水污染物总量纳入开平市水口污水处理厂总量范围内，故不单独申请总量。</w:t>
            </w:r>
          </w:p>
          <w:p>
            <w:pPr>
              <w:pStyle w:val="37"/>
              <w:numPr>
                <w:ilvl w:val="0"/>
                <w:numId w:val="4"/>
              </w:numPr>
              <w:adjustRightInd w:val="0"/>
              <w:snapToGrid w:val="0"/>
              <w:ind w:firstLineChars="0"/>
              <w:rPr>
                <w:rFonts w:cs="Times New Roman"/>
                <w:color w:val="000000"/>
                <w:szCs w:val="24"/>
              </w:rPr>
            </w:pPr>
            <w:r>
              <w:rPr>
                <w:rFonts w:hint="eastAsia" w:ascii="Calibri" w:hAnsi="Calibri" w:cs="Times New Roman"/>
              </w:rPr>
              <w:t>废气：颗粒物、油烟不列入总量指标，不申请总量。</w:t>
            </w:r>
          </w:p>
        </w:tc>
      </w:tr>
    </w:tbl>
    <w:p>
      <w:pPr>
        <w:ind w:firstLine="480"/>
        <w:rPr>
          <w:rFonts w:cs="Times New Roman"/>
        </w:rPr>
      </w:pP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r>
        <w:rPr>
          <w:rFonts w:hint="eastAsia" w:cs="Times New Roman"/>
        </w:rPr>
        <w:t xml:space="preserve"> </w:t>
      </w:r>
      <w:bookmarkStart w:id="12" w:name="_Toc27729834"/>
      <w:r>
        <w:rPr>
          <w:rFonts w:cs="Times New Roman"/>
        </w:rPr>
        <w:t>建设项目工程分析</w:t>
      </w:r>
      <w:bookmarkEnd w:id="12"/>
    </w:p>
    <w:tbl>
      <w:tblPr>
        <w:tblStyle w:val="22"/>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0" w:hRule="atLeast"/>
          <w:jc w:val="center"/>
        </w:trPr>
        <w:tc>
          <w:tcPr>
            <w:tcW w:w="9287" w:type="dxa"/>
          </w:tcPr>
          <w:p>
            <w:pPr>
              <w:pStyle w:val="20"/>
              <w:ind w:firstLine="0" w:firstLineChars="0"/>
              <w:rPr>
                <w:sz w:val="28"/>
                <w:szCs w:val="28"/>
                <w:lang w:val="zh-CN"/>
              </w:rPr>
            </w:pPr>
            <w:r>
              <w:rPr>
                <w:lang w:val="zh-CN"/>
              </w:rPr>
              <w:t>5.1工艺流程简述（图示）</w:t>
            </w:r>
            <w:r>
              <w:rPr>
                <w:sz w:val="28"/>
                <w:szCs w:val="28"/>
                <w:lang w:val="zh-CN"/>
              </w:rPr>
              <w:t>：</w:t>
            </w:r>
          </w:p>
          <w:p>
            <w:pPr>
              <w:keepNext/>
              <w:keepLines/>
              <w:ind w:firstLine="0" w:firstLineChars="0"/>
              <w:outlineLvl w:val="2"/>
              <w:rPr>
                <w:rFonts w:cs="Times New Roman"/>
                <w:b/>
                <w:bCs/>
                <w:sz w:val="28"/>
                <w:szCs w:val="32"/>
                <w:lang w:val="zh-CN"/>
              </w:rPr>
            </w:pPr>
            <w:r>
              <w:rPr>
                <w:rFonts w:cs="Times New Roman"/>
                <w:b/>
                <w:bCs/>
                <w:sz w:val="28"/>
                <w:szCs w:val="32"/>
                <w:lang w:val="zh-CN"/>
              </w:rPr>
              <w:t>5.1.1工艺流程说明</w:t>
            </w:r>
          </w:p>
          <w:p>
            <w:pPr>
              <w:tabs>
                <w:tab w:val="center" w:pos="4775"/>
              </w:tabs>
              <w:ind w:firstLine="482"/>
              <w:rPr>
                <w:rFonts w:cs="Times New Roman"/>
                <w:color w:val="000000"/>
                <w:szCs w:val="24"/>
              </w:rPr>
            </w:pPr>
            <w:r>
              <w:rPr>
                <w:rFonts w:cs="Times New Roman"/>
                <w:b/>
                <w:color w:val="000000"/>
                <w:szCs w:val="24"/>
              </w:rPr>
              <w:pict>
                <v:shape id="文本框 106" o:spid="_x0000_s1031" o:spt="202" type="#_x0000_t202" style="position:absolute;left:0pt;margin-left:198.55pt;margin-top:4.05pt;height:27pt;width:88.3pt;z-index:251681792;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">
                  <v:path/>
                  <v:fill focussize="0,0"/>
                  <v:stroke on="f" joinstyle="miter"/>
                  <v:imagedata o:title=""/>
                  <o:lock v:ext="edit"/>
                  <v:textbox>
                    <w:txbxContent>
                      <w:p>
                        <w:pPr>
                          <w:pStyle w:val="45"/>
                          <w:jc w:val="both"/>
                        </w:pPr>
                        <w:r>
                          <w:rPr>
                            <w:rFonts w:hint="eastAsia"/>
                          </w:rPr>
                          <w:t>油烟、燃料废气</w:t>
                        </w:r>
                      </w:p>
                    </w:txbxContent>
                  </v:textbox>
                </v:shape>
              </w:pict>
            </w:r>
            <w:r>
              <w:rPr>
                <w:rFonts w:cs="Times New Roman"/>
                <w:color w:val="000000"/>
                <w:szCs w:val="24"/>
              </w:rPr>
              <w:pict>
                <v:shape id="文本框 105" o:spid="_x0000_s1032" o:spt="202" type="#_x0000_t202" style="position:absolute;left:0pt;margin-left:71.1pt;margin-top:4.8pt;height:27pt;width:112.85pt;z-index:251680768;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">
                  <v:path/>
                  <v:fill focussize="0,0"/>
                  <v:stroke on="f" joinstyle="miter"/>
                  <v:imagedata o:title=""/>
                  <o:lock v:ext="edit"/>
                  <v:textbox>
                    <w:txbxContent>
                      <w:p>
                        <w:pPr>
                          <w:pStyle w:val="45"/>
                          <w:jc w:val="both"/>
                        </w:pPr>
                        <w:r>
                          <w:rPr>
                            <w:rFonts w:hint="eastAsia"/>
                          </w:rPr>
                          <w:t>噪声、粉尘、边角料</w:t>
                        </w:r>
                      </w:p>
                    </w:txbxContent>
                  </v:textbox>
                </v:shape>
              </w:pict>
            </w:r>
            <w:r>
              <w:rPr>
                <w:rFonts w:cs="Times New Roman"/>
                <w:color w:val="000000"/>
                <w:szCs w:val="24"/>
              </w:rPr>
              <w:tab/>
            </w:r>
          </w:p>
          <w:p>
            <w:pPr>
              <w:ind w:firstLine="482"/>
              <w:rPr>
                <w:rFonts w:cs="Times New Roman"/>
                <w:color w:val="000000"/>
                <w:szCs w:val="24"/>
              </w:rPr>
            </w:pPr>
            <w:r>
              <w:rPr>
                <w:rFonts w:cs="Times New Roman"/>
                <w:b/>
                <w:color w:val="000000"/>
                <w:szCs w:val="24"/>
              </w:rPr>
              <w:pict>
                <v:shape id="直接箭头连接符 104" o:spid="_x0000_s1066" o:spt="32" type="#_x0000_t32" style="position:absolute;left:0pt;flip:y;margin-left:242.1pt;margin-top:9.8pt;height:31.05pt;width:0pt;z-index:2516828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">
                  <v:path arrowok="t"/>
                  <v:fill on="f" focussize="0,0"/>
                  <v:stroke joinstyle="miter" dashstyle="dashDot" endarrow="block"/>
                  <v:imagedata o:title=""/>
                  <o:lock v:ext="edit"/>
                </v:shape>
              </w:pict>
            </w:r>
            <w:r>
              <w:rPr>
                <w:rFonts w:cs="Times New Roman"/>
                <w:color w:val="000000"/>
                <w:szCs w:val="24"/>
              </w:rPr>
              <w:pict>
                <v:shape id="直接箭头连接符 103" o:spid="_x0000_s1065" o:spt="32" type="#_x0000_t32" style="position:absolute;left:0pt;flip:y;margin-left:128.8pt;margin-top:10.5pt;height:31.05pt;width:0pt;z-index:2516797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">
                  <v:path arrowok="t"/>
                  <v:fill on="f" focussize="0,0"/>
                  <v:stroke joinstyle="miter" dashstyle="dashDot" endarrow="block"/>
                  <v:imagedata o:title=""/>
                  <o:lock v:ext="edit"/>
                </v:shape>
              </w:pict>
            </w:r>
          </w:p>
          <w:p>
            <w:pPr>
              <w:ind w:firstLine="480"/>
              <w:rPr>
                <w:rFonts w:cs="Times New Roman"/>
                <w:color w:val="000000"/>
                <w:szCs w:val="24"/>
              </w:rPr>
            </w:pPr>
            <w:r>
              <w:rPr>
                <w:rFonts w:cs="Times New Roman"/>
                <w:color w:val="000000"/>
                <w:szCs w:val="24"/>
              </w:rPr>
              <w:pict>
                <v:shape id="文本框 100" o:spid="_x0000_s1033" o:spt="202" type="#_x0000_t202" style="position:absolute;left:0pt;margin-left:13.35pt;margin-top:19.45pt;height:23.1pt;width:42.8pt;z-index:25166643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">
                  <v:path/>
                  <v:fill focussize="0,0"/>
                  <v:stroke weight="1.5pt" joinstyle="miter"/>
                  <v:imagedata o:title=""/>
                  <o:lock v:ext="edit"/>
                  <v:textbox>
                    <w:txbxContent>
                      <w:p>
                        <w:pPr>
                          <w:pStyle w:val="45"/>
                          <w:jc w:val="both"/>
                        </w:pPr>
                        <w:r>
                          <w:rPr>
                            <w:rFonts w:hint="eastAsia"/>
                          </w:rPr>
                          <w:t>铜棒</w:t>
                        </w:r>
                      </w:p>
                    </w:txbxContent>
                  </v:textbox>
                </v:shape>
              </w:pict>
            </w:r>
            <w:r>
              <w:rPr>
                <w:rFonts w:cs="Times New Roman"/>
                <w:b/>
                <w:color w:val="000000"/>
                <w:szCs w:val="24"/>
              </w:rPr>
              <w:pict>
                <v:shape id="文本框 102" o:spid="_x0000_s1034" o:spt="202" type="#_x0000_t202" style="position:absolute;left:0pt;margin-left:207.7pt;margin-top:18.85pt;height:24.1pt;width:69pt;z-index:251668480;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">
                  <v:path/>
                  <v:fill focussize="0,0"/>
                  <v:stroke weight="1.5pt" joinstyle="miter"/>
                  <v:imagedata o:title=""/>
                  <o:lock v:ext="edit"/>
                  <v:textbox>
                    <w:txbxContent>
                      <w:p>
                        <w:pPr>
                          <w:pStyle w:val="45"/>
                          <w:jc w:val="both"/>
                        </w:pPr>
                        <w:r>
                          <w:rPr>
                            <w:rFonts w:hint="eastAsia"/>
                          </w:rPr>
                          <w:t>加温冲压</w:t>
                        </w:r>
                      </w:p>
                    </w:txbxContent>
                  </v:textbox>
                </v:shape>
              </w:pict>
            </w:r>
            <w:r>
              <w:rPr>
                <w:rFonts w:cs="Times New Roman"/>
                <w:b/>
                <w:color w:val="000000"/>
                <w:szCs w:val="24"/>
              </w:rPr>
              <w:pict>
                <v:shape id="文本框 101" o:spid="_x0000_s1035" o:spt="202" type="#_x0000_t202" style="position:absolute;left:0pt;margin-left:92.9pt;margin-top:19.5pt;height:24.75pt;width:69pt;z-index:251667456;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">
                  <v:path/>
                  <v:fill focussize="0,0"/>
                  <v:stroke weight="1.5pt" joinstyle="miter"/>
                  <v:imagedata o:title=""/>
                  <o:lock v:ext="edit"/>
                  <v:textbox>
                    <w:txbxContent>
                      <w:p>
                        <w:pPr>
                          <w:pStyle w:val="45"/>
                        </w:pPr>
                        <w:r>
                          <w:rPr>
                            <w:rFonts w:hint="eastAsia"/>
                          </w:rPr>
                          <w:t>开料</w:t>
                        </w:r>
                      </w:p>
                    </w:txbxContent>
                  </v:textbox>
                </v:shape>
              </w:pict>
            </w:r>
          </w:p>
          <w:p>
            <w:pPr>
              <w:ind w:firstLine="480"/>
              <w:jc w:val="center"/>
              <w:rPr>
                <w:rFonts w:cs="Times New Roman"/>
                <w:color w:val="000000"/>
                <w:szCs w:val="24"/>
              </w:rPr>
            </w:pPr>
            <w:r>
              <w:rPr>
                <w:rFonts w:cs="Times New Roman"/>
                <w:color w:val="000000"/>
                <w:szCs w:val="24"/>
              </w:rPr>
              <w:pict>
                <v:shape id="直接箭头连接符 97" o:spid="_x0000_s1064" o:spt="32" type="#_x0000_t32" style="position:absolute;left:0pt;margin-left:242.85pt;margin-top:20.35pt;height:34.2pt;width:0pt;z-index:25167564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">
                  <v:path arrowok="t"/>
                  <v:fill on="f" focussize="0,0"/>
                  <v:stroke joinstyle="miter" endarrow="block"/>
                  <v:imagedata o:title=""/>
                  <o:lock v:ext="edit"/>
                </v:shape>
              </w:pict>
            </w:r>
            <w:r>
              <w:rPr>
                <w:rFonts w:cs="Times New Roman"/>
                <w:b/>
                <w:color w:val="000000"/>
                <w:szCs w:val="24"/>
              </w:rPr>
              <w:pict>
                <v:shape id="直接箭头连接符 99" o:spid="_x0000_s1063" o:spt="32" type="#_x0000_t32" style="position:absolute;left:0pt;margin-left:164.5pt;margin-top:7.05pt;height:0.8pt;width:38.25pt;z-index:2516746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">
                  <v:path arrowok="t"/>
                  <v:fill on="f" focussize="0,0"/>
                  <v:stroke joinstyle="miter" endarrow="block"/>
                  <v:imagedata o:title=""/>
                  <o:lock v:ext="edit"/>
                </v:shape>
              </w:pict>
            </w:r>
            <w:r>
              <w:rPr>
                <w:rFonts w:cs="Times New Roman"/>
                <w:color w:val="000000"/>
                <w:szCs w:val="24"/>
              </w:rPr>
              <w:pict>
                <v:shape id="直接箭头连接符 98" o:spid="_x0000_s1062" o:spt="32" type="#_x0000_t32" style="position:absolute;left:0pt;margin-left:53.95pt;margin-top:7.5pt;height:0pt;width:32.25pt;z-index:2516736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">
                  <v:path arrowok="t"/>
                  <v:fill on="f" focussize="0,0"/>
                  <v:stroke joinstyle="miter" endarrow="block"/>
                  <v:imagedata o:title=""/>
                  <o:lock v:ext="edit"/>
                </v:shape>
              </w:pict>
            </w:r>
          </w:p>
          <w:p>
            <w:pPr>
              <w:ind w:firstLine="480"/>
              <w:rPr>
                <w:rFonts w:cs="Times New Roman"/>
                <w:color w:val="000000"/>
                <w:szCs w:val="24"/>
              </w:rPr>
            </w:pPr>
          </w:p>
          <w:p>
            <w:pPr>
              <w:ind w:firstLine="480"/>
              <w:rPr>
                <w:rFonts w:cs="Times New Roman"/>
                <w:color w:val="000000"/>
                <w:szCs w:val="24"/>
              </w:rPr>
            </w:pPr>
            <w:r>
              <w:rPr>
                <w:rFonts w:cs="Times New Roman"/>
                <w:color w:val="000000"/>
                <w:szCs w:val="24"/>
              </w:rPr>
              <w:pict>
                <v:shape id="直接箭头连接符 94" o:spid="_x0000_s1061" o:spt="32" type="#_x0000_t32" style="position:absolute;left:0pt;margin-left:283.55pt;margin-top:23.65pt;height:0pt;width:38.25pt;z-index:2516848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">
                  <v:path arrowok="t"/>
                  <v:fill on="f" focussize="0,0"/>
                  <v:stroke joinstyle="miter" dashstyle="dashDot" endarrow="block"/>
                  <v:imagedata o:title=""/>
                  <o:lock v:ext="edit"/>
                </v:shape>
              </w:pict>
            </w:r>
            <w:r>
              <w:rPr>
                <w:rFonts w:cs="Times New Roman"/>
                <w:b/>
                <w:color w:val="000000"/>
                <w:szCs w:val="24"/>
              </w:rPr>
              <w:pict>
                <v:shape id="文本框 2" o:spid="_x0000_s1036" o:spt="202" type="#_x0000_t202" style="position:absolute;left:0pt;margin-left:209.05pt;margin-top:13.85pt;height:23.4pt;width:69pt;z-index:251688960;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">
                  <v:path/>
                  <v:fill focussize="0,0"/>
                  <v:stroke weight="1.5pt" joinstyle="miter"/>
                  <v:imagedata o:title=""/>
                  <o:lock v:ext="edit"/>
                  <v:textbox>
                    <w:txbxContent>
                      <w:p>
                        <w:pPr>
                          <w:pStyle w:val="45"/>
                        </w:pPr>
                        <w:r>
                          <w:rPr>
                            <w:rFonts w:hint="eastAsia"/>
                          </w:rPr>
                          <w:t>机加工</w:t>
                        </w:r>
                      </w:p>
                    </w:txbxContent>
                  </v:textbox>
                </v:shape>
              </w:pict>
            </w:r>
            <w:r>
              <w:rPr>
                <w:rFonts w:cs="Times New Roman"/>
                <w:b/>
                <w:color w:val="000000"/>
                <w:szCs w:val="24"/>
              </w:rPr>
              <w:pict>
                <v:shape id="文本框 95" o:spid="_x0000_s1037" o:spt="202" type="#_x0000_t202" style="position:absolute;left:0pt;margin-left:330.9pt;margin-top:13.5pt;height:30pt;width:100.5pt;z-index:251683840;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">
                  <v:path/>
                  <v:fill focussize="0,0"/>
                  <v:stroke on="f" joinstyle="miter"/>
                  <v:imagedata o:title=""/>
                  <o:lock v:ext="edit"/>
                  <v:textbox>
                    <w:txbxContent>
                      <w:p>
                        <w:pPr>
                          <w:pStyle w:val="45"/>
                          <w:jc w:val="both"/>
                        </w:pPr>
                        <w:r>
                          <w:rPr>
                            <w:rFonts w:hint="eastAsia"/>
                          </w:rPr>
                          <w:t>噪声、粉尘、边角料</w:t>
                        </w:r>
                      </w:p>
                    </w:txbxContent>
                  </v:textbox>
                </v:shape>
              </w:pict>
            </w:r>
          </w:p>
          <w:p>
            <w:pPr>
              <w:ind w:firstLine="482"/>
              <w:rPr>
                <w:rFonts w:cs="Times New Roman"/>
                <w:color w:val="000000"/>
                <w:szCs w:val="24"/>
              </w:rPr>
            </w:pPr>
            <w:r>
              <w:rPr>
                <w:rFonts w:cs="Times New Roman"/>
                <w:b/>
                <w:color w:val="000000"/>
                <w:szCs w:val="24"/>
              </w:rPr>
              <w:pict>
                <v:shape id="直接箭头连接符 3" o:spid="_x0000_s1060" o:spt="32" type="#_x0000_t32" style="position:absolute;left:0pt;margin-left:246.3pt;margin-top:14.8pt;height:28.5pt;width:0pt;z-index:2516899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">
                  <v:path arrowok="t"/>
                  <v:fill on="f" focussize="0,0"/>
                  <v:stroke joinstyle="miter" endarrow="block"/>
                  <v:imagedata o:title=""/>
                  <o:lock v:ext="edit"/>
                </v:shape>
              </w:pict>
            </w:r>
          </w:p>
          <w:p>
            <w:pPr>
              <w:ind w:firstLine="480"/>
              <w:rPr>
                <w:rFonts w:cs="Times New Roman"/>
                <w:color w:val="000000"/>
                <w:szCs w:val="24"/>
              </w:rPr>
            </w:pPr>
          </w:p>
          <w:p>
            <w:pPr>
              <w:ind w:firstLine="480"/>
              <w:rPr>
                <w:rFonts w:cs="Times New Roman"/>
                <w:color w:val="000000"/>
                <w:szCs w:val="24"/>
              </w:rPr>
            </w:pPr>
            <w:r>
              <w:rPr>
                <w:rFonts w:cs="Times New Roman"/>
                <w:color w:val="000000"/>
                <w:szCs w:val="24"/>
              </w:rPr>
              <w:pict>
                <v:shape id="直接箭头连接符 7" o:spid="_x0000_s1059" o:spt="32" type="#_x0000_t32" style="position:absolute;left:0pt;margin-left:283pt;margin-top:14.55pt;height:0pt;width:38.25pt;z-index:2516910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">
                  <v:path arrowok="t"/>
                  <v:fill on="f" focussize="0,0"/>
                  <v:stroke joinstyle="miter" dashstyle="dashDot" endarrow="block"/>
                  <v:imagedata o:title=""/>
                  <o:lock v:ext="edit"/>
                </v:shape>
              </w:pict>
            </w:r>
            <w:r>
              <w:rPr>
                <w:rFonts w:cs="Times New Roman"/>
                <w:b/>
                <w:color w:val="000000"/>
                <w:szCs w:val="24"/>
              </w:rPr>
              <w:pict>
                <v:shape id="文本框 96" o:spid="_x0000_s1038" o:spt="202" type="#_x0000_t202" style="position:absolute;left:0pt;margin-left:209.35pt;margin-top:1.65pt;height:23.1pt;width:69pt;z-index:251669504;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">
                  <v:path/>
                  <v:fill focussize="0,0"/>
                  <v:stroke weight="1.5pt" joinstyle="miter"/>
                  <v:imagedata o:title=""/>
                  <o:lock v:ext="edit"/>
                  <v:textbox>
                    <w:txbxContent>
                      <w:p>
                        <w:pPr>
                          <w:pStyle w:val="45"/>
                          <w:jc w:val="both"/>
                        </w:pPr>
                        <w:r>
                          <w:rPr>
                            <w:rFonts w:hint="eastAsia"/>
                          </w:rPr>
                          <w:t>抛光打磨</w:t>
                        </w:r>
                      </w:p>
                    </w:txbxContent>
                  </v:textbox>
                </v:shape>
              </w:pict>
            </w:r>
            <w:r>
              <w:rPr>
                <w:rFonts w:cs="Times New Roman"/>
                <w:b/>
                <w:color w:val="000000"/>
                <w:szCs w:val="24"/>
              </w:rPr>
              <w:pict>
                <v:shape id="文本框 5" o:spid="_x0000_s1039" o:spt="202" type="#_x0000_t202" style="position:absolute;left:0pt;margin-left:333.2pt;margin-top:0.4pt;height:30pt;width:100.5pt;z-index:251692032;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">
                  <v:path/>
                  <v:fill focussize="0,0"/>
                  <v:stroke on="f" joinstyle="miter"/>
                  <v:imagedata o:title=""/>
                  <o:lock v:ext="edit"/>
                  <v:textbox>
                    <w:txbxContent>
                      <w:p>
                        <w:pPr>
                          <w:pStyle w:val="45"/>
                          <w:jc w:val="both"/>
                        </w:pPr>
                        <w:r>
                          <w:rPr>
                            <w:rFonts w:hint="eastAsia"/>
                          </w:rPr>
                          <w:t>噪声、粉尘、</w:t>
                        </w:r>
                        <w:r>
                          <w:t>固废</w:t>
                        </w:r>
                      </w:p>
                    </w:txbxContent>
                  </v:textbox>
                </v:shape>
              </w:pict>
            </w:r>
          </w:p>
          <w:p>
            <w:pPr>
              <w:ind w:firstLine="482"/>
              <w:rPr>
                <w:rFonts w:cs="Times New Roman"/>
                <w:color w:val="000000"/>
                <w:szCs w:val="24"/>
              </w:rPr>
            </w:pPr>
            <w:r>
              <w:rPr>
                <w:rFonts w:cs="Times New Roman"/>
                <w:b/>
                <w:color w:val="000000"/>
                <w:szCs w:val="24"/>
              </w:rPr>
              <w:pict>
                <v:shape id="直接箭头连接符 93" o:spid="_x0000_s1058" o:spt="32" type="#_x0000_t32" style="position:absolute;left:0pt;margin-left:246.4pt;margin-top:4.7pt;height:28.5pt;width:0pt;z-index:2516766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">
                  <v:path arrowok="t"/>
                  <v:fill on="f" focussize="0,0"/>
                  <v:stroke joinstyle="miter" endarrow="block"/>
                  <v:imagedata o:title=""/>
                  <o:lock v:ext="edit"/>
                </v:shape>
              </w:pict>
            </w:r>
          </w:p>
          <w:p>
            <w:pPr>
              <w:ind w:firstLine="482"/>
              <w:rPr>
                <w:rFonts w:cs="Times New Roman"/>
                <w:color w:val="000000"/>
                <w:szCs w:val="24"/>
              </w:rPr>
            </w:pPr>
            <w:r>
              <w:rPr>
                <w:rFonts w:cs="Times New Roman"/>
                <w:b/>
                <w:color w:val="000000"/>
                <w:szCs w:val="24"/>
              </w:rPr>
              <w:pict>
                <v:shape id="文本框 90" o:spid="_x0000_s1040" o:spt="202" type="#_x0000_t202" style="position:absolute;left:0pt;margin-left:334pt;margin-top:17.4pt;height:30pt;width:76.1pt;z-index:251686912;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">
                  <v:path/>
                  <v:fill focussize="0,0"/>
                  <v:stroke on="f" joinstyle="miter"/>
                  <v:imagedata o:title=""/>
                  <o:lock v:ext="edit"/>
                  <v:textbox>
                    <w:txbxContent>
                      <w:p>
                        <w:pPr>
                          <w:pStyle w:val="45"/>
                          <w:jc w:val="both"/>
                        </w:pPr>
                        <w:r>
                          <w:rPr>
                            <w:rFonts w:hint="eastAsia"/>
                          </w:rPr>
                          <w:t>噪声、固废</w:t>
                        </w:r>
                      </w:p>
                    </w:txbxContent>
                  </v:textbox>
                </v:shape>
              </w:pict>
            </w:r>
            <w:r>
              <w:rPr>
                <w:rFonts w:cs="Times New Roman"/>
                <w:b/>
                <w:color w:val="000000"/>
                <w:szCs w:val="24"/>
              </w:rPr>
              <w:pict>
                <v:shape id="文本框 92" o:spid="_x0000_s1041" o:spt="202" type="#_x0000_t202" style="position:absolute;left:0pt;margin-left:212.4pt;margin-top:13.95pt;height:23.75pt;width:69pt;z-index:251670528;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">
                  <v:path/>
                  <v:fill focussize="0,0"/>
                  <v:stroke weight="1.5pt" joinstyle="miter"/>
                  <v:imagedata o:title=""/>
                  <o:lock v:ext="edit"/>
                  <v:textbox>
                    <w:txbxContent>
                      <w:p>
                        <w:pPr>
                          <w:pStyle w:val="45"/>
                        </w:pPr>
                        <w:r>
                          <w:rPr>
                            <w:rFonts w:hint="eastAsia"/>
                          </w:rPr>
                          <w:t>发外电镀</w:t>
                        </w:r>
                      </w:p>
                    </w:txbxContent>
                  </v:textbox>
                </v:shape>
              </w:pict>
            </w:r>
          </w:p>
          <w:p>
            <w:pPr>
              <w:ind w:firstLine="482"/>
              <w:rPr>
                <w:rFonts w:cs="Times New Roman"/>
                <w:color w:val="000000"/>
                <w:szCs w:val="24"/>
              </w:rPr>
            </w:pPr>
            <w:r>
              <w:rPr>
                <w:rFonts w:cs="Times New Roman"/>
                <w:b/>
                <w:color w:val="000000"/>
                <w:szCs w:val="24"/>
              </w:rPr>
              <w:pict>
                <v:shape id="直接箭头连接符 91" o:spid="_x0000_s1057" o:spt="32" type="#_x0000_t32" style="position:absolute;left:0pt;margin-left:247.25pt;margin-top:16.9pt;height:34.2pt;width:0pt;z-index:2516776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">
                  <v:path arrowok="t"/>
                  <v:fill on="f" focussize="0,0"/>
                  <v:stroke joinstyle="miter" endarrow="block"/>
                  <v:imagedata o:title=""/>
                  <o:lock v:ext="edit"/>
                </v:shape>
              </w:pict>
            </w:r>
            <w:r>
              <w:rPr>
                <w:rFonts w:cs="Times New Roman"/>
                <w:b/>
                <w:color w:val="000000"/>
                <w:szCs w:val="24"/>
              </w:rPr>
              <w:pict>
                <v:shape id="直接箭头连接符 89" o:spid="_x0000_s1056" o:spt="32" type="#_x0000_t32" style="position:absolute;left:0pt;margin-left:287.2pt;margin-top:3.1pt;height:0pt;width:38.25pt;z-index:2516858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">
                  <v:path arrowok="t"/>
                  <v:fill on="f" focussize="0,0"/>
                  <v:stroke joinstyle="miter" dashstyle="dashDot" endarrow="block"/>
                  <v:imagedata o:title=""/>
                  <o:lock v:ext="edit"/>
                </v:shape>
              </w:pict>
            </w:r>
          </w:p>
          <w:p>
            <w:pPr>
              <w:ind w:firstLine="480"/>
              <w:rPr>
                <w:rFonts w:cs="Times New Roman"/>
                <w:color w:val="000000"/>
                <w:szCs w:val="24"/>
              </w:rPr>
            </w:pPr>
          </w:p>
          <w:p>
            <w:pPr>
              <w:ind w:firstLine="482"/>
              <w:rPr>
                <w:rFonts w:cs="Times New Roman"/>
                <w:color w:val="000000"/>
                <w:szCs w:val="24"/>
              </w:rPr>
            </w:pPr>
            <w:r>
              <w:rPr>
                <w:rFonts w:cs="Times New Roman"/>
                <w:b/>
                <w:color w:val="000000"/>
                <w:szCs w:val="24"/>
              </w:rPr>
              <w:pict>
                <v:shape id="文本框 11" o:spid="_x0000_s1042" o:spt="202" type="#_x0000_t202" style="position:absolute;left:0pt;margin-left:329.25pt;margin-top:13.05pt;height:30pt;width:36.7pt;z-index:251698176;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">
                  <v:path/>
                  <v:fill focussize="0,0"/>
                  <v:stroke on="f" joinstyle="miter"/>
                  <v:imagedata o:title=""/>
                  <o:lock v:ext="edit"/>
                  <v:textbox>
                    <w:txbxContent>
                      <w:p>
                        <w:pPr>
                          <w:pStyle w:val="45"/>
                          <w:jc w:val="both"/>
                        </w:pPr>
                        <w:r>
                          <w:rPr>
                            <w:rFonts w:hint="eastAsia"/>
                          </w:rPr>
                          <w:t>噪声</w:t>
                        </w:r>
                      </w:p>
                    </w:txbxContent>
                  </v:textbox>
                </v:shape>
              </w:pict>
            </w:r>
            <w:r>
              <w:rPr>
                <w:rFonts w:cs="Times New Roman"/>
                <w:color w:val="000000"/>
                <w:szCs w:val="24"/>
              </w:rPr>
              <w:pict>
                <v:shape id="直接箭头连接符 10" o:spid="_x0000_s1055" o:spt="32" type="#_x0000_t32" style="position:absolute;left:0pt;margin-left:288.2pt;margin-top:22.75pt;height:0pt;width:38.25pt;z-index:251696128;mso-width-relative:margin;mso-height-relative:margin;"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">
                  <v:path arrowok="t"/>
                  <v:fill on="f" focussize="0,0"/>
                  <v:stroke joinstyle="miter" dashstyle="dashDot" endarrow="block"/>
                  <v:imagedata o:title=""/>
                  <o:lock v:ext="edit"/>
                </v:shape>
              </w:pict>
            </w:r>
            <w:r>
              <w:rPr>
                <w:rFonts w:cs="Times New Roman"/>
                <w:b/>
                <w:color w:val="000000"/>
                <w:szCs w:val="24"/>
              </w:rPr>
              <w:pict>
                <v:shape id="文本框 88" o:spid="_x0000_s1043" o:spt="202" type="#_x0000_t202" style="position:absolute;left:0pt;margin-left:214.15pt;margin-top:10.65pt;height:24.75pt;width:69pt;z-index:251671552;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">
                  <v:path/>
                  <v:fill focussize="0,0"/>
                  <v:stroke weight="1.5pt" joinstyle="miter"/>
                  <v:imagedata o:title=""/>
                  <o:lock v:ext="edit"/>
                  <v:textbox>
                    <w:txbxContent>
                      <w:p>
                        <w:pPr>
                          <w:pStyle w:val="45"/>
                        </w:pPr>
                        <w:r>
                          <w:rPr>
                            <w:rFonts w:hint="eastAsia"/>
                          </w:rPr>
                          <w:t>质检安装</w:t>
                        </w:r>
                      </w:p>
                    </w:txbxContent>
                  </v:textbox>
                </v:shape>
              </w:pict>
            </w:r>
          </w:p>
          <w:p>
            <w:pPr>
              <w:ind w:firstLine="482"/>
              <w:rPr>
                <w:rFonts w:cs="Times New Roman"/>
                <w:color w:val="000000"/>
                <w:szCs w:val="24"/>
              </w:rPr>
            </w:pPr>
            <w:r>
              <w:rPr>
                <w:rFonts w:cs="Times New Roman"/>
                <w:b/>
                <w:color w:val="000000"/>
                <w:szCs w:val="24"/>
              </w:rPr>
              <w:pict>
                <v:shape id="直接箭头连接符 87" o:spid="_x0000_s1054" o:spt="32" type="#_x0000_t32" style="position:absolute;left:0pt;margin-left:249.25pt;margin-top:14.4pt;height:34.2pt;width:0pt;z-index:2516787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">
                  <v:path arrowok="t"/>
                  <v:fill on="f" focussize="0,0"/>
                  <v:stroke joinstyle="miter" endarrow="block"/>
                  <v:imagedata o:title=""/>
                  <o:lock v:ext="edit"/>
                </v:shape>
              </w:pict>
            </w:r>
          </w:p>
          <w:p>
            <w:pPr>
              <w:ind w:firstLine="480"/>
              <w:rPr>
                <w:rFonts w:cs="Times New Roman"/>
                <w:color w:val="000000"/>
                <w:szCs w:val="24"/>
              </w:rPr>
            </w:pP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Cs w:val="24"/>
              </w:rPr>
              <w:pict>
                <v:shape id="文本框 8" o:spid="_x0000_s1044" o:spt="202" type="#_x0000_t202" style="position:absolute;left:0pt;margin-left:334.65pt;margin-top:3.3pt;height:30pt;width:65.2pt;z-index:251694080;mso-width-relative:margin;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">
                  <v:path/>
                  <v:fill focussize="0,0"/>
                  <v:stroke on="f" joinstyle="miter"/>
                  <v:imagedata o:title=""/>
                  <o:lock v:ext="edit"/>
                  <v:textbox>
                    <w:txbxContent>
                      <w:p>
                        <w:pPr>
                          <w:pStyle w:val="45"/>
                          <w:jc w:val="both"/>
                        </w:pPr>
                        <w:r>
                          <w:rPr>
                            <w:rFonts w:hint="eastAsia"/>
                          </w:rPr>
                          <w:t>噪声、固废</w:t>
                        </w:r>
                      </w:p>
                    </w:txbxContent>
                  </v:textbox>
                </v:shape>
              </w:pict>
            </w:r>
            <w:r>
              <w:rPr>
                <w:rFonts w:cs="Times New Roman"/>
                <w:b/>
                <w:color w:val="000000"/>
                <w:szCs w:val="24"/>
              </w:rPr>
              <w:pict>
                <v:shape id="文本框 86" o:spid="_x0000_s1045" o:spt="202" type="#_x0000_t202" style="position:absolute;left:0pt;margin-left:217.9pt;margin-top:5.45pt;height:23.7pt;width:69pt;z-index:251672576;mso-width-relative:page;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">
                  <v:path/>
                  <v:fill focussize="0,0"/>
                  <v:stroke weight="1.5pt" joinstyle="miter"/>
                  <v:imagedata o:title=""/>
                  <o:lock v:ext="edit"/>
                  <v:textbox>
                    <w:txbxContent>
                      <w:p>
                        <w:pPr>
                          <w:pStyle w:val="45"/>
                          <w:jc w:val="both"/>
                        </w:pPr>
                        <w:r>
                          <w:rPr>
                            <w:rFonts w:hint="eastAsia"/>
                          </w:rPr>
                          <w:t>包装出货</w:t>
                        </w:r>
                      </w:p>
                    </w:txbxContent>
                  </v:textbox>
                </v:shape>
              </w:pic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Cs w:val="24"/>
              </w:rPr>
              <w:pict>
                <v:shape id="直接箭头连接符 9" o:spid="_x0000_s1053" o:spt="32" type="#_x0000_t32" style="position:absolute;left:0pt;margin-left:291.05pt;margin-top:4.95pt;height:0pt;width:38.25pt;z-index:2516930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">
                  <v:path arrowok="t"/>
                  <v:fill on="f" focussize="0,0"/>
                  <v:stroke joinstyle="miter" dashstyle="dashDot" endarrow="block"/>
                  <v:imagedata o:title=""/>
                  <o:lock v:ext="edit"/>
                </v:shape>
              </w:pict>
            </w:r>
          </w:p>
          <w:p>
            <w:pPr>
              <w:adjustRightInd w:val="0"/>
              <w:snapToGrid w:val="0"/>
              <w:spacing w:line="240" w:lineRule="auto"/>
              <w:ind w:firstLine="0" w:firstLineChars="0"/>
              <w:jc w:val="center"/>
              <w:rPr>
                <w:rFonts w:cs="Times New Roman"/>
                <w:b/>
                <w:color w:val="000000"/>
                <w:sz w:val="21"/>
                <w:lang w:val="zh-CN"/>
              </w:rPr>
            </w:pPr>
          </w:p>
          <w:p>
            <w:pPr>
              <w:adjustRightInd w:val="0"/>
              <w:snapToGrid w:val="0"/>
              <w:spacing w:line="240" w:lineRule="auto"/>
              <w:ind w:firstLine="0" w:firstLineChars="0"/>
              <w:rPr>
                <w:rFonts w:cs="Times New Roman"/>
                <w:b/>
                <w:color w:val="000000"/>
                <w:sz w:val="21"/>
                <w:lang w:val="zh-CN"/>
              </w:rPr>
            </w:pP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图5-</w:t>
            </w:r>
            <w:r>
              <w:rPr>
                <w:rFonts w:cs="Times New Roman"/>
                <w:b/>
                <w:bCs/>
                <w:color w:val="000000"/>
                <w:sz w:val="21"/>
                <w:lang w:val="zh-CN"/>
              </w:rPr>
              <w:t>1 项目生产</w:t>
            </w:r>
            <w:r>
              <w:rPr>
                <w:rFonts w:cs="Times New Roman"/>
                <w:b/>
                <w:color w:val="000000"/>
                <w:sz w:val="21"/>
                <w:lang w:val="zh-CN"/>
              </w:rPr>
              <w:t>工艺流程及产污环节图</w:t>
            </w:r>
          </w:p>
          <w:p>
            <w:pPr>
              <w:adjustRightInd w:val="0"/>
              <w:snapToGrid w:val="0"/>
              <w:spacing w:line="240" w:lineRule="auto"/>
              <w:ind w:firstLine="0" w:firstLineChars="0"/>
              <w:rPr>
                <w:rFonts w:cs="Times New Roman"/>
                <w:b/>
                <w:color w:val="000000"/>
                <w:sz w:val="21"/>
                <w:lang w:val="zh-CN"/>
              </w:rPr>
            </w:pPr>
          </w:p>
          <w:p>
            <w:pPr>
              <w:adjustRightInd w:val="0"/>
              <w:snapToGrid w:val="0"/>
              <w:ind w:firstLine="0" w:firstLineChars="0"/>
              <w:rPr>
                <w:rFonts w:cs="Times New Roman"/>
                <w:b/>
                <w:color w:val="000000"/>
                <w:sz w:val="21"/>
                <w:lang w:val="zh-CN"/>
              </w:rPr>
            </w:pPr>
            <w:r>
              <w:rPr>
                <w:rFonts w:cs="Times New Roman"/>
                <w:b/>
                <w:color w:val="000000"/>
              </w:rPr>
              <w:t>工艺流程简述：</w:t>
            </w:r>
          </w:p>
          <w:p>
            <w:pPr>
              <w:adjustRightInd w:val="0"/>
              <w:snapToGrid w:val="0"/>
              <w:ind w:firstLine="480"/>
              <w:rPr>
                <w:rFonts w:cs="Times New Roman"/>
                <w:color w:val="000000"/>
              </w:rPr>
            </w:pPr>
            <w:r>
              <w:rPr>
                <w:rFonts w:cs="Times New Roman"/>
                <w:color w:val="000000"/>
              </w:rPr>
              <w:t>开料：指根据工艺要求及尺寸规格用开料机将材料裁切成所需要规格的过程。该过程会产生噪声、切割粉尘。</w:t>
            </w:r>
          </w:p>
          <w:p>
            <w:pPr>
              <w:adjustRightInd w:val="0"/>
              <w:snapToGrid w:val="0"/>
              <w:ind w:firstLine="480"/>
              <w:rPr>
                <w:rFonts w:cs="Times New Roman"/>
                <w:color w:val="000000"/>
              </w:rPr>
            </w:pPr>
            <w:r>
              <w:rPr>
                <w:rFonts w:cs="Times New Roman"/>
                <w:color w:val="000000"/>
              </w:rPr>
              <w:t>加温冲压</w:t>
            </w:r>
            <w:r>
              <w:rPr>
                <w:rFonts w:hint="eastAsia" w:cs="Times New Roman"/>
                <w:color w:val="000000"/>
              </w:rPr>
              <w:t>：煤油</w:t>
            </w:r>
            <w:r>
              <w:rPr>
                <w:rFonts w:cs="Times New Roman"/>
                <w:color w:val="000000"/>
              </w:rPr>
              <w:t>火枪</w:t>
            </w:r>
            <w:r>
              <w:rPr>
                <w:rFonts w:hint="eastAsia" w:cs="Times New Roman"/>
                <w:color w:val="000000"/>
              </w:rPr>
              <w:t>在铜棒上喷火，</w:t>
            </w:r>
            <w:r>
              <w:rPr>
                <w:rFonts w:cs="Times New Roman"/>
                <w:color w:val="000000"/>
              </w:rPr>
              <w:t>加热升温至500</w:t>
            </w:r>
            <w:r>
              <w:rPr>
                <w:rFonts w:hint="eastAsia" w:ascii="宋体" w:hAnsi="宋体" w:cs="宋体"/>
              </w:rPr>
              <w:t>℃</w:t>
            </w:r>
            <w:r>
              <w:rPr>
                <w:rFonts w:cs="Times New Roman"/>
              </w:rPr>
              <w:t>左右，</w:t>
            </w:r>
            <w:r>
              <w:rPr>
                <w:rFonts w:cs="Times New Roman"/>
                <w:color w:val="000000"/>
              </w:rPr>
              <w:t>使铜棒软化，软化后的铜棒送至已喷</w:t>
            </w:r>
            <w:r>
              <w:rPr>
                <w:rFonts w:hint="eastAsia" w:cs="Times New Roman"/>
                <w:color w:val="000000"/>
              </w:rPr>
              <w:t>棕</w:t>
            </w:r>
            <w:r>
              <w:rPr>
                <w:rFonts w:cs="Times New Roman"/>
                <w:color w:val="000000"/>
              </w:rPr>
              <w:t>油的热冲机的模具型腔内冲压成型。</w:t>
            </w:r>
            <w:r>
              <w:rPr>
                <w:rFonts w:hint="eastAsia" w:cs="Times New Roman"/>
                <w:color w:val="000000"/>
              </w:rPr>
              <w:t>冲床</w:t>
            </w:r>
            <w:r>
              <w:rPr>
                <w:rFonts w:cs="Times New Roman"/>
                <w:color w:val="000000"/>
              </w:rPr>
              <w:t>热冲过程会产生油烟废气和燃料废气</w:t>
            </w:r>
            <w:r>
              <w:rPr>
                <w:rFonts w:hint="eastAsia" w:cs="Times New Roman"/>
                <w:color w:val="000000"/>
              </w:rPr>
              <w:t>，油烟净化器集油盘收集的棕油和水喷淋塔A打捞的浮油作回收处理</w:t>
            </w:r>
            <w:r>
              <w:rPr>
                <w:rFonts w:cs="Times New Roman"/>
                <w:color w:val="000000"/>
              </w:rPr>
              <w:t>。</w:t>
            </w:r>
          </w:p>
          <w:p>
            <w:pPr>
              <w:adjustRightInd w:val="0"/>
              <w:snapToGrid w:val="0"/>
              <w:ind w:firstLine="480"/>
              <w:rPr>
                <w:rFonts w:cs="Times New Roman"/>
                <w:color w:val="000000"/>
              </w:rPr>
            </w:pPr>
            <w:r>
              <w:rPr>
                <w:rFonts w:cs="Times New Roman"/>
                <w:color w:val="000000"/>
              </w:rPr>
              <w:t>机加工：指采用金属切削加工车、铣、钻、刨、磨等机床对工件进行各种切削加工，使工件达到所要的尺寸精度和形状位置精度及满足图样要求。该过程会产生噪音、粉尘</w:t>
            </w:r>
            <w:r>
              <w:rPr>
                <w:rFonts w:hint="eastAsia" w:cs="Times New Roman"/>
                <w:color w:val="000000"/>
              </w:rPr>
              <w:t>和边角料</w:t>
            </w:r>
            <w:r>
              <w:rPr>
                <w:rFonts w:cs="Times New Roman"/>
                <w:color w:val="000000"/>
              </w:rPr>
              <w:t>。</w:t>
            </w:r>
          </w:p>
          <w:p>
            <w:pPr>
              <w:adjustRightInd w:val="0"/>
              <w:snapToGrid w:val="0"/>
              <w:ind w:firstLine="480"/>
              <w:rPr>
                <w:rFonts w:cs="Times New Roman"/>
                <w:color w:val="000000"/>
              </w:rPr>
            </w:pPr>
            <w:r>
              <w:rPr>
                <w:rFonts w:cs="Times New Roman"/>
                <w:color w:val="000000"/>
              </w:rPr>
              <w:t>抛光打磨：抛光打磨是指利用小型台磨钻的各种磨头的高速旋转，对手柄等卫浴配件表面进行磨削加工，使之光滑明亮，增加产品的亮度和光洁度。该过程会产生噪音和抛光粉尘。</w:t>
            </w:r>
          </w:p>
          <w:p>
            <w:pPr>
              <w:adjustRightInd w:val="0"/>
              <w:snapToGrid w:val="0"/>
              <w:ind w:firstLine="480"/>
              <w:rPr>
                <w:rFonts w:cs="Times New Roman"/>
                <w:color w:val="000000"/>
              </w:rPr>
            </w:pPr>
            <w:r>
              <w:rPr>
                <w:rFonts w:cs="Times New Roman"/>
                <w:color w:val="000000"/>
              </w:rPr>
              <w:t>注：本项目零部件电镀工艺是委托外加工，不在项目范围内完成。</w:t>
            </w:r>
          </w:p>
          <w:p>
            <w:pPr>
              <w:keepNext/>
              <w:keepLines/>
              <w:ind w:firstLine="0" w:firstLineChars="0"/>
              <w:outlineLvl w:val="2"/>
              <w:rPr>
                <w:rFonts w:cs="Times New Roman"/>
                <w:b/>
                <w:bCs/>
                <w:sz w:val="28"/>
                <w:szCs w:val="32"/>
                <w:lang w:val="zh-CN"/>
              </w:rPr>
            </w:pPr>
            <w:r>
              <w:rPr>
                <w:rFonts w:cs="Times New Roman"/>
                <w:b/>
                <w:bCs/>
                <w:sz w:val="28"/>
                <w:szCs w:val="32"/>
                <w:lang w:val="zh-CN"/>
              </w:rPr>
              <w:t>5.1.2产污环节</w:t>
            </w:r>
          </w:p>
          <w:p>
            <w:pPr>
              <w:adjustRightInd w:val="0"/>
              <w:snapToGrid w:val="0"/>
              <w:ind w:firstLine="480"/>
              <w:rPr>
                <w:rFonts w:cs="Times New Roman"/>
                <w:color w:val="000000"/>
              </w:rPr>
            </w:pPr>
            <w:r>
              <w:rPr>
                <w:rFonts w:cs="Times New Roman"/>
                <w:color w:val="000000"/>
              </w:rPr>
              <w:fldChar w:fldCharType="begin"/>
            </w:r>
            <w:r>
              <w:rPr>
                <w:rFonts w:cs="Times New Roman"/>
                <w:color w:val="000000"/>
              </w:rPr>
              <w:instrText xml:space="preserve"> = 1 \* GB3 </w:instrText>
            </w:r>
            <w:r>
              <w:rPr>
                <w:rFonts w:cs="Times New Roman"/>
                <w:color w:val="000000"/>
              </w:rPr>
              <w:fldChar w:fldCharType="separate"/>
            </w:r>
            <w:r>
              <w:rPr>
                <w:rFonts w:hint="eastAsia" w:ascii="宋体" w:hAnsi="宋体" w:cs="宋体"/>
                <w:color w:val="000000"/>
              </w:rPr>
              <w:t>①</w:t>
            </w:r>
            <w:r>
              <w:rPr>
                <w:rFonts w:cs="Times New Roman"/>
                <w:color w:val="000000"/>
              </w:rPr>
              <w:fldChar w:fldCharType="end"/>
            </w:r>
            <w:r>
              <w:rPr>
                <w:rFonts w:cs="Times New Roman"/>
                <w:color w:val="000000"/>
              </w:rPr>
              <w:t>废气：开料、机加工、抛光打磨过程中产生的粉尘；热冲油烟；通过煤油加热产生燃料废气。</w:t>
            </w:r>
          </w:p>
          <w:p>
            <w:pPr>
              <w:adjustRightInd w:val="0"/>
              <w:snapToGrid w:val="0"/>
              <w:ind w:firstLine="480"/>
              <w:rPr>
                <w:rFonts w:cs="Times New Roman"/>
                <w:color w:val="000000"/>
              </w:rPr>
            </w:pPr>
            <w:r>
              <w:rPr>
                <w:rFonts w:hint="eastAsia" w:ascii="宋体" w:hAnsi="宋体" w:cs="宋体"/>
                <w:color w:val="000000"/>
              </w:rPr>
              <w:t>②</w:t>
            </w:r>
            <w:r>
              <w:rPr>
                <w:rFonts w:cs="Times New Roman"/>
                <w:color w:val="000000"/>
              </w:rPr>
              <w:t>噪声：项目生产设备及风机运行时产生的噪声。</w:t>
            </w:r>
          </w:p>
          <w:p>
            <w:pPr>
              <w:adjustRightInd w:val="0"/>
              <w:snapToGrid w:val="0"/>
              <w:ind w:firstLine="480"/>
              <w:rPr>
                <w:rFonts w:cs="Times New Roman"/>
                <w:color w:val="000000"/>
              </w:rPr>
            </w:pPr>
            <w:r>
              <w:rPr>
                <w:rFonts w:cs="Times New Roman"/>
                <w:color w:val="000000"/>
              </w:rPr>
              <w:fldChar w:fldCharType="begin"/>
            </w:r>
            <w:r>
              <w:rPr>
                <w:rFonts w:cs="Times New Roman"/>
                <w:color w:val="000000"/>
              </w:rPr>
              <w:instrText xml:space="preserve"> = 3 \* GB3 </w:instrText>
            </w:r>
            <w:r>
              <w:rPr>
                <w:rFonts w:cs="Times New Roman"/>
                <w:color w:val="000000"/>
              </w:rPr>
              <w:fldChar w:fldCharType="separate"/>
            </w:r>
            <w:r>
              <w:rPr>
                <w:rFonts w:hint="eastAsia" w:ascii="宋体" w:hAnsi="宋体" w:cs="宋体"/>
                <w:color w:val="000000"/>
              </w:rPr>
              <w:t>③</w:t>
            </w:r>
            <w:r>
              <w:rPr>
                <w:rFonts w:cs="Times New Roman"/>
                <w:color w:val="000000"/>
              </w:rPr>
              <w:fldChar w:fldCharType="end"/>
            </w:r>
            <w:r>
              <w:rPr>
                <w:rFonts w:cs="Times New Roman"/>
                <w:color w:val="000000"/>
              </w:rPr>
              <w:t>废水：员工日常生活污水。</w:t>
            </w:r>
          </w:p>
          <w:p>
            <w:pPr>
              <w:adjustRightInd w:val="0"/>
              <w:snapToGrid w:val="0"/>
              <w:ind w:firstLine="480"/>
              <w:rPr>
                <w:rFonts w:cs="Times New Roman"/>
                <w:color w:val="000000"/>
              </w:rPr>
            </w:pPr>
            <w:r>
              <w:rPr>
                <w:rFonts w:cs="Times New Roman"/>
                <w:color w:val="000000"/>
              </w:rPr>
              <w:fldChar w:fldCharType="begin"/>
            </w:r>
            <w:r>
              <w:rPr>
                <w:rFonts w:cs="Times New Roman"/>
                <w:color w:val="000000"/>
              </w:rPr>
              <w:instrText xml:space="preserve"> = 4 \* GB3 </w:instrText>
            </w:r>
            <w:r>
              <w:rPr>
                <w:rFonts w:cs="Times New Roman"/>
                <w:color w:val="000000"/>
              </w:rPr>
              <w:fldChar w:fldCharType="separate"/>
            </w:r>
            <w:r>
              <w:rPr>
                <w:rFonts w:hint="eastAsia" w:ascii="宋体" w:hAnsi="宋体" w:cs="宋体"/>
                <w:color w:val="000000"/>
              </w:rPr>
              <w:t>④</w:t>
            </w:r>
            <w:r>
              <w:rPr>
                <w:rFonts w:cs="Times New Roman"/>
                <w:color w:val="000000"/>
              </w:rPr>
              <w:fldChar w:fldCharType="end"/>
            </w:r>
            <w:r>
              <w:rPr>
                <w:rFonts w:cs="Times New Roman"/>
                <w:color w:val="000000"/>
              </w:rPr>
              <w:t>固废：机加工过程产生的金属边角料、金属碎屑；包装过程中产生的废包装材料；</w:t>
            </w:r>
            <w:r>
              <w:rPr>
                <w:rFonts w:hint="eastAsia" w:cs="Times New Roman"/>
                <w:color w:val="000000"/>
              </w:rPr>
              <w:t>煤油用完后剩下的废包装桶；</w:t>
            </w:r>
            <w:r>
              <w:rPr>
                <w:rFonts w:cs="Times New Roman"/>
                <w:color w:val="000000"/>
              </w:rPr>
              <w:t>设备正常使用时需不定时添加机油，会产生含油抹布和手套；喷淋塔处理产生的废渣以及员工工作过程中产生的生活垃圾。</w:t>
            </w:r>
          </w:p>
          <w:p>
            <w:pPr>
              <w:pStyle w:val="20"/>
              <w:ind w:firstLine="0" w:firstLineChars="0"/>
            </w:pPr>
            <w:r>
              <w:t>5.2</w:t>
            </w:r>
            <w:r>
              <w:rPr>
                <w:lang w:val="zh-CN"/>
              </w:rPr>
              <w:t>主要污染工序</w:t>
            </w:r>
          </w:p>
          <w:p>
            <w:pPr>
              <w:keepNext/>
              <w:keepLines/>
              <w:ind w:firstLine="0" w:firstLineChars="0"/>
              <w:outlineLvl w:val="2"/>
              <w:rPr>
                <w:rFonts w:cs="Times New Roman"/>
                <w:b/>
                <w:bCs/>
                <w:sz w:val="28"/>
                <w:szCs w:val="32"/>
              </w:rPr>
            </w:pPr>
            <w:r>
              <w:rPr>
                <w:rFonts w:cs="Times New Roman"/>
                <w:b/>
                <w:bCs/>
                <w:sz w:val="28"/>
                <w:szCs w:val="32"/>
              </w:rPr>
              <w:t>5.2.1</w:t>
            </w:r>
            <w:r>
              <w:rPr>
                <w:rFonts w:cs="Times New Roman"/>
                <w:b/>
                <w:bCs/>
                <w:sz w:val="28"/>
                <w:szCs w:val="32"/>
                <w:lang w:val="zh-CN"/>
              </w:rPr>
              <w:t>施工期污染工序分析</w:t>
            </w:r>
          </w:p>
          <w:p>
            <w:pPr>
              <w:ind w:firstLine="480"/>
              <w:rPr>
                <w:lang w:val="zh-CN"/>
              </w:rPr>
            </w:pPr>
            <w:r>
              <w:rPr>
                <w:rFonts w:hint="eastAsia"/>
                <w:lang w:val="zh-CN"/>
              </w:rPr>
              <w:t>项目厂房已建成，故不存在施工期环境污染。</w:t>
            </w:r>
          </w:p>
          <w:p>
            <w:pPr>
              <w:keepNext/>
              <w:keepLines/>
              <w:ind w:firstLine="0" w:firstLineChars="0"/>
              <w:outlineLvl w:val="2"/>
              <w:rPr>
                <w:rFonts w:cs="Times New Roman"/>
                <w:b/>
                <w:bCs/>
                <w:sz w:val="28"/>
                <w:szCs w:val="32"/>
                <w:lang w:val="zh-CN"/>
              </w:rPr>
            </w:pPr>
            <w:r>
              <w:rPr>
                <w:rFonts w:cs="Times New Roman"/>
                <w:b/>
                <w:bCs/>
                <w:sz w:val="28"/>
                <w:szCs w:val="32"/>
                <w:lang w:val="zh-CN"/>
              </w:rPr>
              <w:t>5.2.2营运期污染工序分析</w:t>
            </w:r>
          </w:p>
          <w:p>
            <w:pPr>
              <w:keepNext/>
              <w:keepLines/>
              <w:ind w:firstLine="0" w:firstLineChars="0"/>
              <w:outlineLvl w:val="3"/>
              <w:rPr>
                <w:rFonts w:cs="Times New Roman"/>
                <w:b/>
                <w:bCs/>
                <w:szCs w:val="28"/>
                <w:lang w:val="zh-CN"/>
              </w:rPr>
            </w:pPr>
            <w:r>
              <w:rPr>
                <w:rFonts w:cs="Times New Roman"/>
                <w:b/>
                <w:bCs/>
                <w:szCs w:val="28"/>
                <w:lang w:val="zh-CN"/>
              </w:rPr>
              <w:t>5.2.2.1大气污染源</w:t>
            </w:r>
          </w:p>
          <w:p>
            <w:pPr>
              <w:pStyle w:val="35"/>
              <w:numPr>
                <w:ilvl w:val="0"/>
                <w:numId w:val="0"/>
              </w:numPr>
              <w:ind w:firstLine="480" w:firstLineChars="200"/>
              <w:rPr>
                <w:rFonts w:ascii="Times New Roman" w:hAnsi="Times New Roman"/>
              </w:rPr>
            </w:pPr>
            <w:r>
              <w:rPr>
                <w:rFonts w:ascii="Times New Roman" w:hAnsi="Times New Roman"/>
              </w:rPr>
              <w:t>1、切割、机加工粉尘</w:t>
            </w:r>
          </w:p>
          <w:p>
            <w:pPr>
              <w:ind w:firstLine="480"/>
              <w:rPr>
                <w:rFonts w:cs="Times New Roman"/>
                <w:color w:val="000000"/>
                <w:szCs w:val="24"/>
              </w:rPr>
            </w:pPr>
            <w:r>
              <w:rPr>
                <w:rFonts w:cs="Times New Roman"/>
                <w:color w:val="000000"/>
                <w:szCs w:val="24"/>
              </w:rPr>
              <w:t>项目开料切割、机加工工序会产生少量金属粉尘，金属粉尘颗粒较大，质量较重，可通过自然沉降下落到地面，待金属碎屑沉降后定期清扫地面收集处理</w:t>
            </w:r>
            <w:r>
              <w:rPr>
                <w:rFonts w:hint="eastAsia" w:cs="Times New Roman"/>
                <w:color w:val="000000"/>
                <w:szCs w:val="24"/>
              </w:rPr>
              <w:t>，</w:t>
            </w:r>
            <w:r>
              <w:rPr>
                <w:rFonts w:cs="Times New Roman"/>
                <w:color w:val="000000"/>
                <w:szCs w:val="24"/>
              </w:rPr>
              <w:t>故本环评中此工序中产生的粉尘废气可忽略不计。</w:t>
            </w:r>
          </w:p>
          <w:p>
            <w:pPr>
              <w:ind w:firstLine="480"/>
              <w:rPr>
                <w:rFonts w:cs="Times New Roman"/>
              </w:rPr>
            </w:pPr>
            <w:r>
              <w:rPr>
                <w:rFonts w:cs="Times New Roman"/>
              </w:rPr>
              <w:t>2、</w:t>
            </w:r>
            <w:r>
              <w:rPr>
                <w:rFonts w:hint="eastAsia" w:cs="Times New Roman"/>
              </w:rPr>
              <w:t>热冲</w:t>
            </w:r>
            <w:r>
              <w:rPr>
                <w:rFonts w:cs="Times New Roman"/>
                <w:color w:val="000000" w:themeColor="text1"/>
              </w:rPr>
              <w:t>油烟废气</w:t>
            </w:r>
          </w:p>
          <w:p>
            <w:pPr>
              <w:ind w:firstLine="480"/>
              <w:rPr>
                <w:rFonts w:cs="Times New Roman"/>
              </w:rPr>
            </w:pPr>
            <w:r>
              <w:rPr>
                <w:rFonts w:cs="Times New Roman"/>
              </w:rPr>
              <w:t>为保证冲压件脱模质量及脱模效率，项目脱模过程采用</w:t>
            </w:r>
            <w:r>
              <w:rPr>
                <w:rFonts w:hint="eastAsia" w:cs="Times New Roman"/>
              </w:rPr>
              <w:t>棕</w:t>
            </w:r>
            <w:r>
              <w:rPr>
                <w:rFonts w:cs="Times New Roman"/>
              </w:rPr>
              <w:t>油辅助脱模，项目所用</w:t>
            </w:r>
            <w:r>
              <w:rPr>
                <w:rFonts w:hint="eastAsia" w:cs="Times New Roman"/>
              </w:rPr>
              <w:t>棕</w:t>
            </w:r>
            <w:r>
              <w:rPr>
                <w:rFonts w:cs="Times New Roman"/>
              </w:rPr>
              <w:t>油主要成分为</w:t>
            </w:r>
            <w:r>
              <w:rPr>
                <w:rFonts w:hint="eastAsia" w:cs="Times New Roman"/>
                <w:szCs w:val="24"/>
                <w:shd w:val="clear" w:color="auto" w:fill="FFFFFF"/>
              </w:rPr>
              <w:t>甘三酯</w:t>
            </w:r>
            <w:r>
              <w:rPr>
                <w:rFonts w:cs="Times New Roman"/>
              </w:rPr>
              <w:t>。由于不断地与高温的工件接触，</w:t>
            </w:r>
            <w:r>
              <w:rPr>
                <w:rFonts w:hint="eastAsia" w:cs="Times New Roman"/>
              </w:rPr>
              <w:t>棕</w:t>
            </w:r>
            <w:r>
              <w:rPr>
                <w:rFonts w:cs="Times New Roman"/>
              </w:rPr>
              <w:t>油内各物质将会发生分解或直接挥发，从而产生油烟。</w:t>
            </w:r>
            <w:r>
              <w:rPr>
                <w:rFonts w:hint="eastAsia" w:cs="Times New Roman"/>
              </w:rPr>
              <w:t>热冲</w:t>
            </w:r>
            <w:r>
              <w:rPr>
                <w:rFonts w:cs="Times New Roman"/>
              </w:rPr>
              <w:t>油烟按油中成分80%挥发进行计算，项目脱模</w:t>
            </w:r>
            <w:r>
              <w:rPr>
                <w:rFonts w:hint="eastAsia" w:cs="Times New Roman"/>
              </w:rPr>
              <w:t>棕</w:t>
            </w:r>
            <w:r>
              <w:rPr>
                <w:rFonts w:cs="Times New Roman"/>
              </w:rPr>
              <w:t>油年用量约为0.05t/a，则</w:t>
            </w:r>
            <w:r>
              <w:rPr>
                <w:rFonts w:hint="eastAsia" w:cs="Times New Roman"/>
              </w:rPr>
              <w:t>热冲</w:t>
            </w:r>
            <w:r>
              <w:rPr>
                <w:rFonts w:cs="Times New Roman"/>
                <w:color w:val="000000" w:themeColor="text1"/>
              </w:rPr>
              <w:t>油烟</w:t>
            </w:r>
            <w:r>
              <w:rPr>
                <w:rFonts w:cs="Times New Roman"/>
              </w:rPr>
              <w:t>的产生量约为0.04t/a。本项目</w:t>
            </w:r>
            <w:r>
              <w:rPr>
                <w:rFonts w:hint="eastAsia" w:cs="Times New Roman"/>
              </w:rPr>
              <w:t>热冲车间</w:t>
            </w:r>
            <w:r>
              <w:rPr>
                <w:rFonts w:cs="Times New Roman"/>
              </w:rPr>
              <w:t>共有有2台冲床，交替使用，年平均工作时长</w:t>
            </w:r>
            <w:r>
              <w:rPr>
                <w:rFonts w:hint="eastAsia" w:cs="Times New Roman"/>
              </w:rPr>
              <w:t>2</w:t>
            </w:r>
            <w:r>
              <w:rPr>
                <w:rFonts w:cs="Times New Roman"/>
              </w:rPr>
              <w:t>240h。本项目拟在每个热冲机床上方各设置一个集气罩，每个集气罩风机风量为3000m</w:t>
            </w:r>
            <w:r>
              <w:rPr>
                <w:rFonts w:cs="Times New Roman"/>
                <w:vertAlign w:val="superscript"/>
              </w:rPr>
              <w:t>3</w:t>
            </w:r>
            <w:r>
              <w:rPr>
                <w:rFonts w:cs="Times New Roman"/>
              </w:rPr>
              <w:t>/h。集气罩的收集效率达到95%，水喷淋塔除尘效率按80%计，油烟通过</w:t>
            </w:r>
            <w:r>
              <w:rPr>
                <w:rFonts w:hint="eastAsia" w:cs="Times New Roman"/>
              </w:rPr>
              <w:t>水</w:t>
            </w:r>
            <w:r>
              <w:rPr>
                <w:rFonts w:cs="Times New Roman"/>
              </w:rPr>
              <w:t>喷淋塔</w:t>
            </w:r>
            <w:r>
              <w:rPr>
                <w:rFonts w:hint="eastAsia" w:cs="Times New Roman"/>
              </w:rPr>
              <w:t>A</w:t>
            </w:r>
            <w:r>
              <w:rPr>
                <w:rFonts w:cs="Times New Roman"/>
              </w:rPr>
              <w:t>降温除尘再经过油烟净化器处理后往 15m 高的排气筒</w:t>
            </w:r>
            <w:r>
              <w:rPr>
                <w:rFonts w:hint="eastAsia" w:cs="Times New Roman"/>
              </w:rPr>
              <w:t>G</w:t>
            </w:r>
            <w:r>
              <w:rPr>
                <w:rFonts w:cs="Times New Roman"/>
              </w:rPr>
              <w:t>1排放，其中油烟净化器净化效率为65%。项目油烟产排情况见下表。</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表5-1 项目油烟产排情况一览表</w:t>
            </w:r>
          </w:p>
          <w:tbl>
            <w:tblPr>
              <w:tblStyle w:val="44"/>
              <w:tblW w:w="90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15"/>
              <w:gridCol w:w="1331"/>
              <w:gridCol w:w="1252"/>
              <w:gridCol w:w="1293"/>
              <w:gridCol w:w="1103"/>
              <w:gridCol w:w="1263"/>
              <w:gridCol w:w="15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315" w:type="dxa"/>
                  <w:vAlign w:val="center"/>
                </w:tcPr>
                <w:p>
                  <w:pPr>
                    <w:pStyle w:val="45"/>
                    <w:rPr>
                      <w:kern w:val="0"/>
                      <w:szCs w:val="20"/>
                    </w:rPr>
                  </w:pPr>
                  <w:r>
                    <w:rPr>
                      <w:kern w:val="0"/>
                      <w:szCs w:val="20"/>
                    </w:rPr>
                    <w:t>排放方式</w:t>
                  </w:r>
                </w:p>
              </w:tc>
              <w:tc>
                <w:tcPr>
                  <w:tcW w:w="1331" w:type="dxa"/>
                  <w:vAlign w:val="center"/>
                </w:tcPr>
                <w:p>
                  <w:pPr>
                    <w:pStyle w:val="45"/>
                    <w:rPr>
                      <w:kern w:val="0"/>
                      <w:szCs w:val="20"/>
                    </w:rPr>
                  </w:pPr>
                  <w:r>
                    <w:rPr>
                      <w:kern w:val="0"/>
                      <w:szCs w:val="20"/>
                    </w:rPr>
                    <w:t>产生量（t/a）</w:t>
                  </w:r>
                </w:p>
              </w:tc>
              <w:tc>
                <w:tcPr>
                  <w:tcW w:w="1252" w:type="dxa"/>
                  <w:vAlign w:val="center"/>
                </w:tcPr>
                <w:p>
                  <w:pPr>
                    <w:pStyle w:val="45"/>
                    <w:rPr>
                      <w:kern w:val="0"/>
                      <w:szCs w:val="20"/>
                    </w:rPr>
                  </w:pPr>
                  <w:r>
                    <w:rPr>
                      <w:kern w:val="0"/>
                      <w:szCs w:val="20"/>
                    </w:rPr>
                    <w:t>产生速率(kg/h)</w:t>
                  </w:r>
                </w:p>
              </w:tc>
              <w:tc>
                <w:tcPr>
                  <w:tcW w:w="1293" w:type="dxa"/>
                  <w:vAlign w:val="center"/>
                </w:tcPr>
                <w:p>
                  <w:pPr>
                    <w:pStyle w:val="45"/>
                    <w:rPr>
                      <w:kern w:val="0"/>
                      <w:szCs w:val="20"/>
                    </w:rPr>
                  </w:pPr>
                  <w:r>
                    <w:rPr>
                      <w:kern w:val="0"/>
                      <w:szCs w:val="20"/>
                    </w:rPr>
                    <w:t>产生浓度(mg/m</w:t>
                  </w:r>
                  <w:r>
                    <w:rPr>
                      <w:kern w:val="0"/>
                      <w:szCs w:val="20"/>
                      <w:vertAlign w:val="superscript"/>
                    </w:rPr>
                    <w:t>3</w:t>
                  </w:r>
                  <w:r>
                    <w:rPr>
                      <w:kern w:val="0"/>
                      <w:szCs w:val="20"/>
                    </w:rPr>
                    <w:t>)</w:t>
                  </w:r>
                </w:p>
              </w:tc>
              <w:tc>
                <w:tcPr>
                  <w:tcW w:w="1103" w:type="dxa"/>
                  <w:vAlign w:val="center"/>
                </w:tcPr>
                <w:p>
                  <w:pPr>
                    <w:pStyle w:val="45"/>
                    <w:rPr>
                      <w:kern w:val="0"/>
                      <w:szCs w:val="20"/>
                    </w:rPr>
                  </w:pPr>
                  <w:r>
                    <w:rPr>
                      <w:kern w:val="0"/>
                      <w:szCs w:val="20"/>
                    </w:rPr>
                    <w:t>排放量(t/a)</w:t>
                  </w:r>
                </w:p>
              </w:tc>
              <w:tc>
                <w:tcPr>
                  <w:tcW w:w="1263" w:type="dxa"/>
                  <w:vAlign w:val="center"/>
                </w:tcPr>
                <w:p>
                  <w:pPr>
                    <w:pStyle w:val="45"/>
                    <w:rPr>
                      <w:kern w:val="0"/>
                      <w:szCs w:val="20"/>
                    </w:rPr>
                  </w:pPr>
                  <w:r>
                    <w:rPr>
                      <w:kern w:val="0"/>
                      <w:szCs w:val="20"/>
                    </w:rPr>
                    <w:t>排放速率(kg/h)</w:t>
                  </w:r>
                </w:p>
              </w:tc>
              <w:tc>
                <w:tcPr>
                  <w:tcW w:w="1514" w:type="dxa"/>
                  <w:vAlign w:val="center"/>
                </w:tcPr>
                <w:p>
                  <w:pPr>
                    <w:pStyle w:val="45"/>
                    <w:rPr>
                      <w:kern w:val="0"/>
                      <w:szCs w:val="20"/>
                    </w:rPr>
                  </w:pPr>
                  <w:r>
                    <w:rPr>
                      <w:kern w:val="0"/>
                      <w:szCs w:val="20"/>
                    </w:rPr>
                    <w:t>排放浓度(mg/m</w:t>
                  </w:r>
                  <w:r>
                    <w:rPr>
                      <w:kern w:val="0"/>
                      <w:szCs w:val="20"/>
                      <w:vertAlign w:val="superscript"/>
                    </w:rPr>
                    <w:t>3</w:t>
                  </w:r>
                  <w:r>
                    <w:rPr>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315" w:type="dxa"/>
                  <w:vAlign w:val="center"/>
                </w:tcPr>
                <w:p>
                  <w:pPr>
                    <w:pStyle w:val="45"/>
                    <w:rPr>
                      <w:kern w:val="0"/>
                      <w:szCs w:val="20"/>
                    </w:rPr>
                  </w:pPr>
                  <w:r>
                    <w:rPr>
                      <w:rFonts w:hint="eastAsia"/>
                      <w:kern w:val="0"/>
                      <w:szCs w:val="20"/>
                    </w:rPr>
                    <w:t>有组织</w:t>
                  </w:r>
                </w:p>
              </w:tc>
              <w:tc>
                <w:tcPr>
                  <w:tcW w:w="1331" w:type="dxa"/>
                  <w:vAlign w:val="center"/>
                </w:tcPr>
                <w:p>
                  <w:pPr>
                    <w:pStyle w:val="45"/>
                    <w:rPr>
                      <w:kern w:val="0"/>
                      <w:szCs w:val="20"/>
                    </w:rPr>
                  </w:pPr>
                  <w:r>
                    <w:rPr>
                      <w:kern w:val="0"/>
                      <w:szCs w:val="20"/>
                    </w:rPr>
                    <w:t xml:space="preserve">0.038 </w:t>
                  </w:r>
                </w:p>
              </w:tc>
              <w:tc>
                <w:tcPr>
                  <w:tcW w:w="1252" w:type="dxa"/>
                  <w:vAlign w:val="center"/>
                </w:tcPr>
                <w:p>
                  <w:pPr>
                    <w:pStyle w:val="45"/>
                    <w:rPr>
                      <w:kern w:val="0"/>
                      <w:szCs w:val="20"/>
                    </w:rPr>
                  </w:pPr>
                  <w:r>
                    <w:rPr>
                      <w:kern w:val="0"/>
                      <w:szCs w:val="20"/>
                    </w:rPr>
                    <w:t>0.01696</w:t>
                  </w:r>
                </w:p>
              </w:tc>
              <w:tc>
                <w:tcPr>
                  <w:tcW w:w="1293" w:type="dxa"/>
                  <w:vAlign w:val="center"/>
                </w:tcPr>
                <w:p>
                  <w:pPr>
                    <w:pStyle w:val="45"/>
                    <w:rPr>
                      <w:kern w:val="0"/>
                      <w:szCs w:val="20"/>
                    </w:rPr>
                  </w:pPr>
                  <w:r>
                    <w:rPr>
                      <w:kern w:val="0"/>
                      <w:szCs w:val="20"/>
                    </w:rPr>
                    <w:t>5.65</w:t>
                  </w:r>
                </w:p>
              </w:tc>
              <w:tc>
                <w:tcPr>
                  <w:tcW w:w="1103" w:type="dxa"/>
                  <w:vAlign w:val="center"/>
                </w:tcPr>
                <w:p>
                  <w:pPr>
                    <w:pStyle w:val="45"/>
                    <w:rPr>
                      <w:kern w:val="0"/>
                      <w:szCs w:val="20"/>
                    </w:rPr>
                  </w:pPr>
                  <w:r>
                    <w:rPr>
                      <w:kern w:val="0"/>
                      <w:szCs w:val="20"/>
                    </w:rPr>
                    <w:t>0.00266</w:t>
                  </w:r>
                </w:p>
              </w:tc>
              <w:tc>
                <w:tcPr>
                  <w:tcW w:w="1263" w:type="dxa"/>
                  <w:vAlign w:val="center"/>
                </w:tcPr>
                <w:p>
                  <w:pPr>
                    <w:pStyle w:val="45"/>
                    <w:rPr>
                      <w:kern w:val="0"/>
                      <w:szCs w:val="20"/>
                    </w:rPr>
                  </w:pPr>
                  <w:r>
                    <w:rPr>
                      <w:kern w:val="0"/>
                      <w:szCs w:val="20"/>
                    </w:rPr>
                    <w:t>0.00119</w:t>
                  </w:r>
                </w:p>
              </w:tc>
              <w:tc>
                <w:tcPr>
                  <w:tcW w:w="1514" w:type="dxa"/>
                  <w:vAlign w:val="center"/>
                </w:tcPr>
                <w:p>
                  <w:pPr>
                    <w:pStyle w:val="45"/>
                    <w:rPr>
                      <w:kern w:val="0"/>
                      <w:szCs w:val="20"/>
                    </w:rPr>
                  </w:pPr>
                  <w:r>
                    <w:rPr>
                      <w:kern w:val="0"/>
                      <w:szCs w:val="20"/>
                    </w:rPr>
                    <w:t xml:space="preserve">0.40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315" w:type="dxa"/>
                  <w:vAlign w:val="center"/>
                </w:tcPr>
                <w:p>
                  <w:pPr>
                    <w:pStyle w:val="45"/>
                    <w:rPr>
                      <w:kern w:val="0"/>
                      <w:szCs w:val="20"/>
                    </w:rPr>
                  </w:pPr>
                  <w:r>
                    <w:rPr>
                      <w:rFonts w:hint="eastAsia"/>
                      <w:kern w:val="0"/>
                      <w:szCs w:val="20"/>
                    </w:rPr>
                    <w:t>无组织</w:t>
                  </w:r>
                </w:p>
              </w:tc>
              <w:tc>
                <w:tcPr>
                  <w:tcW w:w="1331" w:type="dxa"/>
                  <w:vAlign w:val="center"/>
                </w:tcPr>
                <w:p>
                  <w:pPr>
                    <w:pStyle w:val="45"/>
                    <w:rPr>
                      <w:kern w:val="0"/>
                      <w:szCs w:val="20"/>
                    </w:rPr>
                  </w:pPr>
                  <w:r>
                    <w:rPr>
                      <w:kern w:val="0"/>
                      <w:szCs w:val="20"/>
                    </w:rPr>
                    <w:t>0.002</w:t>
                  </w:r>
                </w:p>
              </w:tc>
              <w:tc>
                <w:tcPr>
                  <w:tcW w:w="1252" w:type="dxa"/>
                  <w:vAlign w:val="center"/>
                </w:tcPr>
                <w:p>
                  <w:pPr>
                    <w:pStyle w:val="45"/>
                    <w:rPr>
                      <w:kern w:val="0"/>
                      <w:szCs w:val="20"/>
                    </w:rPr>
                  </w:pPr>
                  <w:r>
                    <w:rPr>
                      <w:kern w:val="0"/>
                      <w:szCs w:val="20"/>
                    </w:rPr>
                    <w:t>0.00089</w:t>
                  </w:r>
                </w:p>
              </w:tc>
              <w:tc>
                <w:tcPr>
                  <w:tcW w:w="1293" w:type="dxa"/>
                  <w:vAlign w:val="center"/>
                </w:tcPr>
                <w:p>
                  <w:pPr>
                    <w:pStyle w:val="45"/>
                    <w:rPr>
                      <w:kern w:val="0"/>
                      <w:szCs w:val="20"/>
                    </w:rPr>
                  </w:pPr>
                  <w:r>
                    <w:rPr>
                      <w:kern w:val="0"/>
                      <w:szCs w:val="20"/>
                    </w:rPr>
                    <w:t>/</w:t>
                  </w:r>
                </w:p>
              </w:tc>
              <w:tc>
                <w:tcPr>
                  <w:tcW w:w="1103" w:type="dxa"/>
                  <w:vAlign w:val="center"/>
                </w:tcPr>
                <w:p>
                  <w:pPr>
                    <w:pStyle w:val="45"/>
                    <w:rPr>
                      <w:kern w:val="0"/>
                      <w:szCs w:val="20"/>
                    </w:rPr>
                  </w:pPr>
                  <w:r>
                    <w:rPr>
                      <w:kern w:val="0"/>
                      <w:szCs w:val="20"/>
                    </w:rPr>
                    <w:t>0.002</w:t>
                  </w:r>
                </w:p>
              </w:tc>
              <w:tc>
                <w:tcPr>
                  <w:tcW w:w="1263" w:type="dxa"/>
                  <w:vAlign w:val="center"/>
                </w:tcPr>
                <w:p>
                  <w:pPr>
                    <w:pStyle w:val="45"/>
                    <w:rPr>
                      <w:kern w:val="0"/>
                      <w:szCs w:val="20"/>
                    </w:rPr>
                  </w:pPr>
                  <w:r>
                    <w:rPr>
                      <w:kern w:val="0"/>
                      <w:szCs w:val="20"/>
                    </w:rPr>
                    <w:t>0.00089</w:t>
                  </w:r>
                </w:p>
              </w:tc>
              <w:tc>
                <w:tcPr>
                  <w:tcW w:w="1514" w:type="dxa"/>
                  <w:vAlign w:val="center"/>
                </w:tcPr>
                <w:p>
                  <w:pPr>
                    <w:pStyle w:val="45"/>
                    <w:rPr>
                      <w:kern w:val="0"/>
                      <w:szCs w:val="20"/>
                    </w:rPr>
                  </w:pPr>
                  <w:r>
                    <w:rPr>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1315" w:type="dxa"/>
                  <w:vAlign w:val="center"/>
                </w:tcPr>
                <w:p>
                  <w:pPr>
                    <w:pStyle w:val="45"/>
                    <w:rPr>
                      <w:kern w:val="0"/>
                      <w:szCs w:val="20"/>
                    </w:rPr>
                  </w:pPr>
                  <w:r>
                    <w:rPr>
                      <w:rFonts w:hint="eastAsia"/>
                      <w:kern w:val="0"/>
                      <w:szCs w:val="20"/>
                    </w:rPr>
                    <w:t>合计</w:t>
                  </w:r>
                </w:p>
              </w:tc>
              <w:tc>
                <w:tcPr>
                  <w:tcW w:w="1331" w:type="dxa"/>
                  <w:vAlign w:val="center"/>
                </w:tcPr>
                <w:p>
                  <w:pPr>
                    <w:pStyle w:val="45"/>
                    <w:rPr>
                      <w:kern w:val="0"/>
                      <w:szCs w:val="20"/>
                    </w:rPr>
                  </w:pPr>
                  <w:r>
                    <w:rPr>
                      <w:rFonts w:hint="eastAsia"/>
                      <w:kern w:val="0"/>
                      <w:szCs w:val="20"/>
                    </w:rPr>
                    <w:t>0</w:t>
                  </w:r>
                  <w:r>
                    <w:rPr>
                      <w:kern w:val="0"/>
                      <w:szCs w:val="20"/>
                    </w:rPr>
                    <w:t>.04</w:t>
                  </w:r>
                </w:p>
              </w:tc>
              <w:tc>
                <w:tcPr>
                  <w:tcW w:w="1252" w:type="dxa"/>
                  <w:vAlign w:val="center"/>
                </w:tcPr>
                <w:p>
                  <w:pPr>
                    <w:pStyle w:val="45"/>
                    <w:rPr>
                      <w:kern w:val="0"/>
                      <w:szCs w:val="20"/>
                    </w:rPr>
                  </w:pPr>
                  <w:r>
                    <w:rPr>
                      <w:rFonts w:hint="eastAsia"/>
                      <w:kern w:val="0"/>
                      <w:szCs w:val="20"/>
                    </w:rPr>
                    <w:t>/</w:t>
                  </w:r>
                </w:p>
              </w:tc>
              <w:tc>
                <w:tcPr>
                  <w:tcW w:w="1293" w:type="dxa"/>
                  <w:vAlign w:val="center"/>
                </w:tcPr>
                <w:p>
                  <w:pPr>
                    <w:pStyle w:val="45"/>
                    <w:rPr>
                      <w:kern w:val="0"/>
                      <w:szCs w:val="20"/>
                    </w:rPr>
                  </w:pPr>
                  <w:r>
                    <w:rPr>
                      <w:rFonts w:hint="eastAsia"/>
                      <w:kern w:val="0"/>
                      <w:szCs w:val="20"/>
                    </w:rPr>
                    <w:t>/</w:t>
                  </w:r>
                </w:p>
              </w:tc>
              <w:tc>
                <w:tcPr>
                  <w:tcW w:w="1103" w:type="dxa"/>
                  <w:vAlign w:val="center"/>
                </w:tcPr>
                <w:p>
                  <w:pPr>
                    <w:pStyle w:val="45"/>
                    <w:rPr>
                      <w:kern w:val="0"/>
                      <w:szCs w:val="20"/>
                    </w:rPr>
                  </w:pPr>
                  <w:r>
                    <w:rPr>
                      <w:rFonts w:hint="eastAsia"/>
                      <w:kern w:val="0"/>
                      <w:szCs w:val="20"/>
                    </w:rPr>
                    <w:t>0</w:t>
                  </w:r>
                  <w:r>
                    <w:rPr>
                      <w:kern w:val="0"/>
                      <w:szCs w:val="20"/>
                    </w:rPr>
                    <w:t>.00466</w:t>
                  </w:r>
                </w:p>
              </w:tc>
              <w:tc>
                <w:tcPr>
                  <w:tcW w:w="1263" w:type="dxa"/>
                  <w:vAlign w:val="center"/>
                </w:tcPr>
                <w:p>
                  <w:pPr>
                    <w:pStyle w:val="45"/>
                    <w:rPr>
                      <w:kern w:val="0"/>
                      <w:szCs w:val="20"/>
                    </w:rPr>
                  </w:pPr>
                  <w:r>
                    <w:rPr>
                      <w:rFonts w:hint="eastAsia"/>
                      <w:kern w:val="0"/>
                      <w:szCs w:val="20"/>
                    </w:rPr>
                    <w:t>/</w:t>
                  </w:r>
                </w:p>
              </w:tc>
              <w:tc>
                <w:tcPr>
                  <w:tcW w:w="1514" w:type="dxa"/>
                  <w:vAlign w:val="center"/>
                </w:tcPr>
                <w:p>
                  <w:pPr>
                    <w:pStyle w:val="45"/>
                    <w:rPr>
                      <w:kern w:val="0"/>
                      <w:szCs w:val="20"/>
                    </w:rPr>
                  </w:pPr>
                  <w:r>
                    <w:rPr>
                      <w:rFonts w:hint="eastAsia"/>
                      <w:kern w:val="0"/>
                      <w:szCs w:val="20"/>
                    </w:rPr>
                    <w:t>/</w:t>
                  </w:r>
                </w:p>
              </w:tc>
            </w:tr>
          </w:tbl>
          <w:p>
            <w:pPr>
              <w:ind w:firstLine="480"/>
              <w:rPr>
                <w:rFonts w:cs="Times New Roman"/>
              </w:rPr>
            </w:pPr>
            <w:r>
              <w:rPr>
                <w:rFonts w:cs="Times New Roman"/>
              </w:rPr>
              <w:t>3、燃料废气</w:t>
            </w:r>
          </w:p>
          <w:p>
            <w:pPr>
              <w:ind w:firstLine="480"/>
              <w:rPr>
                <w:color w:val="000000"/>
                <w:szCs w:val="21"/>
              </w:rPr>
            </w:pPr>
            <w:r>
              <w:rPr>
                <w:rFonts w:cs="Times New Roman"/>
              </w:rPr>
              <w:t>项目加温冲压工序采用煤油作为燃料，</w:t>
            </w:r>
            <w:r>
              <w:rPr>
                <w:rFonts w:hint="eastAsia" w:cs="Times New Roman"/>
              </w:rPr>
              <w:t>煤油是一种清洁能源，</w:t>
            </w:r>
            <w:r>
              <w:rPr>
                <w:rFonts w:cs="Times New Roman"/>
              </w:rPr>
              <w:t>年用量为2t/a，煤油</w:t>
            </w:r>
            <w:r>
              <w:rPr>
                <w:rFonts w:hint="eastAsia" w:cs="Times New Roman"/>
              </w:rPr>
              <w:t>充分</w:t>
            </w:r>
            <w:r>
              <w:rPr>
                <w:rFonts w:cs="Times New Roman"/>
              </w:rPr>
              <w:t>燃烧过程中会产生二氧化</w:t>
            </w:r>
            <w:r>
              <w:rPr>
                <w:rFonts w:hint="eastAsia" w:cs="Times New Roman"/>
              </w:rPr>
              <w:t>碳和水蒸气。二氧化碳和水蒸气实行无组织排放。</w:t>
            </w:r>
          </w:p>
          <w:p>
            <w:pPr>
              <w:ind w:firstLine="480"/>
              <w:rPr>
                <w:rFonts w:cs="Times New Roman"/>
                <w:color w:val="000000"/>
                <w:szCs w:val="24"/>
              </w:rPr>
            </w:pPr>
            <w:r>
              <w:rPr>
                <w:rFonts w:cs="Times New Roman"/>
                <w:color w:val="000000"/>
                <w:szCs w:val="24"/>
              </w:rPr>
              <w:t>4、抛光打磨粉尘</w:t>
            </w:r>
          </w:p>
          <w:p>
            <w:pPr>
              <w:ind w:firstLine="480"/>
              <w:rPr>
                <w:rFonts w:cs="Times New Roman"/>
                <w:color w:val="000000"/>
                <w:szCs w:val="24"/>
              </w:rPr>
            </w:pPr>
            <w:r>
              <w:rPr>
                <w:rFonts w:cs="Times New Roman"/>
                <w:color w:val="000000"/>
                <w:szCs w:val="24"/>
              </w:rPr>
              <w:t>本项目在抛光打磨工序会产生金属粉尘，根据《第一次全国污染源普查工业污染原产排污系数系数手册》中常用金属表面处理及热处理加工制造业的粉尘产污系数为2.1千克/吨产品。根据企业提供资料，项目原材料铜棒为50t/a，则抛光粉尘产生总量为0.105t/a，本项目共设置有4间抛光车间</w:t>
            </w:r>
            <w:r>
              <w:rPr>
                <w:rFonts w:hint="eastAsia" w:cs="Times New Roman"/>
                <w:color w:val="000000"/>
                <w:szCs w:val="24"/>
              </w:rPr>
              <w:t>，抛光打磨年总时长为1</w:t>
            </w:r>
            <w:r>
              <w:rPr>
                <w:rFonts w:cs="Times New Roman"/>
                <w:color w:val="000000"/>
                <w:szCs w:val="24"/>
              </w:rPr>
              <w:t>800h，每间抛光车间加工量均匀，平均加工量约为12.5t/a。</w:t>
            </w:r>
          </w:p>
          <w:p>
            <w:pPr>
              <w:ind w:firstLine="480"/>
              <w:rPr>
                <w:rFonts w:cs="Times New Roman"/>
                <w:color w:val="000000"/>
                <w:szCs w:val="24"/>
              </w:rPr>
            </w:pPr>
            <w:r>
              <w:rPr>
                <w:rFonts w:cs="Times New Roman"/>
                <w:color w:val="000000"/>
                <w:szCs w:val="24"/>
              </w:rPr>
              <w:t>本项目拟对每间抛光车间产生的粉尘规范处理，每个抛光工位采用集气罩收集后，经水喷淋设备处理，最终通过对应的排气筒高空排放。</w:t>
            </w:r>
          </w:p>
          <w:p>
            <w:pPr>
              <w:ind w:firstLine="480"/>
              <w:rPr>
                <w:rFonts w:cs="Times New Roman"/>
                <w:color w:val="000000"/>
                <w:szCs w:val="24"/>
              </w:rPr>
            </w:pPr>
            <w:r>
              <w:rPr>
                <w:rFonts w:hint="eastAsia" w:cs="Times New Roman"/>
                <w:color w:val="000000"/>
                <w:szCs w:val="24"/>
              </w:rPr>
              <w:t>1</w:t>
            </w:r>
            <w:r>
              <w:rPr>
                <w:rFonts w:cs="Times New Roman"/>
                <w:color w:val="000000"/>
                <w:szCs w:val="24"/>
              </w:rPr>
              <w:t>号抛光车间：使用原材料用量为12.5t/a，则产生的粉尘量为0.02625t/a。有6台抛光机，在每个抛光</w:t>
            </w:r>
            <w:r>
              <w:rPr>
                <w:rFonts w:hint="eastAsia" w:cs="Times New Roman"/>
                <w:color w:val="000000"/>
                <w:szCs w:val="24"/>
              </w:rPr>
              <w:t>机</w:t>
            </w:r>
            <w:r>
              <w:rPr>
                <w:rFonts w:cs="Times New Roman"/>
                <w:color w:val="000000"/>
                <w:szCs w:val="24"/>
              </w:rPr>
              <w:t>侧方设置集气罩收集粉尘废气，集气罩全开风机总风量为 30000m</w:t>
            </w:r>
            <w:r>
              <w:rPr>
                <w:rFonts w:cs="Times New Roman"/>
                <w:color w:val="000000"/>
                <w:szCs w:val="24"/>
                <w:vertAlign w:val="superscript"/>
              </w:rPr>
              <w:t>3</w:t>
            </w:r>
            <w:r>
              <w:rPr>
                <w:rFonts w:cs="Times New Roman"/>
                <w:color w:val="000000"/>
                <w:szCs w:val="24"/>
              </w:rPr>
              <w:t xml:space="preserve"> /h。该车间平均每天运行3台抛光机，剩下3台抛光机作为备用，车间风机风量折算为15000m</w:t>
            </w:r>
            <w:r>
              <w:rPr>
                <w:rFonts w:cs="Times New Roman"/>
                <w:color w:val="000000"/>
                <w:szCs w:val="24"/>
                <w:vertAlign w:val="superscript"/>
              </w:rPr>
              <w:t>3</w:t>
            </w:r>
            <w:r>
              <w:rPr>
                <w:rFonts w:cs="Times New Roman"/>
                <w:color w:val="000000"/>
                <w:szCs w:val="24"/>
              </w:rPr>
              <w:t xml:space="preserve"> /h，年平均工作时长为450h。集气罩收集效率达到95%，收集的粉尘经水喷淋塔</w:t>
            </w:r>
            <w:r>
              <w:rPr>
                <w:rFonts w:hint="eastAsia" w:cs="Times New Roman"/>
                <w:color w:val="000000"/>
                <w:szCs w:val="24"/>
              </w:rPr>
              <w:t>B</w:t>
            </w:r>
            <w:r>
              <w:rPr>
                <w:rFonts w:cs="Times New Roman"/>
                <w:color w:val="000000"/>
                <w:szCs w:val="24"/>
              </w:rPr>
              <w:t>处理，处理效率效率按70%计，处理后的粉尘废气经高 15m</w:t>
            </w:r>
            <w:r>
              <w:rPr>
                <w:rFonts w:hint="eastAsia" w:cs="Times New Roman"/>
                <w:color w:val="000000"/>
                <w:szCs w:val="24"/>
              </w:rPr>
              <w:t>、</w:t>
            </w:r>
            <w:r>
              <w:rPr>
                <w:rFonts w:cs="Times New Roman"/>
                <w:color w:val="000000"/>
                <w:szCs w:val="24"/>
              </w:rPr>
              <w:t>内径为0.9</w:t>
            </w:r>
            <w:r>
              <w:rPr>
                <w:rFonts w:hint="eastAsia" w:cs="Times New Roman"/>
                <w:color w:val="000000"/>
                <w:szCs w:val="24"/>
              </w:rPr>
              <w:t>m</w:t>
            </w:r>
            <w:r>
              <w:rPr>
                <w:rFonts w:cs="Times New Roman"/>
                <w:color w:val="000000"/>
                <w:szCs w:val="24"/>
              </w:rPr>
              <w:t>的排气筒</w:t>
            </w:r>
            <w:r>
              <w:rPr>
                <w:rFonts w:hint="eastAsia" w:cs="Times New Roman"/>
                <w:color w:val="000000"/>
                <w:szCs w:val="24"/>
              </w:rPr>
              <w:t>G</w:t>
            </w:r>
            <w:r>
              <w:rPr>
                <w:rFonts w:cs="Times New Roman"/>
                <w:color w:val="000000"/>
                <w:szCs w:val="24"/>
              </w:rPr>
              <w:t>1排放</w:t>
            </w:r>
            <w:r>
              <w:rPr>
                <w:rFonts w:hint="eastAsia" w:cs="Times New Roman"/>
                <w:color w:val="000000"/>
                <w:szCs w:val="24"/>
              </w:rPr>
              <w:t>，G</w:t>
            </w:r>
            <w:r>
              <w:rPr>
                <w:rFonts w:cs="Times New Roman"/>
                <w:color w:val="000000"/>
                <w:szCs w:val="24"/>
              </w:rPr>
              <w:t>1</w:t>
            </w:r>
            <w:r>
              <w:rPr>
                <w:rFonts w:hint="eastAsia" w:cs="Times New Roman"/>
                <w:color w:val="000000"/>
                <w:szCs w:val="24"/>
              </w:rPr>
              <w:t>排气筒为1号抛光车间与热冲车间所共用</w:t>
            </w:r>
            <w:r>
              <w:rPr>
                <w:rFonts w:cs="Times New Roman"/>
                <w:color w:val="000000"/>
                <w:szCs w:val="24"/>
              </w:rPr>
              <w:t>。</w:t>
            </w:r>
          </w:p>
          <w:p>
            <w:pPr>
              <w:ind w:firstLine="480"/>
              <w:rPr>
                <w:rFonts w:cs="Times New Roman"/>
                <w:color w:val="000000"/>
                <w:szCs w:val="24"/>
              </w:rPr>
            </w:pPr>
            <w:r>
              <w:rPr>
                <w:rFonts w:hint="eastAsia" w:cs="Times New Roman"/>
                <w:color w:val="000000"/>
                <w:szCs w:val="24"/>
              </w:rPr>
              <w:t>2</w:t>
            </w:r>
            <w:r>
              <w:rPr>
                <w:rFonts w:cs="Times New Roman"/>
                <w:color w:val="000000"/>
                <w:szCs w:val="24"/>
              </w:rPr>
              <w:t>号抛光车间：该车间与一号抛光车间工况一致，收集的粉尘经水喷淋塔</w:t>
            </w:r>
            <w:r>
              <w:rPr>
                <w:rFonts w:hint="eastAsia" w:cs="Times New Roman"/>
                <w:color w:val="000000"/>
                <w:szCs w:val="24"/>
              </w:rPr>
              <w:t>C</w:t>
            </w:r>
            <w:r>
              <w:rPr>
                <w:rFonts w:cs="Times New Roman"/>
                <w:color w:val="000000"/>
                <w:szCs w:val="24"/>
              </w:rPr>
              <w:t>处理，,最终通过高 15m</w:t>
            </w:r>
            <w:r>
              <w:rPr>
                <w:rFonts w:hint="eastAsia" w:cs="Times New Roman"/>
                <w:color w:val="000000"/>
                <w:szCs w:val="24"/>
              </w:rPr>
              <w:t>、</w:t>
            </w:r>
            <w:r>
              <w:rPr>
                <w:rFonts w:cs="Times New Roman"/>
                <w:color w:val="000000"/>
                <w:szCs w:val="24"/>
              </w:rPr>
              <w:t>内径为0.9</w:t>
            </w:r>
            <w:r>
              <w:rPr>
                <w:rFonts w:hint="eastAsia" w:cs="Times New Roman"/>
                <w:color w:val="000000"/>
                <w:szCs w:val="24"/>
              </w:rPr>
              <w:t>m</w:t>
            </w:r>
            <w:r>
              <w:rPr>
                <w:rFonts w:cs="Times New Roman"/>
                <w:color w:val="000000"/>
                <w:szCs w:val="24"/>
              </w:rPr>
              <w:t>的排气筒</w:t>
            </w:r>
            <w:r>
              <w:rPr>
                <w:rFonts w:hint="eastAsia" w:cs="Times New Roman"/>
                <w:color w:val="000000"/>
                <w:szCs w:val="24"/>
              </w:rPr>
              <w:t>G</w:t>
            </w:r>
            <w:r>
              <w:rPr>
                <w:rFonts w:cs="Times New Roman"/>
                <w:color w:val="000000"/>
                <w:szCs w:val="24"/>
              </w:rPr>
              <w:t>2排放。</w:t>
            </w:r>
          </w:p>
          <w:p>
            <w:pPr>
              <w:ind w:firstLine="480"/>
              <w:rPr>
                <w:rFonts w:cs="Times New Roman"/>
                <w:color w:val="000000"/>
                <w:szCs w:val="24"/>
              </w:rPr>
            </w:pPr>
            <w:r>
              <w:rPr>
                <w:rFonts w:cs="Times New Roman"/>
                <w:color w:val="000000"/>
                <w:szCs w:val="24"/>
              </w:rPr>
              <w:t>三号抛光车间：该车间与一号抛光车间工况一致，收集的粉尘经水喷淋塔</w:t>
            </w:r>
            <w:r>
              <w:rPr>
                <w:rFonts w:hint="eastAsia" w:cs="Times New Roman"/>
                <w:color w:val="000000"/>
                <w:szCs w:val="24"/>
              </w:rPr>
              <w:t>D</w:t>
            </w:r>
            <w:r>
              <w:rPr>
                <w:rFonts w:cs="Times New Roman"/>
                <w:color w:val="000000"/>
                <w:szCs w:val="24"/>
              </w:rPr>
              <w:t xml:space="preserve">处理，,最终通过高 15m </w:t>
            </w:r>
            <w:r>
              <w:rPr>
                <w:rFonts w:hint="eastAsia" w:cs="Times New Roman"/>
                <w:color w:val="000000"/>
                <w:szCs w:val="24"/>
              </w:rPr>
              <w:t>、</w:t>
            </w:r>
            <w:r>
              <w:rPr>
                <w:rFonts w:cs="Times New Roman"/>
                <w:color w:val="000000"/>
                <w:szCs w:val="24"/>
              </w:rPr>
              <w:t>内径为0.9</w:t>
            </w:r>
            <w:r>
              <w:rPr>
                <w:rFonts w:hint="eastAsia" w:cs="Times New Roman"/>
                <w:color w:val="000000"/>
                <w:szCs w:val="24"/>
              </w:rPr>
              <w:t>m</w:t>
            </w:r>
            <w:r>
              <w:rPr>
                <w:rFonts w:cs="Times New Roman"/>
                <w:color w:val="000000"/>
                <w:szCs w:val="24"/>
              </w:rPr>
              <w:t>的排气筒</w:t>
            </w:r>
            <w:r>
              <w:rPr>
                <w:rFonts w:hint="eastAsia" w:cs="Times New Roman"/>
                <w:color w:val="000000"/>
                <w:szCs w:val="24"/>
              </w:rPr>
              <w:t>G</w:t>
            </w:r>
            <w:r>
              <w:rPr>
                <w:rFonts w:cs="Times New Roman"/>
                <w:color w:val="000000"/>
                <w:szCs w:val="24"/>
              </w:rPr>
              <w:t>2排放</w:t>
            </w:r>
            <w:r>
              <w:rPr>
                <w:rFonts w:hint="eastAsia" w:cs="Times New Roman"/>
                <w:color w:val="000000"/>
                <w:szCs w:val="24"/>
              </w:rPr>
              <w:t>，G</w:t>
            </w:r>
            <w:r>
              <w:rPr>
                <w:rFonts w:cs="Times New Roman"/>
                <w:color w:val="000000"/>
                <w:szCs w:val="24"/>
              </w:rPr>
              <w:t>2</w:t>
            </w:r>
            <w:r>
              <w:rPr>
                <w:rFonts w:hint="eastAsia" w:cs="Times New Roman"/>
                <w:color w:val="000000"/>
                <w:szCs w:val="24"/>
              </w:rPr>
              <w:t>排气筒为2号和3号抛光车间共用</w:t>
            </w:r>
            <w:r>
              <w:rPr>
                <w:rFonts w:cs="Times New Roman"/>
                <w:color w:val="000000"/>
                <w:szCs w:val="24"/>
              </w:rPr>
              <w:t>。</w:t>
            </w:r>
          </w:p>
          <w:p>
            <w:pPr>
              <w:ind w:firstLine="480"/>
              <w:rPr>
                <w:rFonts w:cs="Times New Roman"/>
                <w:color w:val="000000"/>
                <w:szCs w:val="24"/>
              </w:rPr>
            </w:pPr>
            <w:r>
              <w:rPr>
                <w:rFonts w:cs="Times New Roman"/>
                <w:color w:val="000000"/>
                <w:szCs w:val="24"/>
              </w:rPr>
              <w:t>四号抛光车间：该车间有7台抛光机，平均每天运行3台，其它工况与一号抛光车间相同，收集的粉尘经水喷淋塔</w:t>
            </w:r>
            <w:r>
              <w:rPr>
                <w:rFonts w:hint="eastAsia" w:cs="Times New Roman"/>
                <w:color w:val="000000"/>
                <w:szCs w:val="24"/>
              </w:rPr>
              <w:t>E</w:t>
            </w:r>
            <w:r>
              <w:rPr>
                <w:rFonts w:cs="Times New Roman"/>
                <w:color w:val="000000"/>
                <w:szCs w:val="24"/>
              </w:rPr>
              <w:t xml:space="preserve">处理，最终通过高 15m </w:t>
            </w:r>
            <w:r>
              <w:rPr>
                <w:rFonts w:hint="eastAsia" w:cs="Times New Roman"/>
                <w:color w:val="000000"/>
                <w:szCs w:val="24"/>
              </w:rPr>
              <w:t>、</w:t>
            </w:r>
            <w:r>
              <w:rPr>
                <w:rFonts w:cs="Times New Roman"/>
                <w:color w:val="000000"/>
                <w:szCs w:val="24"/>
              </w:rPr>
              <w:t>内径为0.9</w:t>
            </w:r>
            <w:r>
              <w:rPr>
                <w:rFonts w:hint="eastAsia" w:cs="Times New Roman"/>
                <w:color w:val="000000"/>
                <w:szCs w:val="24"/>
              </w:rPr>
              <w:t>m</w:t>
            </w:r>
            <w:r>
              <w:rPr>
                <w:rFonts w:cs="Times New Roman"/>
                <w:color w:val="000000"/>
                <w:szCs w:val="24"/>
              </w:rPr>
              <w:t>的排气筒</w:t>
            </w:r>
            <w:r>
              <w:rPr>
                <w:rFonts w:hint="eastAsia" w:cs="Times New Roman"/>
                <w:color w:val="000000"/>
                <w:szCs w:val="24"/>
              </w:rPr>
              <w:t>G</w:t>
            </w:r>
            <w:r>
              <w:rPr>
                <w:rFonts w:cs="Times New Roman"/>
                <w:color w:val="000000"/>
                <w:szCs w:val="24"/>
              </w:rPr>
              <w:t>3排放。</w:t>
            </w:r>
          </w:p>
          <w:p>
            <w:pPr>
              <w:ind w:firstLine="480"/>
              <w:rPr>
                <w:rFonts w:cs="Times New Roman"/>
                <w:color w:val="000000" w:themeColor="text1"/>
                <w:szCs w:val="24"/>
              </w:rPr>
            </w:pPr>
            <w:r>
              <w:rPr>
                <w:rFonts w:cs="Times New Roman"/>
                <w:color w:val="000000" w:themeColor="text1"/>
                <w:szCs w:val="24"/>
              </w:rPr>
              <w:t>本项目生产车间产生的粉尘废气，详见下表。</w:t>
            </w:r>
          </w:p>
          <w:p>
            <w:pPr>
              <w:pStyle w:val="48"/>
              <w:ind w:firstLine="360"/>
              <w:rPr>
                <w:color w:val="000000" w:themeColor="text1"/>
                <w:szCs w:val="24"/>
              </w:rPr>
            </w:pPr>
            <w:r>
              <w:rPr>
                <w:color w:val="000000" w:themeColor="text1"/>
              </w:rPr>
              <w:t>表5-2 项目</w:t>
            </w:r>
            <w:r>
              <w:rPr>
                <w:rFonts w:hint="eastAsia"/>
                <w:color w:val="000000" w:themeColor="text1"/>
              </w:rPr>
              <w:t>抛光车间</w:t>
            </w:r>
            <w:r>
              <w:rPr>
                <w:color w:val="000000" w:themeColor="text1"/>
              </w:rPr>
              <w:t>粉尘产生及排放量情况表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870"/>
              <w:gridCol w:w="1127"/>
              <w:gridCol w:w="1117"/>
              <w:gridCol w:w="1081"/>
              <w:gridCol w:w="1241"/>
              <w:gridCol w:w="1008"/>
              <w:gridCol w:w="1125"/>
              <w:gridCol w:w="8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689" w:type="pct"/>
                  <w:gridSpan w:val="5"/>
                  <w:vAlign w:val="center"/>
                </w:tcPr>
                <w:p>
                  <w:pPr>
                    <w:pStyle w:val="45"/>
                    <w:rPr>
                      <w:color w:val="000000" w:themeColor="text1"/>
                      <w:kern w:val="0"/>
                      <w:szCs w:val="20"/>
                    </w:rPr>
                  </w:pPr>
                  <w:r>
                    <w:rPr>
                      <w:color w:val="000000" w:themeColor="text1"/>
                      <w:kern w:val="0"/>
                      <w:szCs w:val="20"/>
                    </w:rPr>
                    <w:t>产生情况</w:t>
                  </w:r>
                </w:p>
              </w:tc>
              <w:tc>
                <w:tcPr>
                  <w:tcW w:w="2311" w:type="pct"/>
                  <w:gridSpan w:val="4"/>
                  <w:vAlign w:val="center"/>
                </w:tcPr>
                <w:p>
                  <w:pPr>
                    <w:pStyle w:val="45"/>
                    <w:rPr>
                      <w:color w:val="000000" w:themeColor="text1"/>
                      <w:kern w:val="0"/>
                      <w:szCs w:val="20"/>
                    </w:rPr>
                  </w:pPr>
                  <w:r>
                    <w:rPr>
                      <w:color w:val="000000" w:themeColor="text1"/>
                      <w:kern w:val="0"/>
                      <w:szCs w:val="20"/>
                    </w:rPr>
                    <w:t>排放情况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386" w:type="pct"/>
                  <w:vAlign w:val="center"/>
                </w:tcPr>
                <w:p>
                  <w:pPr>
                    <w:pStyle w:val="45"/>
                    <w:rPr>
                      <w:color w:val="000000" w:themeColor="text1"/>
                      <w:kern w:val="0"/>
                      <w:szCs w:val="20"/>
                    </w:rPr>
                  </w:pPr>
                  <w:r>
                    <w:rPr>
                      <w:color w:val="000000" w:themeColor="text1"/>
                      <w:kern w:val="0"/>
                      <w:szCs w:val="20"/>
                    </w:rPr>
                    <w:t>生产</w:t>
                  </w:r>
                  <w:r>
                    <w:rPr>
                      <w:rFonts w:hint="eastAsia"/>
                      <w:color w:val="000000" w:themeColor="text1"/>
                      <w:kern w:val="0"/>
                      <w:szCs w:val="20"/>
                    </w:rPr>
                    <w:t>场所</w:t>
                  </w:r>
                </w:p>
              </w:tc>
              <w:tc>
                <w:tcPr>
                  <w:tcW w:w="482" w:type="pct"/>
                  <w:vAlign w:val="center"/>
                </w:tcPr>
                <w:p>
                  <w:pPr>
                    <w:pStyle w:val="45"/>
                    <w:rPr>
                      <w:color w:val="000000" w:themeColor="text1"/>
                      <w:kern w:val="0"/>
                      <w:szCs w:val="20"/>
                    </w:rPr>
                  </w:pPr>
                  <w:r>
                    <w:rPr>
                      <w:color w:val="000000" w:themeColor="text1"/>
                      <w:kern w:val="0"/>
                      <w:szCs w:val="20"/>
                    </w:rPr>
                    <w:t>污染物</w:t>
                  </w:r>
                </w:p>
              </w:tc>
              <w:tc>
                <w:tcPr>
                  <w:tcW w:w="605" w:type="pct"/>
                  <w:vAlign w:val="center"/>
                </w:tcPr>
                <w:p>
                  <w:pPr>
                    <w:pStyle w:val="45"/>
                    <w:rPr>
                      <w:color w:val="000000" w:themeColor="text1"/>
                      <w:kern w:val="0"/>
                      <w:szCs w:val="20"/>
                    </w:rPr>
                  </w:pPr>
                  <w:r>
                    <w:rPr>
                      <w:color w:val="000000" w:themeColor="text1"/>
                      <w:kern w:val="0"/>
                      <w:szCs w:val="20"/>
                    </w:rPr>
                    <w:t>产生量t/a</w:t>
                  </w:r>
                </w:p>
              </w:tc>
              <w:tc>
                <w:tcPr>
                  <w:tcW w:w="618" w:type="pct"/>
                  <w:vAlign w:val="center"/>
                </w:tcPr>
                <w:p>
                  <w:pPr>
                    <w:pStyle w:val="45"/>
                    <w:rPr>
                      <w:color w:val="000000" w:themeColor="text1"/>
                      <w:kern w:val="0"/>
                      <w:szCs w:val="20"/>
                    </w:rPr>
                  </w:pPr>
                  <w:r>
                    <w:rPr>
                      <w:color w:val="000000" w:themeColor="text1"/>
                      <w:kern w:val="0"/>
                      <w:szCs w:val="20"/>
                    </w:rPr>
                    <w:t>产生速率kg/h</w:t>
                  </w:r>
                </w:p>
              </w:tc>
              <w:tc>
                <w:tcPr>
                  <w:tcW w:w="598" w:type="pct"/>
                  <w:vAlign w:val="center"/>
                </w:tcPr>
                <w:p>
                  <w:pPr>
                    <w:pStyle w:val="45"/>
                    <w:rPr>
                      <w:color w:val="000000" w:themeColor="text1"/>
                      <w:kern w:val="0"/>
                      <w:szCs w:val="20"/>
                    </w:rPr>
                  </w:pPr>
                  <w:r>
                    <w:rPr>
                      <w:color w:val="000000" w:themeColor="text1"/>
                      <w:kern w:val="0"/>
                      <w:szCs w:val="20"/>
                    </w:rPr>
                    <w:t>产生浓度mg/m</w:t>
                  </w:r>
                  <w:r>
                    <w:rPr>
                      <w:color w:val="000000" w:themeColor="text1"/>
                      <w:kern w:val="0"/>
                      <w:szCs w:val="20"/>
                      <w:vertAlign w:val="superscript"/>
                    </w:rPr>
                    <w:t>3</w:t>
                  </w:r>
                </w:p>
              </w:tc>
              <w:tc>
                <w:tcPr>
                  <w:tcW w:w="686" w:type="pct"/>
                  <w:vAlign w:val="center"/>
                </w:tcPr>
                <w:p>
                  <w:pPr>
                    <w:pStyle w:val="45"/>
                    <w:rPr>
                      <w:color w:val="000000" w:themeColor="text1"/>
                      <w:kern w:val="0"/>
                      <w:szCs w:val="20"/>
                    </w:rPr>
                  </w:pPr>
                  <w:r>
                    <w:rPr>
                      <w:color w:val="000000" w:themeColor="text1"/>
                      <w:kern w:val="0"/>
                      <w:szCs w:val="20"/>
                    </w:rPr>
                    <w:t>排气筒编号</w:t>
                  </w:r>
                </w:p>
              </w:tc>
              <w:tc>
                <w:tcPr>
                  <w:tcW w:w="557" w:type="pct"/>
                  <w:vAlign w:val="center"/>
                </w:tcPr>
                <w:p>
                  <w:pPr>
                    <w:pStyle w:val="45"/>
                    <w:rPr>
                      <w:color w:val="000000" w:themeColor="text1"/>
                      <w:kern w:val="0"/>
                      <w:szCs w:val="20"/>
                    </w:rPr>
                  </w:pPr>
                  <w:r>
                    <w:rPr>
                      <w:color w:val="000000" w:themeColor="text1"/>
                      <w:kern w:val="0"/>
                      <w:szCs w:val="20"/>
                    </w:rPr>
                    <w:t>排放量t/a</w:t>
                  </w:r>
                </w:p>
              </w:tc>
              <w:tc>
                <w:tcPr>
                  <w:tcW w:w="622" w:type="pct"/>
                  <w:vAlign w:val="center"/>
                </w:tcPr>
                <w:p>
                  <w:pPr>
                    <w:pStyle w:val="45"/>
                    <w:rPr>
                      <w:color w:val="000000" w:themeColor="text1"/>
                      <w:kern w:val="0"/>
                      <w:szCs w:val="20"/>
                    </w:rPr>
                  </w:pPr>
                  <w:r>
                    <w:rPr>
                      <w:color w:val="000000" w:themeColor="text1"/>
                      <w:kern w:val="0"/>
                      <w:szCs w:val="20"/>
                    </w:rPr>
                    <w:t>排放速率kg/h</w:t>
                  </w:r>
                </w:p>
              </w:tc>
              <w:tc>
                <w:tcPr>
                  <w:tcW w:w="446" w:type="pct"/>
                  <w:vAlign w:val="center"/>
                </w:tcPr>
                <w:p>
                  <w:pPr>
                    <w:pStyle w:val="45"/>
                    <w:rPr>
                      <w:color w:val="000000" w:themeColor="text1"/>
                      <w:kern w:val="0"/>
                      <w:szCs w:val="20"/>
                    </w:rPr>
                  </w:pPr>
                  <w:r>
                    <w:rPr>
                      <w:color w:val="000000" w:themeColor="text1"/>
                      <w:kern w:val="0"/>
                      <w:szCs w:val="20"/>
                    </w:rPr>
                    <w:t>排放浓度mg/m</w:t>
                  </w:r>
                  <w:r>
                    <w:rPr>
                      <w:color w:val="000000" w:themeColor="text1"/>
                      <w:kern w:val="0"/>
                      <w:szCs w:val="20"/>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386" w:type="pct"/>
                  <w:vMerge w:val="restart"/>
                  <w:vAlign w:val="center"/>
                </w:tcPr>
                <w:p>
                  <w:pPr>
                    <w:pStyle w:val="45"/>
                    <w:rPr>
                      <w:color w:val="000000" w:themeColor="text1"/>
                      <w:kern w:val="0"/>
                      <w:szCs w:val="20"/>
                    </w:rPr>
                  </w:pPr>
                  <w:r>
                    <w:rPr>
                      <w:color w:val="000000" w:themeColor="text1"/>
                      <w:kern w:val="0"/>
                      <w:szCs w:val="20"/>
                    </w:rPr>
                    <w:t>一号抛光车间</w:t>
                  </w:r>
                </w:p>
              </w:tc>
              <w:tc>
                <w:tcPr>
                  <w:tcW w:w="482" w:type="pct"/>
                  <w:vAlign w:val="center"/>
                </w:tcPr>
                <w:p>
                  <w:pPr>
                    <w:pStyle w:val="45"/>
                    <w:rPr>
                      <w:color w:val="000000" w:themeColor="text1"/>
                      <w:kern w:val="0"/>
                      <w:szCs w:val="20"/>
                    </w:rPr>
                  </w:pPr>
                  <w:r>
                    <w:rPr>
                      <w:color w:val="000000" w:themeColor="text1"/>
                      <w:kern w:val="0"/>
                      <w:szCs w:val="20"/>
                    </w:rPr>
                    <w:t>有组织粉尘</w:t>
                  </w:r>
                </w:p>
              </w:tc>
              <w:tc>
                <w:tcPr>
                  <w:tcW w:w="605" w:type="pct"/>
                  <w:vAlign w:val="center"/>
                </w:tcPr>
                <w:p>
                  <w:pPr>
                    <w:pStyle w:val="45"/>
                    <w:rPr>
                      <w:color w:val="000000" w:themeColor="text1"/>
                      <w:kern w:val="0"/>
                      <w:szCs w:val="20"/>
                    </w:rPr>
                  </w:pPr>
                  <w:r>
                    <w:rPr>
                      <w:color w:val="000000" w:themeColor="text1"/>
                      <w:kern w:val="0"/>
                      <w:szCs w:val="20"/>
                    </w:rPr>
                    <w:t>0.02494</w:t>
                  </w:r>
                </w:p>
              </w:tc>
              <w:tc>
                <w:tcPr>
                  <w:tcW w:w="618" w:type="pct"/>
                  <w:vAlign w:val="center"/>
                </w:tcPr>
                <w:p>
                  <w:pPr>
                    <w:pStyle w:val="45"/>
                    <w:rPr>
                      <w:color w:val="000000" w:themeColor="text1"/>
                      <w:kern w:val="0"/>
                      <w:szCs w:val="20"/>
                    </w:rPr>
                  </w:pPr>
                  <w:r>
                    <w:rPr>
                      <w:color w:val="000000" w:themeColor="text1"/>
                      <w:kern w:val="0"/>
                      <w:szCs w:val="20"/>
                    </w:rPr>
                    <w:t>0.05542</w:t>
                  </w:r>
                </w:p>
              </w:tc>
              <w:tc>
                <w:tcPr>
                  <w:tcW w:w="598" w:type="pct"/>
                  <w:vAlign w:val="center"/>
                </w:tcPr>
                <w:p>
                  <w:pPr>
                    <w:pStyle w:val="45"/>
                    <w:rPr>
                      <w:color w:val="000000" w:themeColor="text1"/>
                      <w:kern w:val="0"/>
                      <w:szCs w:val="24"/>
                    </w:rPr>
                  </w:pPr>
                  <w:r>
                    <w:rPr>
                      <w:color w:val="000000" w:themeColor="text1"/>
                      <w:kern w:val="0"/>
                      <w:szCs w:val="24"/>
                    </w:rPr>
                    <w:t>3.69</w:t>
                  </w:r>
                </w:p>
              </w:tc>
              <w:tc>
                <w:tcPr>
                  <w:tcW w:w="686" w:type="pct"/>
                  <w:vAlign w:val="center"/>
                </w:tcPr>
                <w:p>
                  <w:pPr>
                    <w:pStyle w:val="45"/>
                    <w:rPr>
                      <w:color w:val="000000" w:themeColor="text1"/>
                      <w:kern w:val="0"/>
                      <w:szCs w:val="24"/>
                    </w:rPr>
                  </w:pPr>
                  <w:r>
                    <w:rPr>
                      <w:color w:val="000000" w:themeColor="text1"/>
                      <w:kern w:val="0"/>
                      <w:szCs w:val="24"/>
                    </w:rPr>
                    <w:t>G1</w:t>
                  </w:r>
                </w:p>
              </w:tc>
              <w:tc>
                <w:tcPr>
                  <w:tcW w:w="557" w:type="pct"/>
                  <w:vAlign w:val="center"/>
                </w:tcPr>
                <w:p>
                  <w:pPr>
                    <w:pStyle w:val="45"/>
                    <w:rPr>
                      <w:color w:val="000000" w:themeColor="text1"/>
                      <w:kern w:val="0"/>
                      <w:szCs w:val="20"/>
                    </w:rPr>
                  </w:pPr>
                  <w:r>
                    <w:rPr>
                      <w:color w:val="000000" w:themeColor="text1"/>
                      <w:kern w:val="0"/>
                      <w:szCs w:val="20"/>
                    </w:rPr>
                    <w:t>0.00748</w:t>
                  </w:r>
                </w:p>
              </w:tc>
              <w:tc>
                <w:tcPr>
                  <w:tcW w:w="622" w:type="pct"/>
                  <w:vAlign w:val="center"/>
                </w:tcPr>
                <w:p>
                  <w:pPr>
                    <w:pStyle w:val="45"/>
                    <w:rPr>
                      <w:color w:val="000000" w:themeColor="text1"/>
                      <w:kern w:val="0"/>
                      <w:szCs w:val="20"/>
                    </w:rPr>
                  </w:pPr>
                  <w:r>
                    <w:rPr>
                      <w:color w:val="000000" w:themeColor="text1"/>
                      <w:kern w:val="0"/>
                      <w:szCs w:val="20"/>
                    </w:rPr>
                    <w:t>0.01663</w:t>
                  </w:r>
                </w:p>
              </w:tc>
              <w:tc>
                <w:tcPr>
                  <w:tcW w:w="446" w:type="pct"/>
                  <w:vAlign w:val="center"/>
                </w:tcPr>
                <w:p>
                  <w:pPr>
                    <w:pStyle w:val="45"/>
                    <w:rPr>
                      <w:color w:val="000000" w:themeColor="text1"/>
                      <w:kern w:val="0"/>
                      <w:szCs w:val="24"/>
                    </w:rPr>
                  </w:pPr>
                  <w:r>
                    <w:rPr>
                      <w:color w:val="000000" w:themeColor="text1"/>
                      <w:kern w:val="0"/>
                      <w:szCs w:val="24"/>
                    </w:rPr>
                    <w:t>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continue"/>
                  <w:vAlign w:val="center"/>
                </w:tcPr>
                <w:p>
                  <w:pPr>
                    <w:pStyle w:val="45"/>
                    <w:rPr>
                      <w:color w:val="000000" w:themeColor="text1"/>
                      <w:kern w:val="0"/>
                      <w:szCs w:val="20"/>
                    </w:rPr>
                  </w:pPr>
                </w:p>
              </w:tc>
              <w:tc>
                <w:tcPr>
                  <w:tcW w:w="482" w:type="pct"/>
                  <w:vAlign w:val="center"/>
                </w:tcPr>
                <w:p>
                  <w:pPr>
                    <w:pStyle w:val="45"/>
                    <w:rPr>
                      <w:color w:val="000000" w:themeColor="text1"/>
                      <w:kern w:val="0"/>
                      <w:szCs w:val="20"/>
                    </w:rPr>
                  </w:pPr>
                  <w:r>
                    <w:rPr>
                      <w:color w:val="000000" w:themeColor="text1"/>
                      <w:kern w:val="0"/>
                      <w:szCs w:val="20"/>
                    </w:rPr>
                    <w:t>无组织</w:t>
                  </w:r>
                </w:p>
              </w:tc>
              <w:tc>
                <w:tcPr>
                  <w:tcW w:w="605" w:type="pct"/>
                  <w:vAlign w:val="center"/>
                </w:tcPr>
                <w:p>
                  <w:pPr>
                    <w:adjustRightInd w:val="0"/>
                    <w:snapToGrid w:val="0"/>
                    <w:spacing w:line="240" w:lineRule="auto"/>
                    <w:ind w:firstLine="199" w:firstLineChars="95"/>
                    <w:jc w:val="left"/>
                    <w:rPr>
                      <w:rFonts w:cs="Times New Roman"/>
                      <w:kern w:val="0"/>
                      <w:sz w:val="21"/>
                      <w:szCs w:val="21"/>
                      <w:lang w:val="zh-CN"/>
                    </w:rPr>
                  </w:pPr>
                  <w:r>
                    <w:rPr>
                      <w:rFonts w:cs="Times New Roman"/>
                      <w:kern w:val="0"/>
                      <w:sz w:val="21"/>
                      <w:szCs w:val="21"/>
                      <w:lang w:val="zh-CN"/>
                    </w:rPr>
                    <w:t>0.00131</w:t>
                  </w:r>
                </w:p>
              </w:tc>
              <w:tc>
                <w:tcPr>
                  <w:tcW w:w="618" w:type="pct"/>
                  <w:vAlign w:val="center"/>
                </w:tcPr>
                <w:p>
                  <w:pPr>
                    <w:pStyle w:val="45"/>
                    <w:rPr>
                      <w:color w:val="000000" w:themeColor="text1"/>
                      <w:kern w:val="0"/>
                      <w:szCs w:val="20"/>
                    </w:rPr>
                  </w:pPr>
                  <w:r>
                    <w:rPr>
                      <w:color w:val="000000" w:themeColor="text1"/>
                      <w:kern w:val="0"/>
                      <w:szCs w:val="20"/>
                    </w:rPr>
                    <w:t>0.00292</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w:t>
                  </w:r>
                </w:p>
              </w:tc>
              <w:tc>
                <w:tcPr>
                  <w:tcW w:w="557" w:type="pct"/>
                  <w:vAlign w:val="center"/>
                </w:tcPr>
                <w:p>
                  <w:pPr>
                    <w:pStyle w:val="45"/>
                    <w:rPr>
                      <w:color w:val="000000" w:themeColor="text1"/>
                      <w:kern w:val="0"/>
                      <w:szCs w:val="20"/>
                    </w:rPr>
                  </w:pPr>
                  <w:r>
                    <w:rPr>
                      <w:color w:val="000000" w:themeColor="text1"/>
                      <w:kern w:val="0"/>
                      <w:szCs w:val="20"/>
                    </w:rPr>
                    <w:t>0.00131</w:t>
                  </w:r>
                </w:p>
              </w:tc>
              <w:tc>
                <w:tcPr>
                  <w:tcW w:w="622" w:type="pct"/>
                  <w:vAlign w:val="center"/>
                </w:tcPr>
                <w:p>
                  <w:pPr>
                    <w:pStyle w:val="45"/>
                    <w:rPr>
                      <w:color w:val="000000" w:themeColor="text1"/>
                      <w:kern w:val="0"/>
                      <w:szCs w:val="20"/>
                    </w:rPr>
                  </w:pPr>
                  <w:r>
                    <w:rPr>
                      <w:color w:val="000000" w:themeColor="text1"/>
                      <w:kern w:val="0"/>
                      <w:szCs w:val="20"/>
                    </w:rPr>
                    <w:t>0.00292</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restart"/>
                  <w:vAlign w:val="center"/>
                </w:tcPr>
                <w:p>
                  <w:pPr>
                    <w:pStyle w:val="45"/>
                    <w:rPr>
                      <w:color w:val="000000" w:themeColor="text1"/>
                      <w:kern w:val="0"/>
                      <w:szCs w:val="20"/>
                    </w:rPr>
                  </w:pPr>
                  <w:r>
                    <w:rPr>
                      <w:color w:val="000000" w:themeColor="text1"/>
                      <w:kern w:val="0"/>
                      <w:szCs w:val="20"/>
                    </w:rPr>
                    <w:t>二号抛光车间</w:t>
                  </w:r>
                </w:p>
              </w:tc>
              <w:tc>
                <w:tcPr>
                  <w:tcW w:w="482" w:type="pct"/>
                  <w:vAlign w:val="center"/>
                </w:tcPr>
                <w:p>
                  <w:pPr>
                    <w:pStyle w:val="45"/>
                    <w:rPr>
                      <w:color w:val="000000" w:themeColor="text1"/>
                      <w:kern w:val="0"/>
                      <w:szCs w:val="20"/>
                    </w:rPr>
                  </w:pPr>
                  <w:r>
                    <w:rPr>
                      <w:color w:val="000000" w:themeColor="text1"/>
                      <w:kern w:val="0"/>
                      <w:szCs w:val="20"/>
                    </w:rPr>
                    <w:t>有组织粉尘</w:t>
                  </w:r>
                </w:p>
              </w:tc>
              <w:tc>
                <w:tcPr>
                  <w:tcW w:w="605" w:type="pct"/>
                  <w:vAlign w:val="center"/>
                </w:tcPr>
                <w:p>
                  <w:pPr>
                    <w:pStyle w:val="45"/>
                    <w:rPr>
                      <w:color w:val="000000" w:themeColor="text1"/>
                      <w:kern w:val="0"/>
                      <w:szCs w:val="20"/>
                    </w:rPr>
                  </w:pPr>
                  <w:r>
                    <w:rPr>
                      <w:color w:val="000000" w:themeColor="text1"/>
                      <w:kern w:val="0"/>
                      <w:szCs w:val="20"/>
                    </w:rPr>
                    <w:t>0.02494</w:t>
                  </w:r>
                </w:p>
              </w:tc>
              <w:tc>
                <w:tcPr>
                  <w:tcW w:w="618" w:type="pct"/>
                  <w:vAlign w:val="center"/>
                </w:tcPr>
                <w:p>
                  <w:pPr>
                    <w:pStyle w:val="45"/>
                    <w:rPr>
                      <w:color w:val="000000" w:themeColor="text1"/>
                      <w:kern w:val="0"/>
                      <w:szCs w:val="20"/>
                    </w:rPr>
                  </w:pPr>
                  <w:r>
                    <w:rPr>
                      <w:color w:val="000000" w:themeColor="text1"/>
                      <w:kern w:val="0"/>
                      <w:szCs w:val="20"/>
                    </w:rPr>
                    <w:t>0.05542</w:t>
                  </w:r>
                </w:p>
              </w:tc>
              <w:tc>
                <w:tcPr>
                  <w:tcW w:w="598" w:type="pct"/>
                  <w:vAlign w:val="center"/>
                </w:tcPr>
                <w:p>
                  <w:pPr>
                    <w:pStyle w:val="45"/>
                    <w:rPr>
                      <w:color w:val="000000" w:themeColor="text1"/>
                      <w:kern w:val="0"/>
                      <w:szCs w:val="24"/>
                    </w:rPr>
                  </w:pPr>
                  <w:r>
                    <w:rPr>
                      <w:color w:val="000000" w:themeColor="text1"/>
                      <w:kern w:val="0"/>
                      <w:szCs w:val="24"/>
                    </w:rPr>
                    <w:t>3.69</w:t>
                  </w:r>
                </w:p>
              </w:tc>
              <w:tc>
                <w:tcPr>
                  <w:tcW w:w="686" w:type="pct"/>
                  <w:vAlign w:val="center"/>
                </w:tcPr>
                <w:p>
                  <w:pPr>
                    <w:pStyle w:val="45"/>
                    <w:rPr>
                      <w:color w:val="000000" w:themeColor="text1"/>
                      <w:kern w:val="0"/>
                      <w:szCs w:val="24"/>
                    </w:rPr>
                  </w:pPr>
                  <w:r>
                    <w:rPr>
                      <w:color w:val="000000" w:themeColor="text1"/>
                      <w:kern w:val="0"/>
                      <w:szCs w:val="24"/>
                    </w:rPr>
                    <w:t>G2</w:t>
                  </w:r>
                </w:p>
              </w:tc>
              <w:tc>
                <w:tcPr>
                  <w:tcW w:w="557" w:type="pct"/>
                  <w:vAlign w:val="center"/>
                </w:tcPr>
                <w:p>
                  <w:pPr>
                    <w:pStyle w:val="45"/>
                    <w:rPr>
                      <w:color w:val="000000" w:themeColor="text1"/>
                      <w:kern w:val="0"/>
                      <w:szCs w:val="20"/>
                    </w:rPr>
                  </w:pPr>
                  <w:r>
                    <w:rPr>
                      <w:color w:val="000000" w:themeColor="text1"/>
                      <w:kern w:val="0"/>
                      <w:szCs w:val="20"/>
                    </w:rPr>
                    <w:t>0.00748</w:t>
                  </w:r>
                </w:p>
              </w:tc>
              <w:tc>
                <w:tcPr>
                  <w:tcW w:w="622" w:type="pct"/>
                  <w:vAlign w:val="center"/>
                </w:tcPr>
                <w:p>
                  <w:pPr>
                    <w:pStyle w:val="45"/>
                    <w:rPr>
                      <w:color w:val="000000" w:themeColor="text1"/>
                      <w:kern w:val="0"/>
                      <w:szCs w:val="20"/>
                    </w:rPr>
                  </w:pPr>
                  <w:r>
                    <w:rPr>
                      <w:color w:val="000000" w:themeColor="text1"/>
                      <w:kern w:val="0"/>
                      <w:szCs w:val="20"/>
                    </w:rPr>
                    <w:t>0.01663</w:t>
                  </w:r>
                </w:p>
              </w:tc>
              <w:tc>
                <w:tcPr>
                  <w:tcW w:w="446" w:type="pct"/>
                  <w:vAlign w:val="center"/>
                </w:tcPr>
                <w:p>
                  <w:pPr>
                    <w:pStyle w:val="45"/>
                    <w:rPr>
                      <w:color w:val="000000" w:themeColor="text1"/>
                      <w:kern w:val="0"/>
                      <w:szCs w:val="24"/>
                    </w:rPr>
                  </w:pPr>
                  <w:r>
                    <w:rPr>
                      <w:color w:val="000000" w:themeColor="text1"/>
                      <w:kern w:val="0"/>
                      <w:szCs w:val="24"/>
                    </w:rPr>
                    <w:t>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continue"/>
                  <w:vAlign w:val="center"/>
                </w:tcPr>
                <w:p>
                  <w:pPr>
                    <w:pStyle w:val="45"/>
                    <w:rPr>
                      <w:color w:val="000000" w:themeColor="text1"/>
                      <w:kern w:val="0"/>
                      <w:szCs w:val="20"/>
                    </w:rPr>
                  </w:pPr>
                </w:p>
              </w:tc>
              <w:tc>
                <w:tcPr>
                  <w:tcW w:w="482" w:type="pct"/>
                  <w:vAlign w:val="center"/>
                </w:tcPr>
                <w:p>
                  <w:pPr>
                    <w:pStyle w:val="45"/>
                    <w:rPr>
                      <w:color w:val="000000" w:themeColor="text1"/>
                      <w:kern w:val="0"/>
                      <w:szCs w:val="20"/>
                    </w:rPr>
                  </w:pPr>
                  <w:r>
                    <w:rPr>
                      <w:color w:val="000000" w:themeColor="text1"/>
                      <w:kern w:val="0"/>
                      <w:szCs w:val="20"/>
                    </w:rPr>
                    <w:t>无组织</w:t>
                  </w:r>
                </w:p>
              </w:tc>
              <w:tc>
                <w:tcPr>
                  <w:tcW w:w="605" w:type="pct"/>
                  <w:vAlign w:val="center"/>
                </w:tcPr>
                <w:p>
                  <w:pPr>
                    <w:pStyle w:val="45"/>
                    <w:rPr>
                      <w:color w:val="000000" w:themeColor="text1"/>
                      <w:kern w:val="0"/>
                      <w:szCs w:val="24"/>
                    </w:rPr>
                  </w:pPr>
                  <w:r>
                    <w:rPr>
                      <w:color w:val="000000" w:themeColor="text1"/>
                      <w:kern w:val="0"/>
                      <w:szCs w:val="24"/>
                    </w:rPr>
                    <w:t>0.00131</w:t>
                  </w:r>
                </w:p>
              </w:tc>
              <w:tc>
                <w:tcPr>
                  <w:tcW w:w="618" w:type="pct"/>
                  <w:vAlign w:val="center"/>
                </w:tcPr>
                <w:p>
                  <w:pPr>
                    <w:pStyle w:val="45"/>
                    <w:rPr>
                      <w:color w:val="000000" w:themeColor="text1"/>
                      <w:kern w:val="0"/>
                      <w:szCs w:val="24"/>
                    </w:rPr>
                  </w:pPr>
                  <w:r>
                    <w:rPr>
                      <w:color w:val="000000" w:themeColor="text1"/>
                      <w:kern w:val="0"/>
                      <w:szCs w:val="24"/>
                    </w:rPr>
                    <w:t>0.00292</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w:t>
                  </w:r>
                </w:p>
              </w:tc>
              <w:tc>
                <w:tcPr>
                  <w:tcW w:w="557" w:type="pct"/>
                  <w:vAlign w:val="center"/>
                </w:tcPr>
                <w:p>
                  <w:pPr>
                    <w:pStyle w:val="45"/>
                    <w:rPr>
                      <w:color w:val="000000" w:themeColor="text1"/>
                      <w:kern w:val="0"/>
                      <w:szCs w:val="24"/>
                    </w:rPr>
                  </w:pPr>
                  <w:r>
                    <w:rPr>
                      <w:color w:val="000000" w:themeColor="text1"/>
                      <w:kern w:val="0"/>
                      <w:szCs w:val="24"/>
                    </w:rPr>
                    <w:t>0.00131</w:t>
                  </w:r>
                </w:p>
              </w:tc>
              <w:tc>
                <w:tcPr>
                  <w:tcW w:w="622" w:type="pct"/>
                  <w:vAlign w:val="center"/>
                </w:tcPr>
                <w:p>
                  <w:pPr>
                    <w:pStyle w:val="45"/>
                    <w:rPr>
                      <w:color w:val="000000" w:themeColor="text1"/>
                      <w:kern w:val="0"/>
                      <w:szCs w:val="24"/>
                    </w:rPr>
                  </w:pPr>
                  <w:r>
                    <w:rPr>
                      <w:color w:val="000000" w:themeColor="text1"/>
                      <w:kern w:val="0"/>
                      <w:szCs w:val="24"/>
                    </w:rPr>
                    <w:t>0.00292</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restart"/>
                  <w:vAlign w:val="center"/>
                </w:tcPr>
                <w:p>
                  <w:pPr>
                    <w:pStyle w:val="45"/>
                    <w:rPr>
                      <w:color w:val="000000" w:themeColor="text1"/>
                      <w:kern w:val="0"/>
                      <w:szCs w:val="20"/>
                    </w:rPr>
                  </w:pPr>
                  <w:r>
                    <w:rPr>
                      <w:color w:val="000000" w:themeColor="text1"/>
                      <w:kern w:val="0"/>
                      <w:szCs w:val="20"/>
                    </w:rPr>
                    <w:t>三号抛光车间</w:t>
                  </w:r>
                </w:p>
              </w:tc>
              <w:tc>
                <w:tcPr>
                  <w:tcW w:w="482" w:type="pct"/>
                  <w:vAlign w:val="center"/>
                </w:tcPr>
                <w:p>
                  <w:pPr>
                    <w:pStyle w:val="45"/>
                    <w:rPr>
                      <w:color w:val="000000" w:themeColor="text1"/>
                      <w:kern w:val="0"/>
                      <w:szCs w:val="20"/>
                    </w:rPr>
                  </w:pPr>
                  <w:r>
                    <w:rPr>
                      <w:color w:val="000000" w:themeColor="text1"/>
                      <w:kern w:val="0"/>
                      <w:szCs w:val="20"/>
                    </w:rPr>
                    <w:t>有组织</w:t>
                  </w:r>
                </w:p>
              </w:tc>
              <w:tc>
                <w:tcPr>
                  <w:tcW w:w="605" w:type="pct"/>
                  <w:vAlign w:val="center"/>
                </w:tcPr>
                <w:p>
                  <w:pPr>
                    <w:pStyle w:val="45"/>
                    <w:rPr>
                      <w:color w:val="000000" w:themeColor="text1"/>
                      <w:kern w:val="0"/>
                      <w:szCs w:val="24"/>
                    </w:rPr>
                  </w:pPr>
                  <w:r>
                    <w:rPr>
                      <w:color w:val="000000" w:themeColor="text1"/>
                      <w:kern w:val="0"/>
                      <w:szCs w:val="24"/>
                    </w:rPr>
                    <w:t>0.02494</w:t>
                  </w:r>
                </w:p>
              </w:tc>
              <w:tc>
                <w:tcPr>
                  <w:tcW w:w="618" w:type="pct"/>
                  <w:vAlign w:val="center"/>
                </w:tcPr>
                <w:p>
                  <w:pPr>
                    <w:pStyle w:val="45"/>
                    <w:rPr>
                      <w:color w:val="000000" w:themeColor="text1"/>
                      <w:kern w:val="0"/>
                      <w:szCs w:val="24"/>
                    </w:rPr>
                  </w:pPr>
                  <w:r>
                    <w:rPr>
                      <w:color w:val="000000" w:themeColor="text1"/>
                      <w:kern w:val="0"/>
                      <w:szCs w:val="24"/>
                    </w:rPr>
                    <w:t>0.05542</w:t>
                  </w:r>
                </w:p>
              </w:tc>
              <w:tc>
                <w:tcPr>
                  <w:tcW w:w="598" w:type="pct"/>
                  <w:vAlign w:val="center"/>
                </w:tcPr>
                <w:p>
                  <w:pPr>
                    <w:pStyle w:val="45"/>
                    <w:rPr>
                      <w:color w:val="000000" w:themeColor="text1"/>
                      <w:kern w:val="0"/>
                      <w:szCs w:val="24"/>
                    </w:rPr>
                  </w:pPr>
                  <w:r>
                    <w:rPr>
                      <w:color w:val="000000" w:themeColor="text1"/>
                      <w:kern w:val="0"/>
                      <w:szCs w:val="24"/>
                    </w:rPr>
                    <w:t>3.69</w:t>
                  </w:r>
                </w:p>
              </w:tc>
              <w:tc>
                <w:tcPr>
                  <w:tcW w:w="686" w:type="pct"/>
                  <w:vAlign w:val="center"/>
                </w:tcPr>
                <w:p>
                  <w:pPr>
                    <w:pStyle w:val="45"/>
                    <w:rPr>
                      <w:color w:val="000000" w:themeColor="text1"/>
                      <w:kern w:val="0"/>
                      <w:szCs w:val="24"/>
                    </w:rPr>
                  </w:pPr>
                  <w:r>
                    <w:rPr>
                      <w:color w:val="000000" w:themeColor="text1"/>
                      <w:kern w:val="0"/>
                      <w:szCs w:val="24"/>
                    </w:rPr>
                    <w:t>G2</w:t>
                  </w:r>
                </w:p>
              </w:tc>
              <w:tc>
                <w:tcPr>
                  <w:tcW w:w="557" w:type="pct"/>
                  <w:vAlign w:val="center"/>
                </w:tcPr>
                <w:p>
                  <w:pPr>
                    <w:pStyle w:val="45"/>
                    <w:rPr>
                      <w:color w:val="000000" w:themeColor="text1"/>
                      <w:kern w:val="0"/>
                      <w:szCs w:val="24"/>
                    </w:rPr>
                  </w:pPr>
                  <w:r>
                    <w:rPr>
                      <w:color w:val="000000" w:themeColor="text1"/>
                      <w:kern w:val="0"/>
                      <w:szCs w:val="24"/>
                    </w:rPr>
                    <w:t>0.00748</w:t>
                  </w:r>
                </w:p>
              </w:tc>
              <w:tc>
                <w:tcPr>
                  <w:tcW w:w="622" w:type="pct"/>
                  <w:vAlign w:val="center"/>
                </w:tcPr>
                <w:p>
                  <w:pPr>
                    <w:pStyle w:val="45"/>
                    <w:rPr>
                      <w:color w:val="000000" w:themeColor="text1"/>
                      <w:kern w:val="0"/>
                      <w:szCs w:val="24"/>
                    </w:rPr>
                  </w:pPr>
                  <w:r>
                    <w:rPr>
                      <w:color w:val="000000" w:themeColor="text1"/>
                      <w:kern w:val="0"/>
                      <w:szCs w:val="24"/>
                    </w:rPr>
                    <w:t>0.01663</w:t>
                  </w:r>
                </w:p>
              </w:tc>
              <w:tc>
                <w:tcPr>
                  <w:tcW w:w="446" w:type="pct"/>
                  <w:vAlign w:val="center"/>
                </w:tcPr>
                <w:p>
                  <w:pPr>
                    <w:pStyle w:val="45"/>
                    <w:rPr>
                      <w:color w:val="000000" w:themeColor="text1"/>
                      <w:kern w:val="0"/>
                      <w:szCs w:val="24"/>
                    </w:rPr>
                  </w:pPr>
                  <w:r>
                    <w:rPr>
                      <w:color w:val="000000" w:themeColor="text1"/>
                      <w:kern w:val="0"/>
                      <w:szCs w:val="24"/>
                    </w:rPr>
                    <w:t>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continue"/>
                  <w:vAlign w:val="center"/>
                </w:tcPr>
                <w:p>
                  <w:pPr>
                    <w:pStyle w:val="45"/>
                    <w:rPr>
                      <w:color w:val="000000" w:themeColor="text1"/>
                      <w:kern w:val="0"/>
                      <w:szCs w:val="20"/>
                    </w:rPr>
                  </w:pPr>
                </w:p>
              </w:tc>
              <w:tc>
                <w:tcPr>
                  <w:tcW w:w="482" w:type="pct"/>
                  <w:vAlign w:val="center"/>
                </w:tcPr>
                <w:p>
                  <w:pPr>
                    <w:pStyle w:val="45"/>
                    <w:rPr>
                      <w:color w:val="000000" w:themeColor="text1"/>
                      <w:kern w:val="0"/>
                      <w:szCs w:val="20"/>
                    </w:rPr>
                  </w:pPr>
                  <w:r>
                    <w:rPr>
                      <w:color w:val="000000" w:themeColor="text1"/>
                      <w:kern w:val="0"/>
                      <w:szCs w:val="20"/>
                    </w:rPr>
                    <w:t>无组织</w:t>
                  </w:r>
                </w:p>
              </w:tc>
              <w:tc>
                <w:tcPr>
                  <w:tcW w:w="605" w:type="pct"/>
                  <w:vAlign w:val="center"/>
                </w:tcPr>
                <w:p>
                  <w:pPr>
                    <w:pStyle w:val="45"/>
                    <w:rPr>
                      <w:color w:val="000000" w:themeColor="text1"/>
                      <w:kern w:val="0"/>
                      <w:szCs w:val="24"/>
                    </w:rPr>
                  </w:pPr>
                  <w:r>
                    <w:rPr>
                      <w:color w:val="000000" w:themeColor="text1"/>
                      <w:kern w:val="0"/>
                      <w:szCs w:val="24"/>
                    </w:rPr>
                    <w:t>0.00131</w:t>
                  </w:r>
                </w:p>
              </w:tc>
              <w:tc>
                <w:tcPr>
                  <w:tcW w:w="618" w:type="pct"/>
                  <w:vAlign w:val="center"/>
                </w:tcPr>
                <w:p>
                  <w:pPr>
                    <w:pStyle w:val="45"/>
                    <w:rPr>
                      <w:color w:val="000000" w:themeColor="text1"/>
                      <w:kern w:val="0"/>
                      <w:szCs w:val="24"/>
                    </w:rPr>
                  </w:pPr>
                  <w:r>
                    <w:rPr>
                      <w:color w:val="000000" w:themeColor="text1"/>
                      <w:kern w:val="0"/>
                      <w:szCs w:val="24"/>
                    </w:rPr>
                    <w:t>0.00292</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w:t>
                  </w:r>
                </w:p>
              </w:tc>
              <w:tc>
                <w:tcPr>
                  <w:tcW w:w="557" w:type="pct"/>
                  <w:vAlign w:val="center"/>
                </w:tcPr>
                <w:p>
                  <w:pPr>
                    <w:pStyle w:val="45"/>
                    <w:rPr>
                      <w:color w:val="000000" w:themeColor="text1"/>
                      <w:kern w:val="0"/>
                      <w:szCs w:val="24"/>
                    </w:rPr>
                  </w:pPr>
                  <w:r>
                    <w:rPr>
                      <w:color w:val="000000" w:themeColor="text1"/>
                      <w:kern w:val="0"/>
                      <w:szCs w:val="24"/>
                    </w:rPr>
                    <w:t>0.00131</w:t>
                  </w:r>
                </w:p>
              </w:tc>
              <w:tc>
                <w:tcPr>
                  <w:tcW w:w="622" w:type="pct"/>
                  <w:vAlign w:val="center"/>
                </w:tcPr>
                <w:p>
                  <w:pPr>
                    <w:pStyle w:val="45"/>
                    <w:rPr>
                      <w:color w:val="000000" w:themeColor="text1"/>
                      <w:kern w:val="0"/>
                      <w:szCs w:val="24"/>
                    </w:rPr>
                  </w:pPr>
                  <w:r>
                    <w:rPr>
                      <w:color w:val="000000" w:themeColor="text1"/>
                      <w:kern w:val="0"/>
                      <w:szCs w:val="24"/>
                    </w:rPr>
                    <w:t>0.00292</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restart"/>
                  <w:vAlign w:val="center"/>
                </w:tcPr>
                <w:p>
                  <w:pPr>
                    <w:pStyle w:val="45"/>
                    <w:rPr>
                      <w:color w:val="000000" w:themeColor="text1"/>
                      <w:kern w:val="0"/>
                      <w:szCs w:val="20"/>
                    </w:rPr>
                  </w:pPr>
                  <w:r>
                    <w:rPr>
                      <w:color w:val="000000" w:themeColor="text1"/>
                      <w:kern w:val="0"/>
                      <w:szCs w:val="20"/>
                    </w:rPr>
                    <w:t>四号抛光车间</w:t>
                  </w:r>
                </w:p>
              </w:tc>
              <w:tc>
                <w:tcPr>
                  <w:tcW w:w="482" w:type="pct"/>
                  <w:vAlign w:val="center"/>
                </w:tcPr>
                <w:p>
                  <w:pPr>
                    <w:pStyle w:val="45"/>
                    <w:rPr>
                      <w:color w:val="000000" w:themeColor="text1"/>
                      <w:kern w:val="0"/>
                      <w:szCs w:val="20"/>
                    </w:rPr>
                  </w:pPr>
                  <w:r>
                    <w:rPr>
                      <w:color w:val="000000" w:themeColor="text1"/>
                      <w:kern w:val="0"/>
                      <w:szCs w:val="20"/>
                    </w:rPr>
                    <w:t>有组织</w:t>
                  </w:r>
                </w:p>
              </w:tc>
              <w:tc>
                <w:tcPr>
                  <w:tcW w:w="605" w:type="pct"/>
                  <w:vAlign w:val="center"/>
                </w:tcPr>
                <w:p>
                  <w:pPr>
                    <w:pStyle w:val="45"/>
                    <w:rPr>
                      <w:color w:val="000000" w:themeColor="text1"/>
                      <w:kern w:val="0"/>
                      <w:szCs w:val="24"/>
                    </w:rPr>
                  </w:pPr>
                  <w:r>
                    <w:rPr>
                      <w:color w:val="000000" w:themeColor="text1"/>
                      <w:kern w:val="0"/>
                      <w:szCs w:val="24"/>
                    </w:rPr>
                    <w:t>0.02494</w:t>
                  </w:r>
                </w:p>
              </w:tc>
              <w:tc>
                <w:tcPr>
                  <w:tcW w:w="618" w:type="pct"/>
                  <w:vAlign w:val="center"/>
                </w:tcPr>
                <w:p>
                  <w:pPr>
                    <w:pStyle w:val="45"/>
                    <w:rPr>
                      <w:color w:val="000000" w:themeColor="text1"/>
                      <w:kern w:val="0"/>
                      <w:szCs w:val="24"/>
                    </w:rPr>
                  </w:pPr>
                  <w:r>
                    <w:rPr>
                      <w:color w:val="000000" w:themeColor="text1"/>
                      <w:kern w:val="0"/>
                      <w:szCs w:val="24"/>
                    </w:rPr>
                    <w:t>0.05542</w:t>
                  </w:r>
                </w:p>
              </w:tc>
              <w:tc>
                <w:tcPr>
                  <w:tcW w:w="598" w:type="pct"/>
                  <w:vAlign w:val="center"/>
                </w:tcPr>
                <w:p>
                  <w:pPr>
                    <w:pStyle w:val="45"/>
                    <w:rPr>
                      <w:color w:val="000000" w:themeColor="text1"/>
                      <w:kern w:val="0"/>
                      <w:szCs w:val="24"/>
                    </w:rPr>
                  </w:pPr>
                  <w:r>
                    <w:rPr>
                      <w:color w:val="000000" w:themeColor="text1"/>
                      <w:kern w:val="0"/>
                      <w:szCs w:val="24"/>
                    </w:rPr>
                    <w:t>3.69</w:t>
                  </w:r>
                </w:p>
              </w:tc>
              <w:tc>
                <w:tcPr>
                  <w:tcW w:w="686" w:type="pct"/>
                  <w:vAlign w:val="center"/>
                </w:tcPr>
                <w:p>
                  <w:pPr>
                    <w:pStyle w:val="45"/>
                    <w:rPr>
                      <w:color w:val="000000" w:themeColor="text1"/>
                      <w:kern w:val="0"/>
                      <w:szCs w:val="24"/>
                    </w:rPr>
                  </w:pPr>
                  <w:r>
                    <w:rPr>
                      <w:color w:val="000000" w:themeColor="text1"/>
                      <w:kern w:val="0"/>
                      <w:szCs w:val="24"/>
                    </w:rPr>
                    <w:t>G3</w:t>
                  </w:r>
                </w:p>
              </w:tc>
              <w:tc>
                <w:tcPr>
                  <w:tcW w:w="557" w:type="pct"/>
                  <w:vAlign w:val="center"/>
                </w:tcPr>
                <w:p>
                  <w:pPr>
                    <w:pStyle w:val="45"/>
                    <w:rPr>
                      <w:color w:val="000000" w:themeColor="text1"/>
                      <w:kern w:val="0"/>
                      <w:szCs w:val="24"/>
                    </w:rPr>
                  </w:pPr>
                  <w:r>
                    <w:rPr>
                      <w:color w:val="000000" w:themeColor="text1"/>
                      <w:kern w:val="0"/>
                      <w:szCs w:val="24"/>
                    </w:rPr>
                    <w:t>0.00748</w:t>
                  </w:r>
                </w:p>
              </w:tc>
              <w:tc>
                <w:tcPr>
                  <w:tcW w:w="622" w:type="pct"/>
                  <w:vAlign w:val="center"/>
                </w:tcPr>
                <w:p>
                  <w:pPr>
                    <w:pStyle w:val="45"/>
                    <w:rPr>
                      <w:color w:val="000000" w:themeColor="text1"/>
                      <w:kern w:val="0"/>
                      <w:szCs w:val="24"/>
                    </w:rPr>
                  </w:pPr>
                  <w:r>
                    <w:rPr>
                      <w:color w:val="000000" w:themeColor="text1"/>
                      <w:kern w:val="0"/>
                      <w:szCs w:val="24"/>
                    </w:rPr>
                    <w:t>0.01663</w:t>
                  </w:r>
                </w:p>
              </w:tc>
              <w:tc>
                <w:tcPr>
                  <w:tcW w:w="446" w:type="pct"/>
                  <w:vAlign w:val="center"/>
                </w:tcPr>
                <w:p>
                  <w:pPr>
                    <w:pStyle w:val="45"/>
                    <w:rPr>
                      <w:color w:val="000000" w:themeColor="text1"/>
                      <w:kern w:val="0"/>
                      <w:szCs w:val="24"/>
                    </w:rPr>
                  </w:pPr>
                  <w:r>
                    <w:rPr>
                      <w:color w:val="000000" w:themeColor="text1"/>
                      <w:kern w:val="0"/>
                      <w:szCs w:val="24"/>
                    </w:rPr>
                    <w:t>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86" w:type="pct"/>
                  <w:vMerge w:val="continue"/>
                  <w:vAlign w:val="center"/>
                </w:tcPr>
                <w:p>
                  <w:pPr>
                    <w:pStyle w:val="45"/>
                    <w:rPr>
                      <w:color w:val="000000" w:themeColor="text1"/>
                      <w:kern w:val="0"/>
                      <w:szCs w:val="20"/>
                    </w:rPr>
                  </w:pPr>
                </w:p>
              </w:tc>
              <w:tc>
                <w:tcPr>
                  <w:tcW w:w="482" w:type="pct"/>
                  <w:vAlign w:val="center"/>
                </w:tcPr>
                <w:p>
                  <w:pPr>
                    <w:pStyle w:val="45"/>
                    <w:rPr>
                      <w:color w:val="000000" w:themeColor="text1"/>
                      <w:kern w:val="0"/>
                      <w:szCs w:val="20"/>
                    </w:rPr>
                  </w:pPr>
                  <w:r>
                    <w:rPr>
                      <w:color w:val="000000" w:themeColor="text1"/>
                      <w:kern w:val="0"/>
                      <w:szCs w:val="20"/>
                    </w:rPr>
                    <w:t>无组织</w:t>
                  </w:r>
                </w:p>
              </w:tc>
              <w:tc>
                <w:tcPr>
                  <w:tcW w:w="605" w:type="pct"/>
                  <w:vAlign w:val="center"/>
                </w:tcPr>
                <w:p>
                  <w:pPr>
                    <w:pStyle w:val="45"/>
                    <w:rPr>
                      <w:color w:val="000000" w:themeColor="text1"/>
                      <w:kern w:val="0"/>
                      <w:szCs w:val="24"/>
                    </w:rPr>
                  </w:pPr>
                  <w:r>
                    <w:rPr>
                      <w:color w:val="000000" w:themeColor="text1"/>
                      <w:kern w:val="0"/>
                      <w:szCs w:val="24"/>
                    </w:rPr>
                    <w:t>0.00131</w:t>
                  </w:r>
                </w:p>
              </w:tc>
              <w:tc>
                <w:tcPr>
                  <w:tcW w:w="618" w:type="pct"/>
                  <w:vAlign w:val="center"/>
                </w:tcPr>
                <w:p>
                  <w:pPr>
                    <w:pStyle w:val="45"/>
                    <w:rPr>
                      <w:color w:val="000000" w:themeColor="text1"/>
                      <w:kern w:val="0"/>
                      <w:szCs w:val="24"/>
                    </w:rPr>
                  </w:pPr>
                  <w:r>
                    <w:rPr>
                      <w:color w:val="000000" w:themeColor="text1"/>
                      <w:kern w:val="0"/>
                      <w:szCs w:val="24"/>
                    </w:rPr>
                    <w:t>0.00292</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w:t>
                  </w:r>
                </w:p>
              </w:tc>
              <w:tc>
                <w:tcPr>
                  <w:tcW w:w="557" w:type="pct"/>
                  <w:vAlign w:val="center"/>
                </w:tcPr>
                <w:p>
                  <w:pPr>
                    <w:pStyle w:val="45"/>
                    <w:rPr>
                      <w:color w:val="000000" w:themeColor="text1"/>
                      <w:kern w:val="0"/>
                      <w:szCs w:val="24"/>
                    </w:rPr>
                  </w:pPr>
                  <w:r>
                    <w:rPr>
                      <w:color w:val="000000" w:themeColor="text1"/>
                      <w:kern w:val="0"/>
                      <w:szCs w:val="24"/>
                    </w:rPr>
                    <w:t>0.00131</w:t>
                  </w:r>
                </w:p>
              </w:tc>
              <w:tc>
                <w:tcPr>
                  <w:tcW w:w="622" w:type="pct"/>
                  <w:vAlign w:val="center"/>
                </w:tcPr>
                <w:p>
                  <w:pPr>
                    <w:pStyle w:val="45"/>
                    <w:rPr>
                      <w:color w:val="000000" w:themeColor="text1"/>
                      <w:kern w:val="0"/>
                      <w:szCs w:val="24"/>
                    </w:rPr>
                  </w:pPr>
                  <w:r>
                    <w:rPr>
                      <w:color w:val="000000" w:themeColor="text1"/>
                      <w:kern w:val="0"/>
                      <w:szCs w:val="24"/>
                    </w:rPr>
                    <w:t>0.00292</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8" w:type="pct"/>
                  <w:gridSpan w:val="2"/>
                  <w:vAlign w:val="center"/>
                </w:tcPr>
                <w:p>
                  <w:pPr>
                    <w:pStyle w:val="45"/>
                    <w:rPr>
                      <w:color w:val="000000" w:themeColor="text1"/>
                      <w:kern w:val="0"/>
                      <w:szCs w:val="20"/>
                    </w:rPr>
                  </w:pPr>
                  <w:r>
                    <w:rPr>
                      <w:color w:val="000000" w:themeColor="text1"/>
                      <w:kern w:val="0"/>
                      <w:szCs w:val="20"/>
                    </w:rPr>
                    <w:t>有组织产生量</w:t>
                  </w:r>
                </w:p>
              </w:tc>
              <w:tc>
                <w:tcPr>
                  <w:tcW w:w="605" w:type="pct"/>
                  <w:vAlign w:val="center"/>
                </w:tcPr>
                <w:p>
                  <w:pPr>
                    <w:pStyle w:val="45"/>
                    <w:rPr>
                      <w:color w:val="000000" w:themeColor="text1"/>
                      <w:kern w:val="0"/>
                      <w:szCs w:val="24"/>
                    </w:rPr>
                  </w:pPr>
                  <w:r>
                    <w:rPr>
                      <w:color w:val="000000" w:themeColor="text1"/>
                      <w:kern w:val="0"/>
                      <w:szCs w:val="24"/>
                    </w:rPr>
                    <w:t>0.09975</w:t>
                  </w:r>
                </w:p>
              </w:tc>
              <w:tc>
                <w:tcPr>
                  <w:tcW w:w="618" w:type="pct"/>
                  <w:vAlign w:val="center"/>
                </w:tcPr>
                <w:p>
                  <w:pPr>
                    <w:pStyle w:val="45"/>
                    <w:rPr>
                      <w:color w:val="000000" w:themeColor="text1"/>
                      <w:kern w:val="0"/>
                      <w:szCs w:val="24"/>
                    </w:rPr>
                  </w:pPr>
                  <w:r>
                    <w:rPr>
                      <w:color w:val="000000" w:themeColor="text1"/>
                      <w:kern w:val="0"/>
                      <w:szCs w:val="24"/>
                    </w:rPr>
                    <w:t>--</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有组织排放量</w:t>
                  </w:r>
                </w:p>
              </w:tc>
              <w:tc>
                <w:tcPr>
                  <w:tcW w:w="557" w:type="pct"/>
                  <w:vAlign w:val="center"/>
                </w:tcPr>
                <w:p>
                  <w:pPr>
                    <w:pStyle w:val="45"/>
                    <w:rPr>
                      <w:color w:val="000000" w:themeColor="text1"/>
                      <w:kern w:val="0"/>
                      <w:szCs w:val="24"/>
                    </w:rPr>
                  </w:pPr>
                  <w:r>
                    <w:rPr>
                      <w:color w:val="000000" w:themeColor="text1"/>
                      <w:kern w:val="0"/>
                      <w:szCs w:val="24"/>
                    </w:rPr>
                    <w:t>0.02993</w:t>
                  </w:r>
                </w:p>
              </w:tc>
              <w:tc>
                <w:tcPr>
                  <w:tcW w:w="622" w:type="pct"/>
                  <w:vAlign w:val="center"/>
                </w:tcPr>
                <w:p>
                  <w:pPr>
                    <w:pStyle w:val="45"/>
                    <w:rPr>
                      <w:color w:val="000000" w:themeColor="text1"/>
                      <w:kern w:val="0"/>
                      <w:szCs w:val="24"/>
                    </w:rPr>
                  </w:pPr>
                  <w:r>
                    <w:rPr>
                      <w:color w:val="000000" w:themeColor="text1"/>
                      <w:kern w:val="0"/>
                      <w:szCs w:val="24"/>
                    </w:rPr>
                    <w:t>--</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8" w:type="pct"/>
                  <w:gridSpan w:val="2"/>
                  <w:vAlign w:val="center"/>
                </w:tcPr>
                <w:p>
                  <w:pPr>
                    <w:pStyle w:val="45"/>
                    <w:rPr>
                      <w:color w:val="000000" w:themeColor="text1"/>
                      <w:kern w:val="0"/>
                      <w:szCs w:val="20"/>
                    </w:rPr>
                  </w:pPr>
                  <w:r>
                    <w:rPr>
                      <w:color w:val="000000" w:themeColor="text1"/>
                      <w:kern w:val="0"/>
                      <w:szCs w:val="20"/>
                    </w:rPr>
                    <w:t>无组织产生量</w:t>
                  </w:r>
                </w:p>
              </w:tc>
              <w:tc>
                <w:tcPr>
                  <w:tcW w:w="605" w:type="pct"/>
                  <w:vAlign w:val="center"/>
                </w:tcPr>
                <w:p>
                  <w:pPr>
                    <w:pStyle w:val="45"/>
                    <w:rPr>
                      <w:color w:val="000000" w:themeColor="text1"/>
                      <w:kern w:val="0"/>
                      <w:szCs w:val="24"/>
                    </w:rPr>
                  </w:pPr>
                  <w:r>
                    <w:rPr>
                      <w:color w:val="000000" w:themeColor="text1"/>
                      <w:kern w:val="0"/>
                      <w:szCs w:val="24"/>
                    </w:rPr>
                    <w:t>0.00525</w:t>
                  </w:r>
                </w:p>
              </w:tc>
              <w:tc>
                <w:tcPr>
                  <w:tcW w:w="618" w:type="pct"/>
                  <w:vAlign w:val="center"/>
                </w:tcPr>
                <w:p>
                  <w:pPr>
                    <w:pStyle w:val="45"/>
                    <w:rPr>
                      <w:color w:val="000000" w:themeColor="text1"/>
                      <w:kern w:val="0"/>
                      <w:szCs w:val="24"/>
                    </w:rPr>
                  </w:pPr>
                  <w:r>
                    <w:rPr>
                      <w:color w:val="000000" w:themeColor="text1"/>
                      <w:kern w:val="0"/>
                      <w:szCs w:val="24"/>
                    </w:rPr>
                    <w:t>0.00292</w:t>
                  </w:r>
                </w:p>
              </w:tc>
              <w:tc>
                <w:tcPr>
                  <w:tcW w:w="598" w:type="pct"/>
                  <w:vAlign w:val="center"/>
                </w:tcPr>
                <w:p>
                  <w:pPr>
                    <w:pStyle w:val="45"/>
                    <w:rPr>
                      <w:color w:val="000000" w:themeColor="text1"/>
                      <w:kern w:val="0"/>
                      <w:szCs w:val="24"/>
                    </w:rPr>
                  </w:pPr>
                  <w:r>
                    <w:rPr>
                      <w:color w:val="000000" w:themeColor="text1"/>
                      <w:kern w:val="0"/>
                      <w:szCs w:val="24"/>
                    </w:rPr>
                    <w:t>--</w:t>
                  </w:r>
                </w:p>
              </w:tc>
              <w:tc>
                <w:tcPr>
                  <w:tcW w:w="686" w:type="pct"/>
                  <w:vAlign w:val="center"/>
                </w:tcPr>
                <w:p>
                  <w:pPr>
                    <w:pStyle w:val="45"/>
                    <w:rPr>
                      <w:color w:val="000000" w:themeColor="text1"/>
                      <w:kern w:val="0"/>
                      <w:szCs w:val="24"/>
                    </w:rPr>
                  </w:pPr>
                  <w:r>
                    <w:rPr>
                      <w:color w:val="000000" w:themeColor="text1"/>
                      <w:kern w:val="0"/>
                      <w:szCs w:val="24"/>
                    </w:rPr>
                    <w:t>无组织排放量</w:t>
                  </w:r>
                </w:p>
              </w:tc>
              <w:tc>
                <w:tcPr>
                  <w:tcW w:w="557" w:type="pct"/>
                  <w:vAlign w:val="center"/>
                </w:tcPr>
                <w:p>
                  <w:pPr>
                    <w:pStyle w:val="45"/>
                    <w:rPr>
                      <w:color w:val="000000" w:themeColor="text1"/>
                      <w:kern w:val="0"/>
                      <w:szCs w:val="24"/>
                    </w:rPr>
                  </w:pPr>
                  <w:r>
                    <w:rPr>
                      <w:color w:val="000000" w:themeColor="text1"/>
                      <w:kern w:val="0"/>
                      <w:szCs w:val="24"/>
                    </w:rPr>
                    <w:t>0.00525</w:t>
                  </w:r>
                </w:p>
              </w:tc>
              <w:tc>
                <w:tcPr>
                  <w:tcW w:w="622" w:type="pct"/>
                  <w:vAlign w:val="center"/>
                </w:tcPr>
                <w:p>
                  <w:pPr>
                    <w:pStyle w:val="45"/>
                    <w:rPr>
                      <w:color w:val="000000" w:themeColor="text1"/>
                      <w:kern w:val="0"/>
                      <w:szCs w:val="24"/>
                    </w:rPr>
                  </w:pPr>
                  <w:r>
                    <w:rPr>
                      <w:color w:val="000000" w:themeColor="text1"/>
                      <w:kern w:val="0"/>
                      <w:szCs w:val="24"/>
                    </w:rPr>
                    <w:t>0.00292</w:t>
                  </w:r>
                </w:p>
              </w:tc>
              <w:tc>
                <w:tcPr>
                  <w:tcW w:w="446" w:type="pct"/>
                  <w:vAlign w:val="center"/>
                </w:tcPr>
                <w:p>
                  <w:pPr>
                    <w:pStyle w:val="45"/>
                    <w:rPr>
                      <w:color w:val="000000" w:themeColor="text1"/>
                      <w:kern w:val="0"/>
                      <w:szCs w:val="24"/>
                    </w:rPr>
                  </w:pPr>
                  <w:r>
                    <w:rPr>
                      <w:color w:val="000000" w:themeColor="text1"/>
                      <w:kern w:val="0"/>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8" w:type="pct"/>
                  <w:gridSpan w:val="2"/>
                  <w:vAlign w:val="center"/>
                </w:tcPr>
                <w:p>
                  <w:pPr>
                    <w:pStyle w:val="45"/>
                    <w:rPr>
                      <w:color w:val="000000" w:themeColor="text1"/>
                      <w:kern w:val="0"/>
                      <w:szCs w:val="20"/>
                    </w:rPr>
                  </w:pPr>
                  <w:r>
                    <w:rPr>
                      <w:rFonts w:hint="eastAsia"/>
                      <w:color w:val="000000" w:themeColor="text1"/>
                      <w:kern w:val="0"/>
                      <w:szCs w:val="20"/>
                    </w:rPr>
                    <w:t>合计</w:t>
                  </w:r>
                </w:p>
              </w:tc>
              <w:tc>
                <w:tcPr>
                  <w:tcW w:w="605" w:type="pct"/>
                  <w:vAlign w:val="center"/>
                </w:tcPr>
                <w:p>
                  <w:pPr>
                    <w:pStyle w:val="45"/>
                    <w:rPr>
                      <w:color w:val="000000" w:themeColor="text1"/>
                      <w:kern w:val="0"/>
                      <w:szCs w:val="24"/>
                    </w:rPr>
                  </w:pPr>
                  <w:r>
                    <w:rPr>
                      <w:rFonts w:hint="eastAsia"/>
                      <w:color w:val="000000" w:themeColor="text1"/>
                      <w:kern w:val="0"/>
                      <w:szCs w:val="24"/>
                    </w:rPr>
                    <w:t>0</w:t>
                  </w:r>
                  <w:r>
                    <w:rPr>
                      <w:color w:val="000000" w:themeColor="text1"/>
                      <w:kern w:val="0"/>
                      <w:szCs w:val="24"/>
                    </w:rPr>
                    <w:t>.105</w:t>
                  </w:r>
                </w:p>
              </w:tc>
              <w:tc>
                <w:tcPr>
                  <w:tcW w:w="618" w:type="pct"/>
                  <w:vAlign w:val="center"/>
                </w:tcPr>
                <w:p>
                  <w:pPr>
                    <w:pStyle w:val="45"/>
                    <w:rPr>
                      <w:color w:val="000000" w:themeColor="text1"/>
                      <w:kern w:val="0"/>
                      <w:szCs w:val="24"/>
                    </w:rPr>
                  </w:pPr>
                  <w:r>
                    <w:rPr>
                      <w:rFonts w:hint="eastAsia"/>
                      <w:color w:val="000000" w:themeColor="text1"/>
                      <w:kern w:val="0"/>
                      <w:szCs w:val="24"/>
                    </w:rPr>
                    <w:t>-</w:t>
                  </w:r>
                  <w:r>
                    <w:rPr>
                      <w:color w:val="000000" w:themeColor="text1"/>
                      <w:kern w:val="0"/>
                      <w:szCs w:val="24"/>
                    </w:rPr>
                    <w:t>-</w:t>
                  </w:r>
                </w:p>
              </w:tc>
              <w:tc>
                <w:tcPr>
                  <w:tcW w:w="598" w:type="pct"/>
                  <w:vAlign w:val="center"/>
                </w:tcPr>
                <w:p>
                  <w:pPr>
                    <w:pStyle w:val="45"/>
                    <w:rPr>
                      <w:color w:val="000000" w:themeColor="text1"/>
                      <w:kern w:val="0"/>
                      <w:szCs w:val="24"/>
                    </w:rPr>
                  </w:pPr>
                  <w:r>
                    <w:rPr>
                      <w:rFonts w:hint="eastAsia"/>
                      <w:color w:val="000000" w:themeColor="text1"/>
                      <w:kern w:val="0"/>
                      <w:szCs w:val="24"/>
                    </w:rPr>
                    <w:t>-</w:t>
                  </w:r>
                  <w:r>
                    <w:rPr>
                      <w:color w:val="000000" w:themeColor="text1"/>
                      <w:kern w:val="0"/>
                      <w:szCs w:val="24"/>
                    </w:rPr>
                    <w:t>-</w:t>
                  </w:r>
                </w:p>
              </w:tc>
              <w:tc>
                <w:tcPr>
                  <w:tcW w:w="686" w:type="pct"/>
                  <w:vAlign w:val="center"/>
                </w:tcPr>
                <w:p>
                  <w:pPr>
                    <w:pStyle w:val="45"/>
                    <w:rPr>
                      <w:color w:val="000000" w:themeColor="text1"/>
                      <w:kern w:val="0"/>
                      <w:szCs w:val="24"/>
                    </w:rPr>
                  </w:pPr>
                  <w:r>
                    <w:rPr>
                      <w:rFonts w:hint="eastAsia"/>
                      <w:color w:val="000000" w:themeColor="text1"/>
                      <w:kern w:val="0"/>
                      <w:szCs w:val="24"/>
                    </w:rPr>
                    <w:t>合计</w:t>
                  </w:r>
                </w:p>
              </w:tc>
              <w:tc>
                <w:tcPr>
                  <w:tcW w:w="557" w:type="pct"/>
                  <w:vAlign w:val="center"/>
                </w:tcPr>
                <w:p>
                  <w:pPr>
                    <w:pStyle w:val="45"/>
                    <w:rPr>
                      <w:color w:val="000000" w:themeColor="text1"/>
                      <w:kern w:val="0"/>
                      <w:szCs w:val="24"/>
                    </w:rPr>
                  </w:pPr>
                  <w:r>
                    <w:rPr>
                      <w:rFonts w:hint="eastAsia"/>
                      <w:color w:val="000000" w:themeColor="text1"/>
                      <w:kern w:val="0"/>
                      <w:szCs w:val="24"/>
                    </w:rPr>
                    <w:t>0</w:t>
                  </w:r>
                  <w:r>
                    <w:rPr>
                      <w:color w:val="000000" w:themeColor="text1"/>
                      <w:kern w:val="0"/>
                      <w:szCs w:val="24"/>
                    </w:rPr>
                    <w:t>.03518</w:t>
                  </w:r>
                </w:p>
              </w:tc>
              <w:tc>
                <w:tcPr>
                  <w:tcW w:w="622" w:type="pct"/>
                  <w:vAlign w:val="center"/>
                </w:tcPr>
                <w:p>
                  <w:pPr>
                    <w:pStyle w:val="45"/>
                    <w:rPr>
                      <w:color w:val="000000" w:themeColor="text1"/>
                      <w:kern w:val="0"/>
                      <w:szCs w:val="24"/>
                    </w:rPr>
                  </w:pPr>
                  <w:r>
                    <w:rPr>
                      <w:rFonts w:hint="eastAsia"/>
                      <w:color w:val="000000" w:themeColor="text1"/>
                      <w:kern w:val="0"/>
                      <w:szCs w:val="24"/>
                    </w:rPr>
                    <w:t>-</w:t>
                  </w:r>
                  <w:r>
                    <w:rPr>
                      <w:color w:val="000000" w:themeColor="text1"/>
                      <w:kern w:val="0"/>
                      <w:szCs w:val="24"/>
                    </w:rPr>
                    <w:t>-</w:t>
                  </w:r>
                </w:p>
              </w:tc>
              <w:tc>
                <w:tcPr>
                  <w:tcW w:w="446" w:type="pct"/>
                  <w:vAlign w:val="center"/>
                </w:tcPr>
                <w:p>
                  <w:pPr>
                    <w:pStyle w:val="45"/>
                    <w:rPr>
                      <w:color w:val="000000" w:themeColor="text1"/>
                      <w:kern w:val="0"/>
                      <w:szCs w:val="24"/>
                    </w:rPr>
                  </w:pPr>
                  <w:r>
                    <w:rPr>
                      <w:rFonts w:hint="eastAsia"/>
                      <w:color w:val="000000" w:themeColor="text1"/>
                      <w:kern w:val="0"/>
                      <w:szCs w:val="24"/>
                    </w:rPr>
                    <w:t>-</w:t>
                  </w:r>
                  <w:r>
                    <w:rPr>
                      <w:color w:val="000000" w:themeColor="text1"/>
                      <w:kern w:val="0"/>
                      <w:szCs w:val="24"/>
                    </w:rPr>
                    <w:t>-</w:t>
                  </w:r>
                </w:p>
              </w:tc>
            </w:tr>
          </w:tbl>
          <w:p>
            <w:pPr>
              <w:pStyle w:val="45"/>
              <w:rPr>
                <w:b/>
                <w:bCs/>
              </w:rPr>
            </w:pPr>
            <w:r>
              <w:rPr>
                <w:rFonts w:hint="eastAsia"/>
                <w:b/>
                <w:bCs/>
              </w:rPr>
              <w:t>5</w:t>
            </w:r>
            <w:r>
              <w:rPr>
                <w:b/>
                <w:bCs/>
              </w:rPr>
              <w:t xml:space="preserve">-3 </w:t>
            </w:r>
            <w:r>
              <w:rPr>
                <w:rFonts w:hint="eastAsia"/>
                <w:b/>
                <w:bCs/>
              </w:rPr>
              <w:t>排气筒粉尘排放情况表</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0"/>
              <w:gridCol w:w="1864"/>
              <w:gridCol w:w="1507"/>
              <w:gridCol w:w="1508"/>
              <w:gridCol w:w="1468"/>
              <w:gridCol w:w="14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300" w:type="dxa"/>
                  <w:vAlign w:val="center"/>
                </w:tcPr>
                <w:p>
                  <w:pPr>
                    <w:pStyle w:val="45"/>
                    <w:rPr>
                      <w:kern w:val="0"/>
                      <w:szCs w:val="20"/>
                    </w:rPr>
                  </w:pPr>
                  <w:r>
                    <w:rPr>
                      <w:rFonts w:hint="eastAsia"/>
                      <w:kern w:val="0"/>
                      <w:szCs w:val="20"/>
                    </w:rPr>
                    <w:t>排气筒编号</w:t>
                  </w:r>
                </w:p>
              </w:tc>
              <w:tc>
                <w:tcPr>
                  <w:tcW w:w="1864" w:type="dxa"/>
                  <w:vAlign w:val="center"/>
                </w:tcPr>
                <w:p>
                  <w:pPr>
                    <w:pStyle w:val="45"/>
                    <w:rPr>
                      <w:kern w:val="0"/>
                      <w:szCs w:val="20"/>
                    </w:rPr>
                  </w:pPr>
                  <w:r>
                    <w:rPr>
                      <w:rFonts w:hint="eastAsia"/>
                      <w:kern w:val="0"/>
                      <w:szCs w:val="20"/>
                    </w:rPr>
                    <w:t>年排放时长（h）</w:t>
                  </w:r>
                </w:p>
              </w:tc>
              <w:tc>
                <w:tcPr>
                  <w:tcW w:w="1507" w:type="dxa"/>
                  <w:vAlign w:val="center"/>
                </w:tcPr>
                <w:p>
                  <w:pPr>
                    <w:pStyle w:val="45"/>
                    <w:rPr>
                      <w:kern w:val="0"/>
                      <w:szCs w:val="20"/>
                    </w:rPr>
                  </w:pPr>
                  <w:r>
                    <w:rPr>
                      <w:rFonts w:hint="eastAsia"/>
                      <w:kern w:val="0"/>
                      <w:szCs w:val="20"/>
                    </w:rPr>
                    <w:t>排放量（</w:t>
                  </w:r>
                  <w:r>
                    <w:rPr>
                      <w:color w:val="000000" w:themeColor="text1"/>
                      <w:kern w:val="0"/>
                      <w:szCs w:val="20"/>
                    </w:rPr>
                    <w:t>t/a</w:t>
                  </w:r>
                  <w:r>
                    <w:rPr>
                      <w:rFonts w:hint="eastAsia"/>
                      <w:kern w:val="0"/>
                      <w:szCs w:val="20"/>
                    </w:rPr>
                    <w:t>）</w:t>
                  </w:r>
                </w:p>
              </w:tc>
              <w:tc>
                <w:tcPr>
                  <w:tcW w:w="1508" w:type="dxa"/>
                  <w:vAlign w:val="center"/>
                </w:tcPr>
                <w:p>
                  <w:pPr>
                    <w:pStyle w:val="45"/>
                    <w:rPr>
                      <w:kern w:val="0"/>
                      <w:szCs w:val="20"/>
                    </w:rPr>
                  </w:pPr>
                  <w:r>
                    <w:rPr>
                      <w:rFonts w:hint="eastAsia"/>
                      <w:kern w:val="0"/>
                      <w:szCs w:val="20"/>
                    </w:rPr>
                    <w:t>排放速率（</w:t>
                  </w:r>
                  <w:r>
                    <w:rPr>
                      <w:color w:val="000000" w:themeColor="text1"/>
                      <w:kern w:val="0"/>
                      <w:szCs w:val="20"/>
                    </w:rPr>
                    <w:t>kg/h</w:t>
                  </w:r>
                  <w:r>
                    <w:rPr>
                      <w:rFonts w:hint="eastAsia"/>
                      <w:kern w:val="0"/>
                      <w:szCs w:val="20"/>
                    </w:rPr>
                    <w:t>）</w:t>
                  </w:r>
                </w:p>
              </w:tc>
              <w:tc>
                <w:tcPr>
                  <w:tcW w:w="1468" w:type="dxa"/>
                  <w:vAlign w:val="center"/>
                </w:tcPr>
                <w:p>
                  <w:pPr>
                    <w:pStyle w:val="45"/>
                    <w:rPr>
                      <w:kern w:val="0"/>
                      <w:szCs w:val="20"/>
                    </w:rPr>
                  </w:pPr>
                  <w:r>
                    <w:rPr>
                      <w:rFonts w:hint="eastAsia"/>
                      <w:kern w:val="0"/>
                      <w:szCs w:val="20"/>
                    </w:rPr>
                    <w:t>排放浓度（</w:t>
                  </w:r>
                  <w:r>
                    <w:rPr>
                      <w:color w:val="000000" w:themeColor="text1"/>
                      <w:kern w:val="0"/>
                      <w:szCs w:val="20"/>
                    </w:rPr>
                    <w:t>mg/m</w:t>
                  </w:r>
                  <w:r>
                    <w:rPr>
                      <w:color w:val="000000" w:themeColor="text1"/>
                      <w:kern w:val="0"/>
                      <w:szCs w:val="20"/>
                      <w:vertAlign w:val="superscript"/>
                    </w:rPr>
                    <w:t>3</w:t>
                  </w:r>
                  <w:r>
                    <w:rPr>
                      <w:rFonts w:hint="eastAsia"/>
                      <w:kern w:val="0"/>
                      <w:szCs w:val="20"/>
                    </w:rPr>
                    <w:t>）</w:t>
                  </w:r>
                </w:p>
              </w:tc>
              <w:tc>
                <w:tcPr>
                  <w:tcW w:w="1424" w:type="dxa"/>
                  <w:vAlign w:val="center"/>
                </w:tcPr>
                <w:p>
                  <w:pPr>
                    <w:pStyle w:val="45"/>
                    <w:rPr>
                      <w:kern w:val="0"/>
                      <w:szCs w:val="20"/>
                    </w:rPr>
                  </w:pPr>
                  <w:r>
                    <w:rPr>
                      <w:rFonts w:hint="eastAsia"/>
                      <w:kern w:val="0"/>
                      <w:szCs w:val="20"/>
                    </w:rPr>
                    <w:t>烟气流量</w:t>
                  </w:r>
                  <w:r>
                    <w:rPr>
                      <w:kern w:val="0"/>
                      <w:szCs w:val="20"/>
                    </w:rPr>
                    <w:t>（m</w:t>
                  </w:r>
                  <w:r>
                    <w:rPr>
                      <w:kern w:val="0"/>
                      <w:szCs w:val="20"/>
                      <w:vertAlign w:val="superscript"/>
                    </w:rPr>
                    <w:t>3</w:t>
                  </w:r>
                  <w:r>
                    <w:rPr>
                      <w:kern w:val="0"/>
                      <w:szCs w:val="20"/>
                    </w:rPr>
                    <w:t>/s）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0" w:type="dxa"/>
                  <w:vAlign w:val="center"/>
                </w:tcPr>
                <w:p>
                  <w:pPr>
                    <w:pStyle w:val="45"/>
                    <w:rPr>
                      <w:kern w:val="0"/>
                      <w:szCs w:val="20"/>
                    </w:rPr>
                  </w:pPr>
                  <w:r>
                    <w:rPr>
                      <w:rFonts w:hint="eastAsia"/>
                      <w:kern w:val="0"/>
                      <w:szCs w:val="20"/>
                    </w:rPr>
                    <w:t>G</w:t>
                  </w:r>
                  <w:r>
                    <w:rPr>
                      <w:kern w:val="0"/>
                      <w:szCs w:val="20"/>
                    </w:rPr>
                    <w:t>1</w:t>
                  </w:r>
                </w:p>
              </w:tc>
              <w:tc>
                <w:tcPr>
                  <w:tcW w:w="1864" w:type="dxa"/>
                  <w:vAlign w:val="center"/>
                </w:tcPr>
                <w:p>
                  <w:pPr>
                    <w:pStyle w:val="45"/>
                    <w:rPr>
                      <w:kern w:val="0"/>
                      <w:szCs w:val="20"/>
                    </w:rPr>
                  </w:pPr>
                  <w:r>
                    <w:rPr>
                      <w:rFonts w:hint="eastAsia"/>
                      <w:kern w:val="0"/>
                      <w:szCs w:val="20"/>
                    </w:rPr>
                    <w:t>4</w:t>
                  </w:r>
                  <w:r>
                    <w:rPr>
                      <w:kern w:val="0"/>
                      <w:szCs w:val="20"/>
                    </w:rPr>
                    <w:t>50</w:t>
                  </w:r>
                </w:p>
              </w:tc>
              <w:tc>
                <w:tcPr>
                  <w:tcW w:w="1507" w:type="dxa"/>
                  <w:vAlign w:val="center"/>
                </w:tcPr>
                <w:p>
                  <w:pPr>
                    <w:pStyle w:val="45"/>
                    <w:rPr>
                      <w:kern w:val="0"/>
                      <w:szCs w:val="20"/>
                    </w:rPr>
                  </w:pPr>
                  <w:r>
                    <w:rPr>
                      <w:rFonts w:hint="eastAsia"/>
                      <w:kern w:val="0"/>
                      <w:szCs w:val="20"/>
                    </w:rPr>
                    <w:t>0</w:t>
                  </w:r>
                  <w:r>
                    <w:rPr>
                      <w:kern w:val="0"/>
                      <w:szCs w:val="20"/>
                    </w:rPr>
                    <w:t>.00748</w:t>
                  </w:r>
                </w:p>
              </w:tc>
              <w:tc>
                <w:tcPr>
                  <w:tcW w:w="1508" w:type="dxa"/>
                  <w:vAlign w:val="center"/>
                </w:tcPr>
                <w:p>
                  <w:pPr>
                    <w:pStyle w:val="45"/>
                    <w:rPr>
                      <w:kern w:val="0"/>
                      <w:szCs w:val="20"/>
                    </w:rPr>
                  </w:pPr>
                  <w:r>
                    <w:rPr>
                      <w:color w:val="000000" w:themeColor="text1"/>
                      <w:kern w:val="0"/>
                      <w:szCs w:val="20"/>
                    </w:rPr>
                    <w:t>0.01663</w:t>
                  </w:r>
                </w:p>
              </w:tc>
              <w:tc>
                <w:tcPr>
                  <w:tcW w:w="1468" w:type="dxa"/>
                  <w:vAlign w:val="center"/>
                </w:tcPr>
                <w:p>
                  <w:pPr>
                    <w:pStyle w:val="45"/>
                    <w:rPr>
                      <w:kern w:val="0"/>
                      <w:szCs w:val="20"/>
                    </w:rPr>
                  </w:pPr>
                  <w:r>
                    <w:rPr>
                      <w:rFonts w:hint="eastAsia"/>
                      <w:kern w:val="0"/>
                      <w:szCs w:val="20"/>
                    </w:rPr>
                    <w:t>1</w:t>
                  </w:r>
                  <w:r>
                    <w:rPr>
                      <w:kern w:val="0"/>
                      <w:szCs w:val="20"/>
                    </w:rPr>
                    <w:t>.11</w:t>
                  </w:r>
                </w:p>
              </w:tc>
              <w:tc>
                <w:tcPr>
                  <w:tcW w:w="1424" w:type="dxa"/>
                  <w:vAlign w:val="center"/>
                </w:tcPr>
                <w:p>
                  <w:pPr>
                    <w:pStyle w:val="45"/>
                    <w:rPr>
                      <w:kern w:val="0"/>
                      <w:szCs w:val="20"/>
                    </w:rPr>
                  </w:pPr>
                  <w:r>
                    <w:rPr>
                      <w:rFonts w:hint="eastAsia"/>
                      <w:kern w:val="0"/>
                      <w:szCs w:val="20"/>
                    </w:rPr>
                    <w:t>4</w:t>
                  </w:r>
                  <w:r>
                    <w:rPr>
                      <w:kern w:val="0"/>
                      <w:szCs w:val="20"/>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0" w:type="dxa"/>
                  <w:vAlign w:val="center"/>
                </w:tcPr>
                <w:p>
                  <w:pPr>
                    <w:pStyle w:val="45"/>
                    <w:rPr>
                      <w:kern w:val="0"/>
                      <w:szCs w:val="20"/>
                    </w:rPr>
                  </w:pPr>
                  <w:r>
                    <w:rPr>
                      <w:rFonts w:hint="eastAsia"/>
                      <w:kern w:val="0"/>
                      <w:szCs w:val="20"/>
                    </w:rPr>
                    <w:t>G</w:t>
                  </w:r>
                  <w:r>
                    <w:rPr>
                      <w:kern w:val="0"/>
                      <w:szCs w:val="20"/>
                    </w:rPr>
                    <w:t>2</w:t>
                  </w:r>
                </w:p>
              </w:tc>
              <w:tc>
                <w:tcPr>
                  <w:tcW w:w="1864" w:type="dxa"/>
                  <w:vAlign w:val="center"/>
                </w:tcPr>
                <w:p>
                  <w:pPr>
                    <w:pStyle w:val="45"/>
                    <w:rPr>
                      <w:kern w:val="0"/>
                      <w:szCs w:val="20"/>
                    </w:rPr>
                  </w:pPr>
                  <w:r>
                    <w:rPr>
                      <w:rFonts w:hint="eastAsia"/>
                      <w:kern w:val="0"/>
                      <w:szCs w:val="20"/>
                    </w:rPr>
                    <w:t>9</w:t>
                  </w:r>
                  <w:r>
                    <w:rPr>
                      <w:kern w:val="0"/>
                      <w:szCs w:val="20"/>
                    </w:rPr>
                    <w:t>00</w:t>
                  </w:r>
                </w:p>
              </w:tc>
              <w:tc>
                <w:tcPr>
                  <w:tcW w:w="1507" w:type="dxa"/>
                  <w:vAlign w:val="center"/>
                </w:tcPr>
                <w:p>
                  <w:pPr>
                    <w:pStyle w:val="45"/>
                    <w:rPr>
                      <w:kern w:val="0"/>
                      <w:szCs w:val="20"/>
                    </w:rPr>
                  </w:pPr>
                  <w:r>
                    <w:rPr>
                      <w:rFonts w:hint="eastAsia"/>
                      <w:kern w:val="0"/>
                      <w:szCs w:val="20"/>
                    </w:rPr>
                    <w:t>0</w:t>
                  </w:r>
                  <w:r>
                    <w:rPr>
                      <w:kern w:val="0"/>
                      <w:szCs w:val="20"/>
                    </w:rPr>
                    <w:t>.01496</w:t>
                  </w:r>
                </w:p>
              </w:tc>
              <w:tc>
                <w:tcPr>
                  <w:tcW w:w="1508" w:type="dxa"/>
                  <w:vAlign w:val="center"/>
                </w:tcPr>
                <w:p>
                  <w:pPr>
                    <w:pStyle w:val="45"/>
                    <w:rPr>
                      <w:kern w:val="0"/>
                      <w:szCs w:val="20"/>
                    </w:rPr>
                  </w:pPr>
                  <w:r>
                    <w:rPr>
                      <w:rFonts w:hint="eastAsia"/>
                      <w:kern w:val="0"/>
                      <w:szCs w:val="20"/>
                    </w:rPr>
                    <w:t>0</w:t>
                  </w:r>
                  <w:r>
                    <w:rPr>
                      <w:kern w:val="0"/>
                      <w:szCs w:val="20"/>
                    </w:rPr>
                    <w:t>.01663</w:t>
                  </w:r>
                </w:p>
              </w:tc>
              <w:tc>
                <w:tcPr>
                  <w:tcW w:w="1468" w:type="dxa"/>
                  <w:vAlign w:val="center"/>
                </w:tcPr>
                <w:p>
                  <w:pPr>
                    <w:pStyle w:val="45"/>
                    <w:rPr>
                      <w:kern w:val="0"/>
                      <w:szCs w:val="20"/>
                    </w:rPr>
                  </w:pPr>
                  <w:r>
                    <w:rPr>
                      <w:rFonts w:hint="eastAsia"/>
                      <w:kern w:val="0"/>
                      <w:szCs w:val="20"/>
                    </w:rPr>
                    <w:t>0</w:t>
                  </w:r>
                  <w:r>
                    <w:rPr>
                      <w:kern w:val="0"/>
                      <w:szCs w:val="20"/>
                    </w:rPr>
                    <w:t>.55</w:t>
                  </w:r>
                </w:p>
              </w:tc>
              <w:tc>
                <w:tcPr>
                  <w:tcW w:w="1424" w:type="dxa"/>
                  <w:vAlign w:val="center"/>
                </w:tcPr>
                <w:p>
                  <w:pPr>
                    <w:pStyle w:val="45"/>
                    <w:rPr>
                      <w:kern w:val="0"/>
                      <w:szCs w:val="20"/>
                    </w:rPr>
                  </w:pPr>
                  <w:r>
                    <w:rPr>
                      <w:rFonts w:hint="eastAsia"/>
                      <w:kern w:val="0"/>
                      <w:szCs w:val="20"/>
                    </w:rPr>
                    <w:t>8</w:t>
                  </w:r>
                  <w:r>
                    <w:rPr>
                      <w:kern w:val="0"/>
                      <w:szCs w:val="20"/>
                    </w:rPr>
                    <w:t>.33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0" w:type="dxa"/>
                  <w:vAlign w:val="center"/>
                </w:tcPr>
                <w:p>
                  <w:pPr>
                    <w:pStyle w:val="45"/>
                    <w:rPr>
                      <w:kern w:val="0"/>
                      <w:szCs w:val="20"/>
                    </w:rPr>
                  </w:pPr>
                  <w:r>
                    <w:rPr>
                      <w:rFonts w:hint="eastAsia"/>
                      <w:kern w:val="0"/>
                      <w:szCs w:val="20"/>
                    </w:rPr>
                    <w:t>G</w:t>
                  </w:r>
                  <w:r>
                    <w:rPr>
                      <w:kern w:val="0"/>
                      <w:szCs w:val="20"/>
                    </w:rPr>
                    <w:t>3</w:t>
                  </w:r>
                </w:p>
              </w:tc>
              <w:tc>
                <w:tcPr>
                  <w:tcW w:w="1864" w:type="dxa"/>
                  <w:vAlign w:val="center"/>
                </w:tcPr>
                <w:p>
                  <w:pPr>
                    <w:pStyle w:val="45"/>
                    <w:rPr>
                      <w:kern w:val="0"/>
                      <w:szCs w:val="20"/>
                    </w:rPr>
                  </w:pPr>
                  <w:r>
                    <w:rPr>
                      <w:rFonts w:hint="eastAsia"/>
                      <w:kern w:val="0"/>
                      <w:szCs w:val="20"/>
                    </w:rPr>
                    <w:t>4</w:t>
                  </w:r>
                  <w:r>
                    <w:rPr>
                      <w:kern w:val="0"/>
                      <w:szCs w:val="20"/>
                    </w:rPr>
                    <w:t>50</w:t>
                  </w:r>
                </w:p>
              </w:tc>
              <w:tc>
                <w:tcPr>
                  <w:tcW w:w="1507" w:type="dxa"/>
                  <w:vAlign w:val="center"/>
                </w:tcPr>
                <w:p>
                  <w:pPr>
                    <w:pStyle w:val="45"/>
                    <w:rPr>
                      <w:kern w:val="0"/>
                      <w:szCs w:val="20"/>
                    </w:rPr>
                  </w:pPr>
                  <w:r>
                    <w:rPr>
                      <w:rFonts w:hint="eastAsia"/>
                      <w:kern w:val="0"/>
                      <w:szCs w:val="20"/>
                    </w:rPr>
                    <w:t>0</w:t>
                  </w:r>
                  <w:r>
                    <w:rPr>
                      <w:kern w:val="0"/>
                      <w:szCs w:val="20"/>
                    </w:rPr>
                    <w:t>.00748</w:t>
                  </w:r>
                </w:p>
              </w:tc>
              <w:tc>
                <w:tcPr>
                  <w:tcW w:w="1508" w:type="dxa"/>
                  <w:vAlign w:val="center"/>
                </w:tcPr>
                <w:p>
                  <w:pPr>
                    <w:pStyle w:val="45"/>
                    <w:rPr>
                      <w:kern w:val="0"/>
                      <w:szCs w:val="20"/>
                    </w:rPr>
                  </w:pPr>
                  <w:r>
                    <w:rPr>
                      <w:rFonts w:hint="eastAsia"/>
                      <w:kern w:val="0"/>
                      <w:szCs w:val="20"/>
                    </w:rPr>
                    <w:t>0</w:t>
                  </w:r>
                  <w:r>
                    <w:rPr>
                      <w:kern w:val="0"/>
                      <w:szCs w:val="20"/>
                    </w:rPr>
                    <w:t>.01663</w:t>
                  </w:r>
                </w:p>
              </w:tc>
              <w:tc>
                <w:tcPr>
                  <w:tcW w:w="1468" w:type="dxa"/>
                  <w:vAlign w:val="center"/>
                </w:tcPr>
                <w:p>
                  <w:pPr>
                    <w:pStyle w:val="45"/>
                    <w:rPr>
                      <w:kern w:val="0"/>
                      <w:szCs w:val="20"/>
                    </w:rPr>
                  </w:pPr>
                  <w:r>
                    <w:rPr>
                      <w:rFonts w:hint="eastAsia"/>
                      <w:kern w:val="0"/>
                      <w:szCs w:val="20"/>
                    </w:rPr>
                    <w:t>1</w:t>
                  </w:r>
                  <w:r>
                    <w:rPr>
                      <w:kern w:val="0"/>
                      <w:szCs w:val="20"/>
                    </w:rPr>
                    <w:t>.11</w:t>
                  </w:r>
                </w:p>
              </w:tc>
              <w:tc>
                <w:tcPr>
                  <w:tcW w:w="1424" w:type="dxa"/>
                  <w:vAlign w:val="center"/>
                </w:tcPr>
                <w:p>
                  <w:pPr>
                    <w:pStyle w:val="45"/>
                    <w:rPr>
                      <w:kern w:val="0"/>
                      <w:szCs w:val="20"/>
                    </w:rPr>
                  </w:pPr>
                  <w:r>
                    <w:rPr>
                      <w:rFonts w:hint="eastAsia"/>
                      <w:kern w:val="0"/>
                      <w:szCs w:val="20"/>
                    </w:rPr>
                    <w:t>4</w:t>
                  </w:r>
                  <w:r>
                    <w:rPr>
                      <w:kern w:val="0"/>
                      <w:szCs w:val="20"/>
                    </w:rPr>
                    <w:t>.17</w:t>
                  </w:r>
                </w:p>
              </w:tc>
            </w:tr>
          </w:tbl>
          <w:p>
            <w:pPr>
              <w:keepNext/>
              <w:keepLines/>
              <w:ind w:firstLine="0" w:firstLineChars="0"/>
              <w:outlineLvl w:val="3"/>
              <w:rPr>
                <w:rFonts w:cs="Times New Roman"/>
                <w:b/>
                <w:bCs/>
                <w:szCs w:val="28"/>
                <w:lang w:val="zh-CN"/>
              </w:rPr>
            </w:pPr>
            <w:r>
              <w:rPr>
                <w:rFonts w:cs="Times New Roman"/>
                <w:b/>
                <w:bCs/>
                <w:szCs w:val="28"/>
                <w:lang w:val="zh-CN"/>
              </w:rPr>
              <w:t>5.2.2.2废水污染源</w:t>
            </w:r>
          </w:p>
          <w:p>
            <w:pPr>
              <w:adjustRightInd w:val="0"/>
              <w:snapToGrid w:val="0"/>
              <w:ind w:firstLine="480"/>
              <w:rPr>
                <w:rFonts w:cs="Times New Roman"/>
                <w:color w:val="000000"/>
                <w:szCs w:val="24"/>
              </w:rPr>
            </w:pPr>
            <w:r>
              <w:rPr>
                <w:rFonts w:cs="Times New Roman"/>
                <w:color w:val="000000"/>
                <w:szCs w:val="24"/>
              </w:rPr>
              <w:t>1、生活污水</w:t>
            </w:r>
          </w:p>
          <w:p>
            <w:pPr>
              <w:adjustRightInd w:val="0"/>
              <w:snapToGrid w:val="0"/>
              <w:ind w:firstLine="480"/>
              <w:rPr>
                <w:rFonts w:cs="Times New Roman"/>
                <w:color w:val="000000"/>
                <w:szCs w:val="24"/>
              </w:rPr>
            </w:pPr>
            <w:r>
              <w:rPr>
                <w:rFonts w:cs="Times New Roman"/>
                <w:color w:val="000000"/>
                <w:szCs w:val="24"/>
              </w:rPr>
              <w:t>项目运营期废水主要为员工日常办公产生的生活污水。项目员工12人，均不在厂内食宿。项目员工生活用水量参考《广东省用水定额》（DB44/T1461-2014），人均用水按40升/人·日计算，则项目生活用水总量为0.48m</w:t>
            </w:r>
            <w:r>
              <w:rPr>
                <w:rFonts w:cs="Times New Roman"/>
                <w:color w:val="000000"/>
                <w:szCs w:val="24"/>
                <w:vertAlign w:val="superscript"/>
              </w:rPr>
              <w:t>3</w:t>
            </w:r>
            <w:r>
              <w:rPr>
                <w:rFonts w:cs="Times New Roman"/>
                <w:color w:val="000000"/>
                <w:szCs w:val="24"/>
              </w:rPr>
              <w:t>/d（148.8m</w:t>
            </w:r>
            <w:r>
              <w:rPr>
                <w:rFonts w:cs="Times New Roman"/>
                <w:color w:val="000000"/>
                <w:szCs w:val="24"/>
                <w:vertAlign w:val="superscript"/>
              </w:rPr>
              <w:t>3</w:t>
            </w:r>
            <w:r>
              <w:rPr>
                <w:rFonts w:cs="Times New Roman"/>
                <w:color w:val="000000"/>
                <w:szCs w:val="24"/>
              </w:rPr>
              <w:t>/a）。生活污水排放系数按0.9计算，排放量预计为0.432m</w:t>
            </w:r>
            <w:r>
              <w:rPr>
                <w:rFonts w:cs="Times New Roman"/>
                <w:color w:val="000000"/>
                <w:szCs w:val="24"/>
                <w:vertAlign w:val="superscript"/>
              </w:rPr>
              <w:t>3</w:t>
            </w:r>
            <w:r>
              <w:rPr>
                <w:rFonts w:cs="Times New Roman"/>
                <w:color w:val="000000"/>
                <w:szCs w:val="24"/>
              </w:rPr>
              <w:t>/d，133.92 m</w:t>
            </w:r>
            <w:r>
              <w:rPr>
                <w:rFonts w:cs="Times New Roman"/>
                <w:color w:val="000000"/>
                <w:szCs w:val="24"/>
                <w:vertAlign w:val="superscript"/>
              </w:rPr>
              <w:t>3</w:t>
            </w:r>
            <w:r>
              <w:rPr>
                <w:rFonts w:cs="Times New Roman"/>
                <w:color w:val="000000"/>
                <w:szCs w:val="24"/>
              </w:rPr>
              <w:t>/a。项目生活污水经三级化粪池预处理达到广东省《水污染物排放限值》(DB44/26-2001)第二时段三级标准</w:t>
            </w:r>
            <w:r>
              <w:rPr>
                <w:rFonts w:cs="Times New Roman"/>
                <w:bCs/>
                <w:color w:val="000000"/>
              </w:rPr>
              <w:t>和《污水排入城镇下水道水质标准》（GB/T31962-2015）一级</w:t>
            </w:r>
            <w:r>
              <w:rPr>
                <w:rFonts w:hint="eastAsia" w:cs="Times New Roman"/>
                <w:bCs/>
                <w:color w:val="000000"/>
              </w:rPr>
              <w:t>B</w:t>
            </w:r>
            <w:r>
              <w:rPr>
                <w:rFonts w:cs="Times New Roman"/>
                <w:bCs/>
                <w:color w:val="000000"/>
              </w:rPr>
              <w:t>标准</w:t>
            </w:r>
            <w:r>
              <w:rPr>
                <w:rFonts w:cs="Times New Roman"/>
                <w:color w:val="000000"/>
                <w:szCs w:val="24"/>
              </w:rPr>
              <w:t>后排入市政污水管网，最终纳入水口污水处理厂处理，处理达标后排入潭江。</w:t>
            </w:r>
          </w:p>
          <w:p>
            <w:pPr>
              <w:adjustRightInd w:val="0"/>
              <w:snapToGrid w:val="0"/>
              <w:ind w:firstLine="480"/>
              <w:rPr>
                <w:rFonts w:cs="Times New Roman"/>
                <w:color w:val="000000"/>
                <w:szCs w:val="24"/>
              </w:rPr>
            </w:pPr>
            <w:r>
              <w:rPr>
                <w:rFonts w:cs="Times New Roman"/>
                <w:color w:val="000000"/>
                <w:szCs w:val="24"/>
              </w:rPr>
              <w:t>类比同类型项目，水中主要污染物为COD</w:t>
            </w:r>
            <w:r>
              <w:rPr>
                <w:rFonts w:cs="Times New Roman"/>
                <w:color w:val="000000"/>
                <w:szCs w:val="24"/>
                <w:vertAlign w:val="subscript"/>
              </w:rPr>
              <w:t>Cr</w:t>
            </w:r>
            <w:r>
              <w:rPr>
                <w:rFonts w:cs="Times New Roman"/>
                <w:color w:val="000000"/>
                <w:szCs w:val="24"/>
              </w:rPr>
              <w:t>、BOD</w:t>
            </w:r>
            <w:r>
              <w:rPr>
                <w:rFonts w:cs="Times New Roman"/>
                <w:color w:val="000000"/>
                <w:szCs w:val="24"/>
                <w:vertAlign w:val="subscript"/>
              </w:rPr>
              <w:t>5</w:t>
            </w:r>
            <w:r>
              <w:rPr>
                <w:rFonts w:cs="Times New Roman"/>
                <w:color w:val="000000"/>
                <w:szCs w:val="24"/>
              </w:rPr>
              <w:t>、SS、NH</w:t>
            </w:r>
            <w:r>
              <w:rPr>
                <w:rFonts w:cs="Times New Roman"/>
                <w:color w:val="000000"/>
                <w:szCs w:val="24"/>
                <w:vertAlign w:val="subscript"/>
              </w:rPr>
              <w:t>3</w:t>
            </w:r>
            <w:r>
              <w:rPr>
                <w:rFonts w:cs="Times New Roman"/>
                <w:color w:val="000000"/>
                <w:szCs w:val="24"/>
              </w:rPr>
              <w:t>-N浓度分别为300mg/L、180mg/L、200mg/L、35mg/L，25mg/L。生活污水经化粪池和净化池处理后，污染物浓度分别为COD</w:t>
            </w:r>
            <w:r>
              <w:rPr>
                <w:rFonts w:cs="Times New Roman"/>
                <w:color w:val="000000"/>
                <w:szCs w:val="24"/>
                <w:vertAlign w:val="subscript"/>
              </w:rPr>
              <w:t>Cr</w:t>
            </w:r>
            <w:r>
              <w:rPr>
                <w:rFonts w:cs="Times New Roman"/>
                <w:color w:val="000000"/>
                <w:szCs w:val="24"/>
              </w:rPr>
              <w:t>250mg/L、BOD</w:t>
            </w:r>
            <w:r>
              <w:rPr>
                <w:rFonts w:cs="Times New Roman"/>
                <w:color w:val="000000"/>
                <w:szCs w:val="24"/>
                <w:vertAlign w:val="subscript"/>
              </w:rPr>
              <w:t>5</w:t>
            </w:r>
            <w:r>
              <w:rPr>
                <w:rFonts w:cs="Times New Roman"/>
                <w:color w:val="000000"/>
                <w:szCs w:val="24"/>
              </w:rPr>
              <w:t xml:space="preserve"> 160mg/L、SS 140mg/L，NH</w:t>
            </w:r>
            <w:r>
              <w:rPr>
                <w:rFonts w:cs="Times New Roman"/>
                <w:color w:val="000000"/>
                <w:szCs w:val="24"/>
                <w:vertAlign w:val="subscript"/>
              </w:rPr>
              <w:t>3</w:t>
            </w:r>
            <w:r>
              <w:rPr>
                <w:rFonts w:cs="Times New Roman"/>
                <w:color w:val="000000"/>
                <w:szCs w:val="24"/>
              </w:rPr>
              <w:t>-N 32mg/L。</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表5-4 运营期生活污水主要污染物浓度及排放情况一览表</w:t>
            </w:r>
          </w:p>
          <w:tbl>
            <w:tblPr>
              <w:tblStyle w:val="44"/>
              <w:tblW w:w="87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2144"/>
              <w:gridCol w:w="1320"/>
              <w:gridCol w:w="1320"/>
              <w:gridCol w:w="1320"/>
              <w:gridCol w:w="13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06" w:type="dxa"/>
                  <w:vAlign w:val="center"/>
                </w:tcPr>
                <w:p>
                  <w:pPr>
                    <w:pStyle w:val="45"/>
                    <w:rPr>
                      <w:kern w:val="0"/>
                      <w:szCs w:val="20"/>
                    </w:rPr>
                  </w:pPr>
                  <w:r>
                    <w:rPr>
                      <w:kern w:val="0"/>
                      <w:szCs w:val="20"/>
                    </w:rPr>
                    <w:t>废水量</w:t>
                  </w:r>
                </w:p>
              </w:tc>
              <w:tc>
                <w:tcPr>
                  <w:tcW w:w="2143" w:type="dxa"/>
                  <w:vAlign w:val="center"/>
                </w:tcPr>
                <w:p>
                  <w:pPr>
                    <w:pStyle w:val="45"/>
                    <w:rPr>
                      <w:kern w:val="0"/>
                      <w:szCs w:val="20"/>
                    </w:rPr>
                  </w:pPr>
                  <w:r>
                    <w:rPr>
                      <w:kern w:val="0"/>
                      <w:szCs w:val="20"/>
                    </w:rPr>
                    <w:t>污染物</w:t>
                  </w:r>
                </w:p>
              </w:tc>
              <w:tc>
                <w:tcPr>
                  <w:tcW w:w="1320" w:type="dxa"/>
                  <w:vAlign w:val="center"/>
                </w:tcPr>
                <w:p>
                  <w:pPr>
                    <w:pStyle w:val="45"/>
                    <w:rPr>
                      <w:kern w:val="0"/>
                      <w:szCs w:val="20"/>
                    </w:rPr>
                  </w:pPr>
                  <w:r>
                    <w:rPr>
                      <w:kern w:val="0"/>
                      <w:szCs w:val="20"/>
                    </w:rPr>
                    <w:t>COD</w:t>
                  </w:r>
                  <w:r>
                    <w:rPr>
                      <w:kern w:val="0"/>
                      <w:szCs w:val="20"/>
                      <w:vertAlign w:val="subscript"/>
                    </w:rPr>
                    <w:t>Cr</w:t>
                  </w:r>
                </w:p>
              </w:tc>
              <w:tc>
                <w:tcPr>
                  <w:tcW w:w="1320" w:type="dxa"/>
                  <w:vAlign w:val="center"/>
                </w:tcPr>
                <w:p>
                  <w:pPr>
                    <w:pStyle w:val="45"/>
                    <w:rPr>
                      <w:kern w:val="0"/>
                      <w:szCs w:val="20"/>
                    </w:rPr>
                  </w:pPr>
                  <w:r>
                    <w:rPr>
                      <w:kern w:val="0"/>
                      <w:szCs w:val="20"/>
                    </w:rPr>
                    <w:t>BOD</w:t>
                  </w:r>
                  <w:r>
                    <w:rPr>
                      <w:kern w:val="0"/>
                      <w:szCs w:val="20"/>
                      <w:vertAlign w:val="subscript"/>
                    </w:rPr>
                    <w:t>5</w:t>
                  </w:r>
                </w:p>
              </w:tc>
              <w:tc>
                <w:tcPr>
                  <w:tcW w:w="1320" w:type="dxa"/>
                  <w:vAlign w:val="center"/>
                </w:tcPr>
                <w:p>
                  <w:pPr>
                    <w:pStyle w:val="45"/>
                    <w:rPr>
                      <w:kern w:val="0"/>
                      <w:szCs w:val="20"/>
                    </w:rPr>
                  </w:pPr>
                  <w:r>
                    <w:rPr>
                      <w:kern w:val="0"/>
                      <w:szCs w:val="20"/>
                    </w:rPr>
                    <w:t>SS</w:t>
                  </w:r>
                </w:p>
              </w:tc>
              <w:tc>
                <w:tcPr>
                  <w:tcW w:w="1320" w:type="dxa"/>
                  <w:vAlign w:val="center"/>
                </w:tcPr>
                <w:p>
                  <w:pPr>
                    <w:pStyle w:val="45"/>
                    <w:rPr>
                      <w:kern w:val="0"/>
                      <w:szCs w:val="20"/>
                    </w:rPr>
                  </w:pPr>
                  <w:r>
                    <w:rPr>
                      <w:kern w:val="0"/>
                      <w:szCs w:val="20"/>
                    </w:rPr>
                    <w:t>氨氮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06" w:type="dxa"/>
                  <w:vMerge w:val="restart"/>
                  <w:vAlign w:val="center"/>
                </w:tcPr>
                <w:p>
                  <w:pPr>
                    <w:pStyle w:val="45"/>
                    <w:rPr>
                      <w:kern w:val="0"/>
                      <w:szCs w:val="20"/>
                    </w:rPr>
                  </w:pPr>
                  <w:r>
                    <w:rPr>
                      <w:kern w:val="0"/>
                      <w:szCs w:val="20"/>
                    </w:rPr>
                    <w:t>133.92m</w:t>
                  </w:r>
                  <w:r>
                    <w:rPr>
                      <w:kern w:val="0"/>
                      <w:szCs w:val="20"/>
                      <w:vertAlign w:val="superscript"/>
                    </w:rPr>
                    <w:t>3</w:t>
                  </w:r>
                  <w:r>
                    <w:rPr>
                      <w:kern w:val="0"/>
                      <w:szCs w:val="20"/>
                    </w:rPr>
                    <w:t>/a</w:t>
                  </w:r>
                </w:p>
              </w:tc>
              <w:tc>
                <w:tcPr>
                  <w:tcW w:w="2143" w:type="dxa"/>
                  <w:vAlign w:val="center"/>
                </w:tcPr>
                <w:p>
                  <w:pPr>
                    <w:pStyle w:val="45"/>
                    <w:rPr>
                      <w:kern w:val="0"/>
                      <w:szCs w:val="20"/>
                    </w:rPr>
                  </w:pPr>
                  <w:r>
                    <w:rPr>
                      <w:kern w:val="0"/>
                      <w:szCs w:val="20"/>
                    </w:rPr>
                    <w:t>产生浓度（mg/L）</w:t>
                  </w:r>
                </w:p>
              </w:tc>
              <w:tc>
                <w:tcPr>
                  <w:tcW w:w="1320" w:type="dxa"/>
                  <w:vAlign w:val="center"/>
                </w:tcPr>
                <w:p>
                  <w:pPr>
                    <w:pStyle w:val="45"/>
                    <w:rPr>
                      <w:kern w:val="0"/>
                      <w:szCs w:val="20"/>
                    </w:rPr>
                  </w:pPr>
                  <w:r>
                    <w:rPr>
                      <w:kern w:val="0"/>
                      <w:szCs w:val="20"/>
                    </w:rPr>
                    <w:t>300</w:t>
                  </w:r>
                </w:p>
              </w:tc>
              <w:tc>
                <w:tcPr>
                  <w:tcW w:w="1320" w:type="dxa"/>
                  <w:vAlign w:val="center"/>
                </w:tcPr>
                <w:p>
                  <w:pPr>
                    <w:pStyle w:val="45"/>
                    <w:rPr>
                      <w:kern w:val="0"/>
                      <w:szCs w:val="20"/>
                    </w:rPr>
                  </w:pPr>
                  <w:r>
                    <w:rPr>
                      <w:kern w:val="0"/>
                      <w:szCs w:val="20"/>
                    </w:rPr>
                    <w:t>180</w:t>
                  </w:r>
                </w:p>
              </w:tc>
              <w:tc>
                <w:tcPr>
                  <w:tcW w:w="1320" w:type="dxa"/>
                  <w:vAlign w:val="center"/>
                </w:tcPr>
                <w:p>
                  <w:pPr>
                    <w:pStyle w:val="45"/>
                    <w:rPr>
                      <w:kern w:val="0"/>
                      <w:szCs w:val="20"/>
                    </w:rPr>
                  </w:pPr>
                  <w:r>
                    <w:rPr>
                      <w:kern w:val="0"/>
                      <w:szCs w:val="20"/>
                    </w:rPr>
                    <w:t>200</w:t>
                  </w:r>
                </w:p>
              </w:tc>
              <w:tc>
                <w:tcPr>
                  <w:tcW w:w="1320" w:type="dxa"/>
                  <w:vAlign w:val="center"/>
                </w:tcPr>
                <w:p>
                  <w:pPr>
                    <w:pStyle w:val="45"/>
                    <w:rPr>
                      <w:kern w:val="0"/>
                      <w:szCs w:val="20"/>
                    </w:rPr>
                  </w:pPr>
                  <w:r>
                    <w:rPr>
                      <w:kern w:val="0"/>
                      <w:szCs w:val="20"/>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06" w:type="dxa"/>
                  <w:vMerge w:val="continue"/>
                  <w:vAlign w:val="center"/>
                </w:tcPr>
                <w:p>
                  <w:pPr>
                    <w:pStyle w:val="45"/>
                    <w:rPr>
                      <w:kern w:val="0"/>
                      <w:szCs w:val="20"/>
                    </w:rPr>
                  </w:pPr>
                </w:p>
              </w:tc>
              <w:tc>
                <w:tcPr>
                  <w:tcW w:w="2143" w:type="dxa"/>
                  <w:vAlign w:val="center"/>
                </w:tcPr>
                <w:p>
                  <w:pPr>
                    <w:pStyle w:val="45"/>
                    <w:rPr>
                      <w:kern w:val="0"/>
                      <w:szCs w:val="20"/>
                    </w:rPr>
                  </w:pPr>
                  <w:r>
                    <w:rPr>
                      <w:kern w:val="0"/>
                      <w:szCs w:val="20"/>
                    </w:rPr>
                    <w:t>产生量（t/a）</w:t>
                  </w:r>
                </w:p>
              </w:tc>
              <w:tc>
                <w:tcPr>
                  <w:tcW w:w="1320" w:type="dxa"/>
                  <w:vAlign w:val="center"/>
                </w:tcPr>
                <w:p>
                  <w:pPr>
                    <w:pStyle w:val="45"/>
                    <w:rPr>
                      <w:kern w:val="0"/>
                      <w:szCs w:val="20"/>
                    </w:rPr>
                  </w:pPr>
                  <w:r>
                    <w:rPr>
                      <w:kern w:val="0"/>
                      <w:szCs w:val="20"/>
                    </w:rPr>
                    <w:t>0.0402</w:t>
                  </w:r>
                </w:p>
              </w:tc>
              <w:tc>
                <w:tcPr>
                  <w:tcW w:w="1320" w:type="dxa"/>
                  <w:vAlign w:val="center"/>
                </w:tcPr>
                <w:p>
                  <w:pPr>
                    <w:pStyle w:val="45"/>
                    <w:rPr>
                      <w:kern w:val="0"/>
                      <w:szCs w:val="20"/>
                    </w:rPr>
                  </w:pPr>
                  <w:r>
                    <w:rPr>
                      <w:kern w:val="0"/>
                      <w:szCs w:val="20"/>
                    </w:rPr>
                    <w:t>0.0241</w:t>
                  </w:r>
                </w:p>
              </w:tc>
              <w:tc>
                <w:tcPr>
                  <w:tcW w:w="1320" w:type="dxa"/>
                  <w:vAlign w:val="center"/>
                </w:tcPr>
                <w:p>
                  <w:pPr>
                    <w:pStyle w:val="45"/>
                    <w:rPr>
                      <w:kern w:val="0"/>
                      <w:szCs w:val="20"/>
                    </w:rPr>
                  </w:pPr>
                  <w:r>
                    <w:rPr>
                      <w:kern w:val="0"/>
                      <w:szCs w:val="20"/>
                    </w:rPr>
                    <w:t>0.0268</w:t>
                  </w:r>
                </w:p>
              </w:tc>
              <w:tc>
                <w:tcPr>
                  <w:tcW w:w="1320" w:type="dxa"/>
                  <w:vAlign w:val="center"/>
                </w:tcPr>
                <w:p>
                  <w:pPr>
                    <w:pStyle w:val="45"/>
                    <w:rPr>
                      <w:kern w:val="0"/>
                      <w:szCs w:val="20"/>
                    </w:rPr>
                  </w:pPr>
                  <w:r>
                    <w:rPr>
                      <w:kern w:val="0"/>
                      <w:szCs w:val="20"/>
                    </w:rPr>
                    <w:t>0.0047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06" w:type="dxa"/>
                  <w:vMerge w:val="continue"/>
                  <w:vAlign w:val="center"/>
                </w:tcPr>
                <w:p>
                  <w:pPr>
                    <w:pStyle w:val="45"/>
                    <w:rPr>
                      <w:kern w:val="0"/>
                      <w:szCs w:val="20"/>
                    </w:rPr>
                  </w:pPr>
                </w:p>
              </w:tc>
              <w:tc>
                <w:tcPr>
                  <w:tcW w:w="2143" w:type="dxa"/>
                  <w:vAlign w:val="center"/>
                </w:tcPr>
                <w:p>
                  <w:pPr>
                    <w:pStyle w:val="45"/>
                    <w:rPr>
                      <w:kern w:val="0"/>
                      <w:szCs w:val="20"/>
                    </w:rPr>
                  </w:pPr>
                  <w:r>
                    <w:rPr>
                      <w:kern w:val="0"/>
                      <w:szCs w:val="20"/>
                    </w:rPr>
                    <w:t>排放浓度（mg/L）</w:t>
                  </w:r>
                </w:p>
              </w:tc>
              <w:tc>
                <w:tcPr>
                  <w:tcW w:w="1320" w:type="dxa"/>
                  <w:vAlign w:val="center"/>
                </w:tcPr>
                <w:p>
                  <w:pPr>
                    <w:pStyle w:val="45"/>
                    <w:rPr>
                      <w:kern w:val="0"/>
                      <w:szCs w:val="20"/>
                    </w:rPr>
                  </w:pPr>
                  <w:r>
                    <w:rPr>
                      <w:kern w:val="0"/>
                      <w:szCs w:val="20"/>
                    </w:rPr>
                    <w:t>250</w:t>
                  </w:r>
                </w:p>
              </w:tc>
              <w:tc>
                <w:tcPr>
                  <w:tcW w:w="1320" w:type="dxa"/>
                  <w:vAlign w:val="center"/>
                </w:tcPr>
                <w:p>
                  <w:pPr>
                    <w:pStyle w:val="45"/>
                    <w:rPr>
                      <w:kern w:val="0"/>
                      <w:szCs w:val="20"/>
                    </w:rPr>
                  </w:pPr>
                  <w:r>
                    <w:rPr>
                      <w:kern w:val="0"/>
                      <w:szCs w:val="20"/>
                    </w:rPr>
                    <w:t>160</w:t>
                  </w:r>
                </w:p>
              </w:tc>
              <w:tc>
                <w:tcPr>
                  <w:tcW w:w="1320" w:type="dxa"/>
                  <w:vAlign w:val="center"/>
                </w:tcPr>
                <w:p>
                  <w:pPr>
                    <w:pStyle w:val="45"/>
                    <w:rPr>
                      <w:kern w:val="0"/>
                      <w:szCs w:val="20"/>
                    </w:rPr>
                  </w:pPr>
                  <w:r>
                    <w:rPr>
                      <w:kern w:val="0"/>
                      <w:szCs w:val="20"/>
                    </w:rPr>
                    <w:t>140</w:t>
                  </w:r>
                </w:p>
              </w:tc>
              <w:tc>
                <w:tcPr>
                  <w:tcW w:w="1320" w:type="dxa"/>
                  <w:vAlign w:val="center"/>
                </w:tcPr>
                <w:p>
                  <w:pPr>
                    <w:pStyle w:val="45"/>
                    <w:rPr>
                      <w:kern w:val="0"/>
                      <w:szCs w:val="20"/>
                    </w:rPr>
                  </w:pPr>
                  <w:r>
                    <w:rPr>
                      <w:kern w:val="0"/>
                      <w:szCs w:val="20"/>
                    </w:rPr>
                    <w:t>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1306" w:type="dxa"/>
                  <w:vMerge w:val="continue"/>
                  <w:vAlign w:val="center"/>
                </w:tcPr>
                <w:p>
                  <w:pPr>
                    <w:pStyle w:val="45"/>
                    <w:rPr>
                      <w:kern w:val="0"/>
                      <w:szCs w:val="20"/>
                    </w:rPr>
                  </w:pPr>
                </w:p>
              </w:tc>
              <w:tc>
                <w:tcPr>
                  <w:tcW w:w="2143" w:type="dxa"/>
                  <w:vAlign w:val="center"/>
                </w:tcPr>
                <w:p>
                  <w:pPr>
                    <w:pStyle w:val="45"/>
                    <w:rPr>
                      <w:kern w:val="0"/>
                      <w:szCs w:val="20"/>
                    </w:rPr>
                  </w:pPr>
                  <w:r>
                    <w:rPr>
                      <w:kern w:val="0"/>
                      <w:szCs w:val="20"/>
                    </w:rPr>
                    <w:t>排放量（t/a）</w:t>
                  </w:r>
                </w:p>
              </w:tc>
              <w:tc>
                <w:tcPr>
                  <w:tcW w:w="1320" w:type="dxa"/>
                  <w:vAlign w:val="center"/>
                </w:tcPr>
                <w:p>
                  <w:pPr>
                    <w:pStyle w:val="45"/>
                    <w:rPr>
                      <w:kern w:val="0"/>
                      <w:szCs w:val="20"/>
                    </w:rPr>
                  </w:pPr>
                  <w:r>
                    <w:rPr>
                      <w:kern w:val="0"/>
                      <w:szCs w:val="20"/>
                    </w:rPr>
                    <w:t>0.0335</w:t>
                  </w:r>
                </w:p>
              </w:tc>
              <w:tc>
                <w:tcPr>
                  <w:tcW w:w="1320" w:type="dxa"/>
                  <w:vAlign w:val="center"/>
                </w:tcPr>
                <w:p>
                  <w:pPr>
                    <w:pStyle w:val="45"/>
                    <w:rPr>
                      <w:kern w:val="0"/>
                      <w:szCs w:val="20"/>
                    </w:rPr>
                  </w:pPr>
                  <w:r>
                    <w:rPr>
                      <w:kern w:val="0"/>
                      <w:szCs w:val="20"/>
                    </w:rPr>
                    <w:t>0.0214</w:t>
                  </w:r>
                </w:p>
              </w:tc>
              <w:tc>
                <w:tcPr>
                  <w:tcW w:w="1320" w:type="dxa"/>
                  <w:vAlign w:val="center"/>
                </w:tcPr>
                <w:p>
                  <w:pPr>
                    <w:pStyle w:val="45"/>
                    <w:rPr>
                      <w:kern w:val="0"/>
                      <w:szCs w:val="20"/>
                    </w:rPr>
                  </w:pPr>
                  <w:r>
                    <w:rPr>
                      <w:kern w:val="0"/>
                      <w:szCs w:val="20"/>
                    </w:rPr>
                    <w:t>0.0187</w:t>
                  </w:r>
                </w:p>
              </w:tc>
              <w:tc>
                <w:tcPr>
                  <w:tcW w:w="1320" w:type="dxa"/>
                  <w:vAlign w:val="center"/>
                </w:tcPr>
                <w:p>
                  <w:pPr>
                    <w:pStyle w:val="45"/>
                    <w:rPr>
                      <w:kern w:val="0"/>
                      <w:szCs w:val="20"/>
                    </w:rPr>
                  </w:pPr>
                  <w:r>
                    <w:rPr>
                      <w:kern w:val="0"/>
                      <w:szCs w:val="20"/>
                    </w:rPr>
                    <w:t>0.0043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3450" w:type="dxa"/>
                  <w:gridSpan w:val="2"/>
                  <w:vAlign w:val="center"/>
                </w:tcPr>
                <w:p>
                  <w:pPr>
                    <w:pStyle w:val="45"/>
                    <w:rPr>
                      <w:kern w:val="0"/>
                      <w:szCs w:val="20"/>
                    </w:rPr>
                  </w:pPr>
                  <w:r>
                    <w:rPr>
                      <w:kern w:val="0"/>
                      <w:szCs w:val="20"/>
                    </w:rPr>
                    <w:t>厂区预处理执行标准（mg/L）</w:t>
                  </w:r>
                </w:p>
              </w:tc>
              <w:tc>
                <w:tcPr>
                  <w:tcW w:w="1320" w:type="dxa"/>
                  <w:vAlign w:val="center"/>
                </w:tcPr>
                <w:p>
                  <w:pPr>
                    <w:pStyle w:val="45"/>
                    <w:rPr>
                      <w:kern w:val="0"/>
                      <w:szCs w:val="20"/>
                    </w:rPr>
                  </w:pPr>
                  <w:r>
                    <w:rPr>
                      <w:kern w:val="0"/>
                      <w:szCs w:val="20"/>
                    </w:rPr>
                    <w:t>500</w:t>
                  </w:r>
                </w:p>
              </w:tc>
              <w:tc>
                <w:tcPr>
                  <w:tcW w:w="1320" w:type="dxa"/>
                  <w:vAlign w:val="center"/>
                </w:tcPr>
                <w:p>
                  <w:pPr>
                    <w:pStyle w:val="45"/>
                    <w:rPr>
                      <w:kern w:val="0"/>
                      <w:szCs w:val="20"/>
                    </w:rPr>
                  </w:pPr>
                  <w:r>
                    <w:rPr>
                      <w:kern w:val="0"/>
                      <w:szCs w:val="20"/>
                    </w:rPr>
                    <w:t>300</w:t>
                  </w:r>
                </w:p>
              </w:tc>
              <w:tc>
                <w:tcPr>
                  <w:tcW w:w="1320" w:type="dxa"/>
                  <w:vAlign w:val="center"/>
                </w:tcPr>
                <w:p>
                  <w:pPr>
                    <w:pStyle w:val="45"/>
                    <w:rPr>
                      <w:kern w:val="0"/>
                      <w:szCs w:val="20"/>
                    </w:rPr>
                  </w:pPr>
                  <w:r>
                    <w:rPr>
                      <w:kern w:val="0"/>
                      <w:szCs w:val="20"/>
                    </w:rPr>
                    <w:t>400</w:t>
                  </w:r>
                </w:p>
              </w:tc>
              <w:tc>
                <w:tcPr>
                  <w:tcW w:w="1320" w:type="dxa"/>
                  <w:vAlign w:val="center"/>
                </w:tcPr>
                <w:p>
                  <w:pPr>
                    <w:pStyle w:val="45"/>
                    <w:rPr>
                      <w:kern w:val="0"/>
                      <w:szCs w:val="20"/>
                    </w:rPr>
                  </w:pPr>
                  <w:r>
                    <w:rPr>
                      <w:kern w:val="0"/>
                      <w:szCs w:val="20"/>
                    </w:rPr>
                    <w:t>45</w:t>
                  </w:r>
                </w:p>
              </w:tc>
            </w:tr>
          </w:tbl>
          <w:p>
            <w:pPr>
              <w:adjustRightInd w:val="0"/>
              <w:snapToGrid w:val="0"/>
              <w:ind w:firstLine="480"/>
              <w:rPr>
                <w:rFonts w:cs="Times New Roman"/>
                <w:color w:val="000000"/>
              </w:rPr>
            </w:pPr>
            <w:r>
              <w:rPr>
                <w:rFonts w:cs="Times New Roman"/>
                <w:color w:val="000000"/>
              </w:rPr>
              <w:t>（2）喷淋塔用水：项目对抛光废气、</w:t>
            </w:r>
            <w:r>
              <w:rPr>
                <w:rFonts w:hint="eastAsia" w:cs="Times New Roman"/>
                <w:color w:val="000000"/>
              </w:rPr>
              <w:t>热冲</w:t>
            </w:r>
            <w:r>
              <w:rPr>
                <w:rFonts w:cs="Times New Roman"/>
                <w:color w:val="000000"/>
              </w:rPr>
              <w:t>油烟使用水喷淋塔进行治理，</w:t>
            </w:r>
            <w:r>
              <w:rPr>
                <w:rFonts w:hint="eastAsia" w:cs="Times New Roman"/>
                <w:color w:val="000000"/>
              </w:rPr>
              <w:t>水</w:t>
            </w:r>
            <w:r>
              <w:rPr>
                <w:rFonts w:cs="Times New Roman"/>
                <w:color w:val="000000"/>
              </w:rPr>
              <w:t>喷淋</w:t>
            </w:r>
            <w:r>
              <w:rPr>
                <w:rFonts w:hint="eastAsia" w:cs="Times New Roman"/>
                <w:color w:val="000000"/>
              </w:rPr>
              <w:t>系统A</w:t>
            </w:r>
            <w:r>
              <w:rPr>
                <w:rFonts w:cs="Times New Roman"/>
                <w:color w:val="000000"/>
              </w:rPr>
              <w:t>用水</w:t>
            </w:r>
            <w:r>
              <w:rPr>
                <w:rFonts w:hint="eastAsia" w:cs="Times New Roman"/>
                <w:color w:val="000000"/>
              </w:rPr>
              <w:t>经排出和浮油打捞后循环使用，</w:t>
            </w:r>
            <w:r>
              <w:rPr>
                <w:rFonts w:cs="Times New Roman"/>
                <w:color w:val="000000"/>
              </w:rPr>
              <w:t>B</w:t>
            </w:r>
            <w:r>
              <w:rPr>
                <w:rFonts w:hint="eastAsia" w:cs="Times New Roman"/>
                <w:color w:val="000000"/>
              </w:rPr>
              <w:t>、</w:t>
            </w:r>
            <w:r>
              <w:rPr>
                <w:rFonts w:cs="Times New Roman"/>
                <w:color w:val="000000"/>
              </w:rPr>
              <w:t>C</w:t>
            </w:r>
            <w:r>
              <w:rPr>
                <w:rFonts w:hint="eastAsia" w:cs="Times New Roman"/>
                <w:color w:val="000000"/>
              </w:rPr>
              <w:t>、</w:t>
            </w:r>
            <w:r>
              <w:rPr>
                <w:rFonts w:cs="Times New Roman"/>
                <w:color w:val="000000"/>
              </w:rPr>
              <w:t>D</w:t>
            </w:r>
            <w:r>
              <w:rPr>
                <w:rFonts w:hint="eastAsia" w:cs="Times New Roman"/>
                <w:color w:val="000000"/>
              </w:rPr>
              <w:t>、</w:t>
            </w:r>
            <w:r>
              <w:rPr>
                <w:rFonts w:cs="Times New Roman"/>
                <w:color w:val="000000"/>
              </w:rPr>
              <w:t>E</w:t>
            </w:r>
            <w:r>
              <w:rPr>
                <w:rFonts w:hint="eastAsia" w:cs="Times New Roman"/>
                <w:color w:val="000000"/>
              </w:rPr>
              <w:t>喷淋系统用水</w:t>
            </w:r>
            <w:r>
              <w:rPr>
                <w:rFonts w:cs="Times New Roman"/>
                <w:color w:val="000000"/>
              </w:rPr>
              <w:t>仅在喷淋塔内循环使用，不外排，同时由于循环过程中少量的水因受热等因素损失，需定期补充，</w:t>
            </w:r>
            <w:r>
              <w:rPr>
                <w:rFonts w:cs="Times New Roman"/>
              </w:rPr>
              <w:t>补充水量约为20t/a</w:t>
            </w:r>
            <w:r>
              <w:rPr>
                <w:rFonts w:cs="Times New Roman"/>
                <w:color w:val="000000"/>
              </w:rPr>
              <w:t>。</w:t>
            </w:r>
          </w:p>
          <w:p>
            <w:pPr>
              <w:keepNext/>
              <w:keepLines/>
              <w:ind w:firstLine="0" w:firstLineChars="0"/>
              <w:outlineLvl w:val="3"/>
              <w:rPr>
                <w:rFonts w:cs="Times New Roman"/>
                <w:b/>
                <w:bCs/>
                <w:szCs w:val="28"/>
                <w:lang w:val="zh-CN"/>
              </w:rPr>
            </w:pPr>
            <w:r>
              <w:rPr>
                <w:rFonts w:cs="Times New Roman"/>
                <w:b/>
                <w:bCs/>
                <w:szCs w:val="28"/>
                <w:lang w:val="zh-CN"/>
              </w:rPr>
              <w:t>5.2.2.3噪声污染源</w:t>
            </w:r>
          </w:p>
          <w:p>
            <w:pPr>
              <w:adjustRightInd w:val="0"/>
              <w:snapToGrid w:val="0"/>
              <w:ind w:firstLine="480"/>
              <w:rPr>
                <w:rFonts w:cs="Times New Roman"/>
                <w:color w:val="000000"/>
              </w:rPr>
            </w:pPr>
            <w:r>
              <w:rPr>
                <w:rFonts w:cs="Times New Roman"/>
                <w:color w:val="000000"/>
              </w:rPr>
              <w:t>项目噪声主要为机械设备运行产生的噪声，各机器设备运行时产生的噪声值约为60～</w:t>
            </w:r>
            <w:r>
              <w:rPr>
                <w:rFonts w:hint="eastAsia" w:cs="Times New Roman"/>
                <w:color w:val="000000"/>
              </w:rPr>
              <w:t>85</w:t>
            </w:r>
            <w:r>
              <w:rPr>
                <w:rFonts w:cs="Times New Roman"/>
                <w:color w:val="000000"/>
              </w:rPr>
              <w:t>dB（A），其噪声级详见下表。经厂房隔声、基础减震进行降噪，各噪声源情况统计及治理后噪声排放低于65dB。</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表5-5 运营期主要噪声污染源一览表</w:t>
            </w:r>
          </w:p>
          <w:tbl>
            <w:tblPr>
              <w:tblStyle w:val="44"/>
              <w:tblW w:w="906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68"/>
              <w:gridCol w:w="2268"/>
              <w:gridCol w:w="2268"/>
              <w:gridCol w:w="22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序号</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声源名称</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数量</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声源强度dB(A)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数控车床</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5</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2</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冲床</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2</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80-85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3</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滚砂机</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1</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70-80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4</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钻床</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5</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70-</w:t>
                  </w:r>
                  <w:r>
                    <w:rPr>
                      <w:rFonts w:hint="eastAsia" w:cs="Times New Roman"/>
                      <w:color w:val="000000"/>
                      <w:kern w:val="0"/>
                      <w:sz w:val="21"/>
                      <w:szCs w:val="20"/>
                      <w:lang w:val="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5</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开料机</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80-85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6</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空压机</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60-65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试水机</w:t>
                  </w:r>
                </w:p>
              </w:tc>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60-75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8</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普通车床</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1</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26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9</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抛光机</w:t>
                  </w:r>
                </w:p>
              </w:tc>
              <w:tc>
                <w:tcPr>
                  <w:tcW w:w="2268" w:type="dxa"/>
                  <w:vAlign w:val="center"/>
                </w:tcPr>
                <w:p>
                  <w:pPr>
                    <w:adjustRightInd w:val="0"/>
                    <w:snapToGrid w:val="0"/>
                    <w:spacing w:line="240" w:lineRule="auto"/>
                    <w:ind w:firstLine="0" w:firstLineChars="0"/>
                    <w:rPr>
                      <w:rFonts w:cs="Times New Roman"/>
                      <w:bCs/>
                      <w:color w:val="000000"/>
                      <w:kern w:val="0"/>
                      <w:sz w:val="21"/>
                      <w:szCs w:val="20"/>
                      <w:lang w:val="zh-CN"/>
                    </w:rPr>
                  </w:pPr>
                  <w:r>
                    <w:rPr>
                      <w:rFonts w:cs="Times New Roman"/>
                      <w:bCs/>
                      <w:color w:val="000000"/>
                      <w:kern w:val="0"/>
                      <w:sz w:val="21"/>
                      <w:szCs w:val="20"/>
                      <w:lang w:val="zh-CN"/>
                    </w:rPr>
                    <w:t>25</w:t>
                  </w:r>
                </w:p>
              </w:tc>
              <w:tc>
                <w:tcPr>
                  <w:tcW w:w="226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75-85</w:t>
                  </w:r>
                </w:p>
              </w:tc>
            </w:tr>
          </w:tbl>
          <w:p>
            <w:pPr>
              <w:keepNext/>
              <w:keepLines/>
              <w:ind w:firstLine="0" w:firstLineChars="0"/>
              <w:outlineLvl w:val="3"/>
              <w:rPr>
                <w:rFonts w:cs="Times New Roman"/>
                <w:b/>
                <w:bCs/>
                <w:szCs w:val="28"/>
                <w:lang w:val="zh-CN"/>
              </w:rPr>
            </w:pPr>
            <w:r>
              <w:rPr>
                <w:rFonts w:cs="Times New Roman"/>
                <w:b/>
                <w:bCs/>
                <w:szCs w:val="28"/>
                <w:lang w:val="zh-CN"/>
              </w:rPr>
              <w:t>5.2.2.4固体废物</w:t>
            </w:r>
          </w:p>
          <w:p>
            <w:pPr>
              <w:adjustRightInd w:val="0"/>
              <w:snapToGrid w:val="0"/>
              <w:ind w:firstLine="480"/>
              <w:rPr>
                <w:rFonts w:cs="Times New Roman"/>
                <w:color w:val="000000"/>
              </w:rPr>
            </w:pPr>
            <w:r>
              <w:rPr>
                <w:rFonts w:cs="Times New Roman"/>
                <w:color w:val="000000"/>
              </w:rPr>
              <w:t>项目固体废弃物来源包括机加工过程中产生的边角料；包装过程中产生的固废；喷淋塔打捞废渣；废</w:t>
            </w:r>
            <w:r>
              <w:rPr>
                <w:rFonts w:hint="eastAsia" w:cs="Times New Roman"/>
                <w:color w:val="000000"/>
              </w:rPr>
              <w:t>煤</w:t>
            </w:r>
            <w:r>
              <w:rPr>
                <w:rFonts w:cs="Times New Roman"/>
                <w:color w:val="000000"/>
              </w:rPr>
              <w:t>油包装桶</w:t>
            </w:r>
            <w:r>
              <w:rPr>
                <w:rFonts w:hint="eastAsia" w:cs="Times New Roman"/>
                <w:color w:val="000000"/>
              </w:rPr>
              <w:t>；含油抹布</w:t>
            </w:r>
            <w:r>
              <w:rPr>
                <w:rFonts w:cs="Times New Roman"/>
                <w:color w:val="000000"/>
              </w:rPr>
              <w:t>以及员工日常生活产生的生活垃圾等。</w:t>
            </w:r>
          </w:p>
          <w:p>
            <w:pPr>
              <w:adjustRightInd w:val="0"/>
              <w:snapToGrid w:val="0"/>
              <w:ind w:firstLine="480"/>
              <w:rPr>
                <w:rFonts w:cs="Times New Roman"/>
                <w:color w:val="000000"/>
              </w:rPr>
            </w:pPr>
            <w:r>
              <w:rPr>
                <w:rFonts w:cs="Times New Roman"/>
                <w:color w:val="000000"/>
              </w:rPr>
              <w:t>（1）边角料：本项目在机加工过程中产生金属碎屑：根据企业提供资料，产生的金属碎屑约为生产原料 0.1％，机加工原料为50t/a，则边角料产生量为 0.05t/a，收集后统一外售处理。</w:t>
            </w:r>
          </w:p>
          <w:p>
            <w:pPr>
              <w:adjustRightInd w:val="0"/>
              <w:snapToGrid w:val="0"/>
              <w:ind w:firstLine="480"/>
              <w:rPr>
                <w:rFonts w:cs="Times New Roman"/>
                <w:color w:val="000000"/>
              </w:rPr>
            </w:pPr>
            <w:r>
              <w:rPr>
                <w:rFonts w:cs="Times New Roman"/>
                <w:color w:val="000000"/>
              </w:rPr>
              <w:t>（2）废包装材料：项目包装过程中会有少量的废包装材料，产生量约0.35t/a，收集后统一外售处理。</w:t>
            </w:r>
          </w:p>
          <w:p>
            <w:pPr>
              <w:adjustRightInd w:val="0"/>
              <w:snapToGrid w:val="0"/>
              <w:ind w:firstLine="480"/>
              <w:rPr>
                <w:rFonts w:cs="Times New Roman"/>
                <w:color w:val="000000"/>
              </w:rPr>
            </w:pPr>
            <w:r>
              <w:rPr>
                <w:rFonts w:cs="Times New Roman"/>
                <w:color w:val="000000"/>
              </w:rPr>
              <w:t>（3）喷淋塔打捞渣：项目喷淋塔需要定期打捞废渣，进入喷淋塔底部废气为0.06982t/a，废渣产生量约为 0.15t/a，其中含水率为53.45%，打捞渣交由专业的回收公司回收处理。</w:t>
            </w:r>
          </w:p>
          <w:p>
            <w:pPr>
              <w:adjustRightInd w:val="0"/>
              <w:snapToGrid w:val="0"/>
              <w:ind w:firstLine="480"/>
              <w:rPr>
                <w:rFonts w:cs="Times New Roman"/>
                <w:color w:val="000000"/>
              </w:rPr>
            </w:pPr>
            <w:r>
              <w:rPr>
                <w:rFonts w:cs="Times New Roman"/>
                <w:color w:val="000000"/>
              </w:rPr>
              <w:t>（</w:t>
            </w:r>
            <w:r>
              <w:rPr>
                <w:rFonts w:hint="eastAsia" w:cs="Times New Roman"/>
                <w:color w:val="000000"/>
              </w:rPr>
              <w:t>4</w:t>
            </w:r>
            <w:r>
              <w:rPr>
                <w:rFonts w:cs="Times New Roman"/>
                <w:color w:val="000000"/>
              </w:rPr>
              <w:t>）生活垃圾：本项目员工12人不在厂内食宿，生活垃圾产生量按 0.5kg/人·d 计算，生活垃圾产生量为1.86t/a，由当地环卫部门负责清运处理。</w:t>
            </w:r>
          </w:p>
          <w:p>
            <w:pPr>
              <w:adjustRightInd w:val="0"/>
              <w:snapToGrid w:val="0"/>
              <w:ind w:firstLine="480"/>
              <w:rPr>
                <w:rFonts w:cs="Times New Roman"/>
                <w:color w:val="000000"/>
              </w:rPr>
            </w:pPr>
            <w:r>
              <w:rPr>
                <w:rFonts w:hint="eastAsia" w:cs="Times New Roman"/>
                <w:color w:val="000000"/>
              </w:rPr>
              <w:t>（5）废煤油包装桶：本项目煤油的规格为1</w:t>
            </w:r>
            <w:r>
              <w:rPr>
                <w:rFonts w:cs="Times New Roman"/>
                <w:color w:val="000000"/>
              </w:rPr>
              <w:t>00kg/</w:t>
            </w:r>
            <w:r>
              <w:rPr>
                <w:rFonts w:hint="eastAsia" w:cs="Times New Roman"/>
                <w:color w:val="000000"/>
              </w:rPr>
              <w:t>桶，煤油用完后会产生废包装桶，约5</w:t>
            </w:r>
            <w:r>
              <w:rPr>
                <w:rFonts w:cs="Times New Roman"/>
                <w:color w:val="000000"/>
              </w:rPr>
              <w:t>0kg/a</w:t>
            </w:r>
            <w:r>
              <w:rPr>
                <w:rFonts w:hint="eastAsia" w:cs="Times New Roman"/>
                <w:color w:val="000000"/>
              </w:rPr>
              <w:t>，根据《国家危险废物名录》（2016 版），废煤油包装桶属于危险废物，类别为HW49 其他废物，废物代码为900-0</w:t>
            </w:r>
            <w:r>
              <w:rPr>
                <w:rFonts w:cs="Times New Roman"/>
                <w:color w:val="000000"/>
              </w:rPr>
              <w:t>41</w:t>
            </w:r>
            <w:r>
              <w:rPr>
                <w:rFonts w:hint="eastAsia" w:cs="Times New Roman"/>
                <w:color w:val="000000"/>
              </w:rPr>
              <w:t>-49。废煤油包装桶需暂存于危废暂存间，定期交由有资质的危废公司处理。</w:t>
            </w:r>
          </w:p>
          <w:p>
            <w:pPr>
              <w:adjustRightInd w:val="0"/>
              <w:snapToGrid w:val="0"/>
              <w:ind w:firstLine="480"/>
              <w:rPr>
                <w:rFonts w:cs="Times New Roman"/>
                <w:color w:val="000000"/>
              </w:rPr>
            </w:pPr>
            <w:r>
              <w:rPr>
                <w:rFonts w:cs="Times New Roman"/>
                <w:color w:val="000000"/>
              </w:rPr>
              <w:t>（</w:t>
            </w:r>
            <w:r>
              <w:rPr>
                <w:rFonts w:hint="eastAsia" w:cs="Times New Roman"/>
                <w:color w:val="000000"/>
              </w:rPr>
              <w:t>6</w:t>
            </w:r>
            <w:r>
              <w:rPr>
                <w:rFonts w:cs="Times New Roman"/>
                <w:color w:val="000000"/>
              </w:rPr>
              <w:t>）</w:t>
            </w:r>
            <w:r>
              <w:rPr>
                <w:rFonts w:hint="eastAsia" w:cs="Times New Roman"/>
                <w:color w:val="000000"/>
              </w:rPr>
              <w:t>含油抹布、劳保用品：</w:t>
            </w:r>
            <w:r>
              <w:rPr>
                <w:rFonts w:cs="Times New Roman"/>
                <w:color w:val="000000"/>
              </w:rPr>
              <w:t>本项目冲床、转床等生产设备正常使用时只需不定时添加机油，不会有废机油产生，故障需要维护保养时，产生废含油抹布和手套，产生量为0.01t/a。</w:t>
            </w:r>
            <w:r>
              <w:rPr>
                <w:rFonts w:cs="Times New Roman"/>
                <w:color w:val="FF0000"/>
              </w:rPr>
              <w:t>根据《国家危险废物名录》（2016版）附录危险废物豁免管理清单，序号9，废弃的含油抹布、劳保用品属于危险废物（900-041-49），豁免环节为收集、处置等全部环节，豁免条件为混入生活垃圾，豁免内容为全过程不按危险废物管理，因此本项目含油废抹布按危险废物豁免管理清单要求执行。</w:t>
            </w:r>
          </w:p>
          <w:p>
            <w:pPr>
              <w:adjustRightInd w:val="0"/>
              <w:snapToGrid w:val="0"/>
              <w:ind w:firstLine="480"/>
              <w:rPr>
                <w:rFonts w:cs="Times New Roman"/>
                <w:color w:val="000000"/>
              </w:rPr>
            </w:pPr>
            <w:r>
              <w:rPr>
                <w:rFonts w:cs="Times New Roman"/>
                <w:color w:val="000000"/>
              </w:rPr>
              <w:t>项目固体废弃物产生及排放情况见下表。</w:t>
            </w:r>
          </w:p>
          <w:p>
            <w:pPr>
              <w:adjustRightInd w:val="0"/>
              <w:snapToGrid w:val="0"/>
              <w:spacing w:line="240" w:lineRule="auto"/>
              <w:ind w:firstLine="0" w:firstLineChars="0"/>
              <w:jc w:val="center"/>
              <w:rPr>
                <w:rFonts w:cs="Times New Roman"/>
                <w:b/>
                <w:color w:val="000000"/>
                <w:sz w:val="21"/>
                <w:lang w:val="zh-CN"/>
              </w:rPr>
            </w:pPr>
            <w:r>
              <w:rPr>
                <w:rFonts w:cs="Times New Roman"/>
                <w:b/>
                <w:color w:val="000000"/>
                <w:sz w:val="21"/>
                <w:lang w:val="zh-CN"/>
              </w:rPr>
              <w:t>表5-6 运营期固体废弃物产生及排放情况</w:t>
            </w:r>
          </w:p>
          <w:tbl>
            <w:tblPr>
              <w:tblStyle w:val="44"/>
              <w:tblW w:w="90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6"/>
              <w:gridCol w:w="1430"/>
              <w:gridCol w:w="1293"/>
              <w:gridCol w:w="1294"/>
              <w:gridCol w:w="1626"/>
              <w:gridCol w:w="1276"/>
              <w:gridCol w:w="9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restart"/>
                  <w:vAlign w:val="center"/>
                </w:tcPr>
                <w:p>
                  <w:pPr>
                    <w:pStyle w:val="45"/>
                    <w:rPr>
                      <w:kern w:val="0"/>
                      <w:szCs w:val="20"/>
                    </w:rPr>
                  </w:pPr>
                  <w:r>
                    <w:rPr>
                      <w:kern w:val="0"/>
                      <w:szCs w:val="20"/>
                    </w:rPr>
                    <w:t>废物类别</w:t>
                  </w:r>
                </w:p>
              </w:tc>
              <w:tc>
                <w:tcPr>
                  <w:tcW w:w="1430" w:type="dxa"/>
                  <w:vMerge w:val="restart"/>
                  <w:vAlign w:val="center"/>
                </w:tcPr>
                <w:p>
                  <w:pPr>
                    <w:pStyle w:val="45"/>
                    <w:rPr>
                      <w:kern w:val="0"/>
                      <w:szCs w:val="20"/>
                    </w:rPr>
                  </w:pPr>
                  <w:r>
                    <w:rPr>
                      <w:kern w:val="0"/>
                      <w:szCs w:val="20"/>
                    </w:rPr>
                    <w:t>产生工序</w:t>
                  </w:r>
                </w:p>
              </w:tc>
              <w:tc>
                <w:tcPr>
                  <w:tcW w:w="1293" w:type="dxa"/>
                  <w:vMerge w:val="restart"/>
                  <w:vAlign w:val="center"/>
                </w:tcPr>
                <w:p>
                  <w:pPr>
                    <w:pStyle w:val="45"/>
                    <w:rPr>
                      <w:kern w:val="0"/>
                      <w:szCs w:val="20"/>
                    </w:rPr>
                  </w:pPr>
                  <w:r>
                    <w:rPr>
                      <w:kern w:val="0"/>
                      <w:szCs w:val="20"/>
                    </w:rPr>
                    <w:t>名称</w:t>
                  </w:r>
                </w:p>
              </w:tc>
              <w:tc>
                <w:tcPr>
                  <w:tcW w:w="1294" w:type="dxa"/>
                  <w:vMerge w:val="restart"/>
                  <w:vAlign w:val="center"/>
                </w:tcPr>
                <w:p>
                  <w:pPr>
                    <w:pStyle w:val="45"/>
                    <w:rPr>
                      <w:kern w:val="0"/>
                      <w:szCs w:val="20"/>
                    </w:rPr>
                  </w:pPr>
                  <w:r>
                    <w:rPr>
                      <w:kern w:val="0"/>
                      <w:szCs w:val="20"/>
                    </w:rPr>
                    <w:t>产生量（t/a）</w:t>
                  </w:r>
                </w:p>
              </w:tc>
              <w:tc>
                <w:tcPr>
                  <w:tcW w:w="2902" w:type="dxa"/>
                  <w:gridSpan w:val="2"/>
                  <w:vAlign w:val="center"/>
                </w:tcPr>
                <w:p>
                  <w:pPr>
                    <w:pStyle w:val="45"/>
                    <w:rPr>
                      <w:kern w:val="0"/>
                      <w:szCs w:val="20"/>
                    </w:rPr>
                  </w:pPr>
                  <w:r>
                    <w:rPr>
                      <w:kern w:val="0"/>
                      <w:szCs w:val="20"/>
                    </w:rPr>
                    <w:t>处理（处置）情况</w:t>
                  </w:r>
                </w:p>
              </w:tc>
              <w:tc>
                <w:tcPr>
                  <w:tcW w:w="980" w:type="dxa"/>
                  <w:vMerge w:val="restart"/>
                  <w:vAlign w:val="center"/>
                </w:tcPr>
                <w:p>
                  <w:pPr>
                    <w:pStyle w:val="45"/>
                    <w:rPr>
                      <w:kern w:val="0"/>
                      <w:szCs w:val="20"/>
                    </w:rPr>
                  </w:pPr>
                  <w:r>
                    <w:rPr>
                      <w:kern w:val="0"/>
                      <w:szCs w:val="20"/>
                    </w:rPr>
                    <w:t>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continue"/>
                  <w:vAlign w:val="center"/>
                </w:tcPr>
                <w:p>
                  <w:pPr>
                    <w:pStyle w:val="45"/>
                    <w:rPr>
                      <w:kern w:val="0"/>
                      <w:szCs w:val="20"/>
                    </w:rPr>
                  </w:pPr>
                </w:p>
              </w:tc>
              <w:tc>
                <w:tcPr>
                  <w:tcW w:w="1430" w:type="dxa"/>
                  <w:vMerge w:val="continue"/>
                  <w:vAlign w:val="center"/>
                </w:tcPr>
                <w:p>
                  <w:pPr>
                    <w:pStyle w:val="45"/>
                    <w:rPr>
                      <w:kern w:val="0"/>
                      <w:szCs w:val="20"/>
                    </w:rPr>
                  </w:pPr>
                </w:p>
              </w:tc>
              <w:tc>
                <w:tcPr>
                  <w:tcW w:w="1293" w:type="dxa"/>
                  <w:vMerge w:val="continue"/>
                  <w:vAlign w:val="center"/>
                </w:tcPr>
                <w:p>
                  <w:pPr>
                    <w:pStyle w:val="45"/>
                    <w:rPr>
                      <w:kern w:val="0"/>
                      <w:szCs w:val="20"/>
                    </w:rPr>
                  </w:pPr>
                </w:p>
              </w:tc>
              <w:tc>
                <w:tcPr>
                  <w:tcW w:w="1294" w:type="dxa"/>
                  <w:vMerge w:val="continue"/>
                  <w:vAlign w:val="center"/>
                </w:tcPr>
                <w:p>
                  <w:pPr>
                    <w:pStyle w:val="45"/>
                    <w:rPr>
                      <w:kern w:val="0"/>
                      <w:szCs w:val="20"/>
                    </w:rPr>
                  </w:pPr>
                </w:p>
              </w:tc>
              <w:tc>
                <w:tcPr>
                  <w:tcW w:w="1626" w:type="dxa"/>
                  <w:vAlign w:val="center"/>
                </w:tcPr>
                <w:p>
                  <w:pPr>
                    <w:pStyle w:val="45"/>
                    <w:rPr>
                      <w:kern w:val="0"/>
                      <w:szCs w:val="20"/>
                    </w:rPr>
                  </w:pPr>
                  <w:r>
                    <w:rPr>
                      <w:kern w:val="0"/>
                      <w:szCs w:val="20"/>
                    </w:rPr>
                    <w:t>处置方法</w:t>
                  </w:r>
                </w:p>
              </w:tc>
              <w:tc>
                <w:tcPr>
                  <w:tcW w:w="1276" w:type="dxa"/>
                  <w:vAlign w:val="center"/>
                </w:tcPr>
                <w:p>
                  <w:pPr>
                    <w:pStyle w:val="45"/>
                    <w:rPr>
                      <w:kern w:val="0"/>
                      <w:szCs w:val="20"/>
                    </w:rPr>
                  </w:pPr>
                  <w:r>
                    <w:rPr>
                      <w:kern w:val="0"/>
                      <w:szCs w:val="20"/>
                    </w:rPr>
                    <w:t>处置量（t/a）</w:t>
                  </w:r>
                </w:p>
              </w:tc>
              <w:tc>
                <w:tcPr>
                  <w:tcW w:w="980" w:type="dxa"/>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156" w:type="dxa"/>
                  <w:vMerge w:val="restart"/>
                  <w:vAlign w:val="center"/>
                </w:tcPr>
                <w:p>
                  <w:pPr>
                    <w:pStyle w:val="45"/>
                    <w:rPr>
                      <w:kern w:val="0"/>
                      <w:szCs w:val="20"/>
                    </w:rPr>
                  </w:pPr>
                  <w:r>
                    <w:rPr>
                      <w:kern w:val="0"/>
                      <w:szCs w:val="20"/>
                    </w:rPr>
                    <w:t>一般固体</w:t>
                  </w:r>
                </w:p>
              </w:tc>
              <w:tc>
                <w:tcPr>
                  <w:tcW w:w="1430" w:type="dxa"/>
                  <w:vAlign w:val="center"/>
                </w:tcPr>
                <w:p>
                  <w:pPr>
                    <w:pStyle w:val="45"/>
                    <w:rPr>
                      <w:kern w:val="0"/>
                      <w:szCs w:val="20"/>
                    </w:rPr>
                  </w:pPr>
                  <w:r>
                    <w:rPr>
                      <w:kern w:val="0"/>
                      <w:szCs w:val="20"/>
                    </w:rPr>
                    <w:t>机加工</w:t>
                  </w:r>
                </w:p>
              </w:tc>
              <w:tc>
                <w:tcPr>
                  <w:tcW w:w="1293" w:type="dxa"/>
                  <w:vAlign w:val="center"/>
                </w:tcPr>
                <w:p>
                  <w:pPr>
                    <w:pStyle w:val="45"/>
                    <w:rPr>
                      <w:kern w:val="0"/>
                      <w:szCs w:val="20"/>
                    </w:rPr>
                  </w:pPr>
                  <w:r>
                    <w:rPr>
                      <w:kern w:val="0"/>
                      <w:szCs w:val="20"/>
                    </w:rPr>
                    <w:t>边角料、金属碎屑</w:t>
                  </w:r>
                </w:p>
              </w:tc>
              <w:tc>
                <w:tcPr>
                  <w:tcW w:w="1294" w:type="dxa"/>
                  <w:vAlign w:val="center"/>
                </w:tcPr>
                <w:p>
                  <w:pPr>
                    <w:pStyle w:val="45"/>
                    <w:rPr>
                      <w:kern w:val="0"/>
                      <w:szCs w:val="20"/>
                    </w:rPr>
                  </w:pPr>
                  <w:r>
                    <w:rPr>
                      <w:kern w:val="0"/>
                      <w:szCs w:val="20"/>
                    </w:rPr>
                    <w:t>0.05</w:t>
                  </w:r>
                </w:p>
              </w:tc>
              <w:tc>
                <w:tcPr>
                  <w:tcW w:w="1626" w:type="dxa"/>
                  <w:vMerge w:val="restart"/>
                  <w:vAlign w:val="center"/>
                </w:tcPr>
                <w:p>
                  <w:pPr>
                    <w:pStyle w:val="45"/>
                    <w:rPr>
                      <w:kern w:val="0"/>
                      <w:szCs w:val="20"/>
                    </w:rPr>
                  </w:pPr>
                  <w:r>
                    <w:rPr>
                      <w:kern w:val="0"/>
                      <w:szCs w:val="20"/>
                    </w:rPr>
                    <w:t>收集后统一外售处理</w:t>
                  </w:r>
                </w:p>
              </w:tc>
              <w:tc>
                <w:tcPr>
                  <w:tcW w:w="1276" w:type="dxa"/>
                  <w:vAlign w:val="center"/>
                </w:tcPr>
                <w:p>
                  <w:pPr>
                    <w:pStyle w:val="45"/>
                    <w:rPr>
                      <w:kern w:val="0"/>
                      <w:szCs w:val="20"/>
                    </w:rPr>
                  </w:pPr>
                  <w:r>
                    <w:rPr>
                      <w:kern w:val="0"/>
                      <w:szCs w:val="20"/>
                    </w:rPr>
                    <w:t>0.05</w:t>
                  </w:r>
                </w:p>
              </w:tc>
              <w:tc>
                <w:tcPr>
                  <w:tcW w:w="980" w:type="dxa"/>
                  <w:vAlign w:val="center"/>
                </w:tcPr>
                <w:p>
                  <w:pPr>
                    <w:pStyle w:val="45"/>
                    <w:rPr>
                      <w:kern w:val="0"/>
                      <w:szCs w:val="20"/>
                    </w:rPr>
                  </w:pP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1156" w:type="dxa"/>
                  <w:vMerge w:val="continue"/>
                  <w:vAlign w:val="center"/>
                </w:tcPr>
                <w:p>
                  <w:pPr>
                    <w:pStyle w:val="45"/>
                    <w:rPr>
                      <w:kern w:val="0"/>
                      <w:szCs w:val="20"/>
                    </w:rPr>
                  </w:pPr>
                </w:p>
              </w:tc>
              <w:tc>
                <w:tcPr>
                  <w:tcW w:w="1430" w:type="dxa"/>
                  <w:vAlign w:val="center"/>
                </w:tcPr>
                <w:p>
                  <w:pPr>
                    <w:pStyle w:val="45"/>
                    <w:rPr>
                      <w:kern w:val="0"/>
                      <w:szCs w:val="20"/>
                    </w:rPr>
                  </w:pPr>
                  <w:r>
                    <w:rPr>
                      <w:kern w:val="0"/>
                      <w:szCs w:val="20"/>
                    </w:rPr>
                    <w:t>包装</w:t>
                  </w:r>
                </w:p>
              </w:tc>
              <w:tc>
                <w:tcPr>
                  <w:tcW w:w="1293" w:type="dxa"/>
                  <w:vAlign w:val="center"/>
                </w:tcPr>
                <w:p>
                  <w:pPr>
                    <w:pStyle w:val="45"/>
                    <w:rPr>
                      <w:kern w:val="0"/>
                      <w:szCs w:val="20"/>
                    </w:rPr>
                  </w:pPr>
                  <w:r>
                    <w:rPr>
                      <w:kern w:val="0"/>
                      <w:szCs w:val="20"/>
                    </w:rPr>
                    <w:t>废包装材料</w:t>
                  </w:r>
                </w:p>
              </w:tc>
              <w:tc>
                <w:tcPr>
                  <w:tcW w:w="1294" w:type="dxa"/>
                  <w:vAlign w:val="center"/>
                </w:tcPr>
                <w:p>
                  <w:pPr>
                    <w:pStyle w:val="45"/>
                    <w:rPr>
                      <w:kern w:val="0"/>
                      <w:szCs w:val="20"/>
                    </w:rPr>
                  </w:pPr>
                  <w:r>
                    <w:rPr>
                      <w:kern w:val="0"/>
                      <w:szCs w:val="20"/>
                    </w:rPr>
                    <w:t>0.35</w:t>
                  </w:r>
                </w:p>
              </w:tc>
              <w:tc>
                <w:tcPr>
                  <w:tcW w:w="1626" w:type="dxa"/>
                  <w:vMerge w:val="continue"/>
                  <w:vAlign w:val="center"/>
                </w:tcPr>
                <w:p>
                  <w:pPr>
                    <w:pStyle w:val="45"/>
                    <w:rPr>
                      <w:kern w:val="0"/>
                      <w:szCs w:val="20"/>
                    </w:rPr>
                  </w:pPr>
                </w:p>
              </w:tc>
              <w:tc>
                <w:tcPr>
                  <w:tcW w:w="1276" w:type="dxa"/>
                  <w:vAlign w:val="center"/>
                </w:tcPr>
                <w:p>
                  <w:pPr>
                    <w:pStyle w:val="45"/>
                    <w:rPr>
                      <w:kern w:val="0"/>
                      <w:szCs w:val="20"/>
                    </w:rPr>
                  </w:pPr>
                  <w:r>
                    <w:rPr>
                      <w:kern w:val="0"/>
                      <w:szCs w:val="20"/>
                    </w:rPr>
                    <w:t>0.35</w:t>
                  </w:r>
                </w:p>
              </w:tc>
              <w:tc>
                <w:tcPr>
                  <w:tcW w:w="980" w:type="dxa"/>
                  <w:vAlign w:val="center"/>
                </w:tcPr>
                <w:p>
                  <w:pPr>
                    <w:pStyle w:val="45"/>
                    <w:rPr>
                      <w:kern w:val="0"/>
                      <w:szCs w:val="20"/>
                    </w:rPr>
                  </w:pP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156" w:type="dxa"/>
                  <w:vMerge w:val="continue"/>
                  <w:vAlign w:val="center"/>
                </w:tcPr>
                <w:p>
                  <w:pPr>
                    <w:pStyle w:val="45"/>
                    <w:rPr>
                      <w:kern w:val="0"/>
                      <w:szCs w:val="20"/>
                    </w:rPr>
                  </w:pPr>
                </w:p>
              </w:tc>
              <w:tc>
                <w:tcPr>
                  <w:tcW w:w="1430" w:type="dxa"/>
                  <w:vAlign w:val="center"/>
                </w:tcPr>
                <w:p>
                  <w:pPr>
                    <w:pStyle w:val="45"/>
                    <w:rPr>
                      <w:kern w:val="0"/>
                      <w:szCs w:val="20"/>
                    </w:rPr>
                  </w:pPr>
                  <w:r>
                    <w:rPr>
                      <w:kern w:val="0"/>
                      <w:szCs w:val="20"/>
                    </w:rPr>
                    <w:t>喷淋塔打捞渣</w:t>
                  </w:r>
                </w:p>
              </w:tc>
              <w:tc>
                <w:tcPr>
                  <w:tcW w:w="1293" w:type="dxa"/>
                  <w:vAlign w:val="center"/>
                </w:tcPr>
                <w:p>
                  <w:pPr>
                    <w:pStyle w:val="45"/>
                    <w:rPr>
                      <w:kern w:val="0"/>
                      <w:szCs w:val="20"/>
                    </w:rPr>
                  </w:pPr>
                  <w:r>
                    <w:rPr>
                      <w:kern w:val="0"/>
                      <w:szCs w:val="20"/>
                    </w:rPr>
                    <w:t>废渣</w:t>
                  </w:r>
                </w:p>
              </w:tc>
              <w:tc>
                <w:tcPr>
                  <w:tcW w:w="1294" w:type="dxa"/>
                  <w:vAlign w:val="center"/>
                </w:tcPr>
                <w:p>
                  <w:pPr>
                    <w:pStyle w:val="45"/>
                    <w:rPr>
                      <w:kern w:val="0"/>
                      <w:szCs w:val="20"/>
                    </w:rPr>
                  </w:pPr>
                  <w:r>
                    <w:rPr>
                      <w:kern w:val="0"/>
                      <w:szCs w:val="20"/>
                    </w:rPr>
                    <w:t xml:space="preserve">0.15 </w:t>
                  </w:r>
                </w:p>
              </w:tc>
              <w:tc>
                <w:tcPr>
                  <w:tcW w:w="1626" w:type="dxa"/>
                  <w:vAlign w:val="center"/>
                </w:tcPr>
                <w:p>
                  <w:pPr>
                    <w:pStyle w:val="45"/>
                    <w:rPr>
                      <w:kern w:val="0"/>
                      <w:szCs w:val="20"/>
                    </w:rPr>
                  </w:pPr>
                  <w:r>
                    <w:rPr>
                      <w:kern w:val="0"/>
                      <w:szCs w:val="20"/>
                    </w:rPr>
                    <w:t>交由专业单位回收处理</w:t>
                  </w:r>
                </w:p>
              </w:tc>
              <w:tc>
                <w:tcPr>
                  <w:tcW w:w="1276" w:type="dxa"/>
                  <w:vAlign w:val="center"/>
                </w:tcPr>
                <w:p>
                  <w:pPr>
                    <w:pStyle w:val="45"/>
                    <w:rPr>
                      <w:kern w:val="0"/>
                      <w:szCs w:val="20"/>
                    </w:rPr>
                  </w:pPr>
                  <w:r>
                    <w:rPr>
                      <w:kern w:val="0"/>
                      <w:szCs w:val="20"/>
                    </w:rPr>
                    <w:t>0.15</w:t>
                  </w:r>
                </w:p>
              </w:tc>
              <w:tc>
                <w:tcPr>
                  <w:tcW w:w="980" w:type="dxa"/>
                  <w:vAlign w:val="center"/>
                </w:tcPr>
                <w:p>
                  <w:pPr>
                    <w:pStyle w:val="45"/>
                    <w:rPr>
                      <w:kern w:val="0"/>
                      <w:szCs w:val="20"/>
                    </w:rPr>
                  </w:pP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continue"/>
                  <w:tcBorders>
                    <w:bottom w:val="single" w:color="auto" w:sz="4" w:space="0"/>
                  </w:tcBorders>
                  <w:vAlign w:val="center"/>
                </w:tcPr>
                <w:p>
                  <w:pPr>
                    <w:pStyle w:val="45"/>
                    <w:rPr>
                      <w:kern w:val="0"/>
                      <w:szCs w:val="20"/>
                    </w:rPr>
                  </w:pPr>
                </w:p>
              </w:tc>
              <w:tc>
                <w:tcPr>
                  <w:tcW w:w="1430" w:type="dxa"/>
                  <w:vAlign w:val="center"/>
                </w:tcPr>
                <w:p>
                  <w:pPr>
                    <w:pStyle w:val="45"/>
                    <w:rPr>
                      <w:kern w:val="0"/>
                      <w:szCs w:val="20"/>
                    </w:rPr>
                  </w:pPr>
                  <w:r>
                    <w:rPr>
                      <w:kern w:val="0"/>
                      <w:szCs w:val="20"/>
                    </w:rPr>
                    <w:t>员工办公</w:t>
                  </w:r>
                </w:p>
              </w:tc>
              <w:tc>
                <w:tcPr>
                  <w:tcW w:w="1293" w:type="dxa"/>
                  <w:vAlign w:val="center"/>
                </w:tcPr>
                <w:p>
                  <w:pPr>
                    <w:pStyle w:val="45"/>
                    <w:rPr>
                      <w:kern w:val="0"/>
                      <w:szCs w:val="20"/>
                    </w:rPr>
                  </w:pPr>
                  <w:r>
                    <w:rPr>
                      <w:kern w:val="0"/>
                      <w:szCs w:val="20"/>
                    </w:rPr>
                    <w:t>生活垃圾</w:t>
                  </w:r>
                </w:p>
              </w:tc>
              <w:tc>
                <w:tcPr>
                  <w:tcW w:w="1294" w:type="dxa"/>
                  <w:vAlign w:val="center"/>
                </w:tcPr>
                <w:p>
                  <w:pPr>
                    <w:pStyle w:val="45"/>
                    <w:rPr>
                      <w:kern w:val="0"/>
                      <w:szCs w:val="20"/>
                    </w:rPr>
                  </w:pPr>
                  <w:r>
                    <w:rPr>
                      <w:kern w:val="0"/>
                      <w:szCs w:val="20"/>
                    </w:rPr>
                    <w:t>1.86</w:t>
                  </w:r>
                </w:p>
              </w:tc>
              <w:tc>
                <w:tcPr>
                  <w:tcW w:w="1626" w:type="dxa"/>
                  <w:vAlign w:val="center"/>
                </w:tcPr>
                <w:p>
                  <w:pPr>
                    <w:pStyle w:val="45"/>
                    <w:rPr>
                      <w:kern w:val="0"/>
                      <w:szCs w:val="20"/>
                    </w:rPr>
                  </w:pPr>
                  <w:r>
                    <w:rPr>
                      <w:kern w:val="0"/>
                      <w:szCs w:val="20"/>
                    </w:rPr>
                    <w:t>交由当地环卫部门清运处理</w:t>
                  </w:r>
                </w:p>
              </w:tc>
              <w:tc>
                <w:tcPr>
                  <w:tcW w:w="1276" w:type="dxa"/>
                  <w:vAlign w:val="center"/>
                </w:tcPr>
                <w:p>
                  <w:pPr>
                    <w:pStyle w:val="45"/>
                    <w:rPr>
                      <w:kern w:val="0"/>
                      <w:szCs w:val="20"/>
                    </w:rPr>
                  </w:pPr>
                  <w:r>
                    <w:rPr>
                      <w:kern w:val="0"/>
                      <w:szCs w:val="20"/>
                    </w:rPr>
                    <w:t>1.86</w:t>
                  </w:r>
                </w:p>
              </w:tc>
              <w:tc>
                <w:tcPr>
                  <w:tcW w:w="980" w:type="dxa"/>
                  <w:vAlign w:val="center"/>
                </w:tcPr>
                <w:p>
                  <w:pPr>
                    <w:pStyle w:val="45"/>
                    <w:rPr>
                      <w:kern w:val="0"/>
                      <w:szCs w:val="20"/>
                    </w:rPr>
                  </w:pP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restart"/>
                  <w:tcBorders>
                    <w:top w:val="single" w:color="auto" w:sz="4" w:space="0"/>
                  </w:tcBorders>
                  <w:vAlign w:val="center"/>
                </w:tcPr>
                <w:p>
                  <w:pPr>
                    <w:pStyle w:val="45"/>
                    <w:rPr>
                      <w:kern w:val="0"/>
                      <w:szCs w:val="20"/>
                    </w:rPr>
                  </w:pPr>
                  <w:r>
                    <w:rPr>
                      <w:rFonts w:hint="eastAsia"/>
                      <w:kern w:val="0"/>
                      <w:szCs w:val="20"/>
                    </w:rPr>
                    <w:t>危险废物</w:t>
                  </w:r>
                </w:p>
              </w:tc>
              <w:tc>
                <w:tcPr>
                  <w:tcW w:w="1430" w:type="dxa"/>
                  <w:vAlign w:val="center"/>
                </w:tcPr>
                <w:p>
                  <w:pPr>
                    <w:pStyle w:val="45"/>
                    <w:rPr>
                      <w:kern w:val="0"/>
                      <w:szCs w:val="20"/>
                    </w:rPr>
                  </w:pPr>
                  <w:r>
                    <w:rPr>
                      <w:kern w:val="0"/>
                      <w:szCs w:val="20"/>
                    </w:rPr>
                    <w:t>含油抹布及劳动用品</w:t>
                  </w:r>
                </w:p>
              </w:tc>
              <w:tc>
                <w:tcPr>
                  <w:tcW w:w="1293" w:type="dxa"/>
                  <w:vAlign w:val="center"/>
                </w:tcPr>
                <w:p>
                  <w:pPr>
                    <w:pStyle w:val="45"/>
                    <w:rPr>
                      <w:kern w:val="0"/>
                      <w:szCs w:val="20"/>
                    </w:rPr>
                  </w:pPr>
                  <w:r>
                    <w:rPr>
                      <w:kern w:val="0"/>
                      <w:szCs w:val="20"/>
                    </w:rPr>
                    <w:t>含油抹布</w:t>
                  </w:r>
                </w:p>
              </w:tc>
              <w:tc>
                <w:tcPr>
                  <w:tcW w:w="1294" w:type="dxa"/>
                  <w:vAlign w:val="center"/>
                </w:tcPr>
                <w:p>
                  <w:pPr>
                    <w:pStyle w:val="45"/>
                    <w:rPr>
                      <w:kern w:val="0"/>
                      <w:szCs w:val="20"/>
                    </w:rPr>
                  </w:pPr>
                  <w:r>
                    <w:rPr>
                      <w:kern w:val="0"/>
                      <w:szCs w:val="20"/>
                    </w:rPr>
                    <w:t>0.01</w:t>
                  </w:r>
                </w:p>
              </w:tc>
              <w:tc>
                <w:tcPr>
                  <w:tcW w:w="1626" w:type="dxa"/>
                  <w:vAlign w:val="center"/>
                </w:tcPr>
                <w:p>
                  <w:pPr>
                    <w:pStyle w:val="45"/>
                    <w:rPr>
                      <w:kern w:val="0"/>
                      <w:szCs w:val="20"/>
                    </w:rPr>
                  </w:pPr>
                  <w:r>
                    <w:rPr>
                      <w:rFonts w:hint="eastAsia"/>
                      <w:kern w:val="0"/>
                      <w:szCs w:val="20"/>
                    </w:rPr>
                    <w:t>按危险废物豁免管理清单要求执行</w:t>
                  </w:r>
                </w:p>
              </w:tc>
              <w:tc>
                <w:tcPr>
                  <w:tcW w:w="1276" w:type="dxa"/>
                  <w:vAlign w:val="center"/>
                </w:tcPr>
                <w:p>
                  <w:pPr>
                    <w:pStyle w:val="45"/>
                    <w:rPr>
                      <w:kern w:val="0"/>
                      <w:szCs w:val="20"/>
                    </w:rPr>
                  </w:pPr>
                  <w:r>
                    <w:rPr>
                      <w:kern w:val="0"/>
                      <w:szCs w:val="20"/>
                    </w:rPr>
                    <w:t>0.01</w:t>
                  </w:r>
                </w:p>
              </w:tc>
              <w:tc>
                <w:tcPr>
                  <w:tcW w:w="980" w:type="dxa"/>
                  <w:vAlign w:val="center"/>
                </w:tcPr>
                <w:p>
                  <w:pPr>
                    <w:pStyle w:val="45"/>
                    <w:rPr>
                      <w:kern w:val="0"/>
                      <w:szCs w:val="20"/>
                    </w:rPr>
                  </w:pP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56" w:type="dxa"/>
                  <w:vMerge w:val="continue"/>
                  <w:vAlign w:val="center"/>
                </w:tcPr>
                <w:p>
                  <w:pPr>
                    <w:pStyle w:val="45"/>
                    <w:rPr>
                      <w:kern w:val="0"/>
                      <w:szCs w:val="20"/>
                    </w:rPr>
                  </w:pPr>
                </w:p>
              </w:tc>
              <w:tc>
                <w:tcPr>
                  <w:tcW w:w="1430" w:type="dxa"/>
                  <w:vAlign w:val="center"/>
                </w:tcPr>
                <w:p>
                  <w:pPr>
                    <w:pStyle w:val="45"/>
                    <w:rPr>
                      <w:kern w:val="0"/>
                      <w:szCs w:val="20"/>
                    </w:rPr>
                  </w:pPr>
                  <w:r>
                    <w:rPr>
                      <w:rFonts w:hint="eastAsia"/>
                      <w:kern w:val="0"/>
                      <w:szCs w:val="20"/>
                    </w:rPr>
                    <w:t>热冲脱模</w:t>
                  </w:r>
                </w:p>
              </w:tc>
              <w:tc>
                <w:tcPr>
                  <w:tcW w:w="1293" w:type="dxa"/>
                  <w:vAlign w:val="center"/>
                </w:tcPr>
                <w:p>
                  <w:pPr>
                    <w:pStyle w:val="45"/>
                    <w:rPr>
                      <w:kern w:val="0"/>
                      <w:szCs w:val="20"/>
                    </w:rPr>
                  </w:pPr>
                  <w:r>
                    <w:rPr>
                      <w:rFonts w:hint="eastAsia"/>
                      <w:kern w:val="0"/>
                      <w:szCs w:val="20"/>
                    </w:rPr>
                    <w:t>废煤油包装桶</w:t>
                  </w:r>
                </w:p>
              </w:tc>
              <w:tc>
                <w:tcPr>
                  <w:tcW w:w="1294" w:type="dxa"/>
                  <w:vAlign w:val="center"/>
                </w:tcPr>
                <w:p>
                  <w:pPr>
                    <w:pStyle w:val="45"/>
                    <w:rPr>
                      <w:kern w:val="0"/>
                      <w:szCs w:val="20"/>
                    </w:rPr>
                  </w:pPr>
                  <w:r>
                    <w:rPr>
                      <w:rFonts w:hint="eastAsia"/>
                      <w:kern w:val="0"/>
                      <w:szCs w:val="20"/>
                    </w:rPr>
                    <w:t>0</w:t>
                  </w:r>
                  <w:r>
                    <w:rPr>
                      <w:kern w:val="0"/>
                      <w:szCs w:val="20"/>
                    </w:rPr>
                    <w:t>.05</w:t>
                  </w:r>
                </w:p>
              </w:tc>
              <w:tc>
                <w:tcPr>
                  <w:tcW w:w="1626" w:type="dxa"/>
                  <w:vAlign w:val="center"/>
                </w:tcPr>
                <w:p>
                  <w:pPr>
                    <w:pStyle w:val="45"/>
                    <w:rPr>
                      <w:kern w:val="0"/>
                      <w:szCs w:val="20"/>
                    </w:rPr>
                  </w:pPr>
                  <w:r>
                    <w:rPr>
                      <w:rFonts w:hint="eastAsia"/>
                      <w:kern w:val="0"/>
                      <w:szCs w:val="20"/>
                    </w:rPr>
                    <w:t>交由有资质的单位</w:t>
                  </w:r>
                </w:p>
              </w:tc>
              <w:tc>
                <w:tcPr>
                  <w:tcW w:w="1276" w:type="dxa"/>
                  <w:vAlign w:val="center"/>
                </w:tcPr>
                <w:p>
                  <w:pPr>
                    <w:pStyle w:val="45"/>
                    <w:rPr>
                      <w:kern w:val="0"/>
                      <w:szCs w:val="20"/>
                    </w:rPr>
                  </w:pPr>
                  <w:r>
                    <w:rPr>
                      <w:rFonts w:hint="eastAsia"/>
                      <w:kern w:val="0"/>
                      <w:szCs w:val="20"/>
                    </w:rPr>
                    <w:t>0</w:t>
                  </w:r>
                  <w:r>
                    <w:rPr>
                      <w:kern w:val="0"/>
                      <w:szCs w:val="20"/>
                    </w:rPr>
                    <w:t>.05</w:t>
                  </w:r>
                </w:p>
              </w:tc>
              <w:tc>
                <w:tcPr>
                  <w:tcW w:w="980" w:type="dxa"/>
                  <w:vAlign w:val="center"/>
                </w:tcPr>
                <w:p>
                  <w:pPr>
                    <w:pStyle w:val="45"/>
                    <w:rPr>
                      <w:kern w:val="0"/>
                      <w:szCs w:val="20"/>
                    </w:rPr>
                  </w:pPr>
                  <w:r>
                    <w:rPr>
                      <w:rFonts w:hint="eastAsia"/>
                      <w:kern w:val="0"/>
                      <w:szCs w:val="20"/>
                    </w:rPr>
                    <w:t>0</w:t>
                  </w:r>
                </w:p>
              </w:tc>
            </w:tr>
          </w:tbl>
          <w:p>
            <w:pPr>
              <w:tabs>
                <w:tab w:val="left" w:pos="8685"/>
              </w:tabs>
              <w:ind w:firstLine="0" w:firstLineChars="0"/>
              <w:rPr>
                <w:rFonts w:cs="Times New Roman"/>
                <w:b/>
                <w:bCs/>
                <w:color w:val="000000"/>
                <w:sz w:val="21"/>
                <w:szCs w:val="21"/>
              </w:rPr>
            </w:pPr>
          </w:p>
        </w:tc>
      </w:tr>
    </w:tbl>
    <w:p>
      <w:pPr>
        <w:ind w:firstLine="48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bookmarkStart w:id="13" w:name="_Toc27729835"/>
      <w:r>
        <w:rPr>
          <w:rFonts w:cs="Times New Roman"/>
        </w:rPr>
        <w:t>项目主要污染物产生及预计排放情况</w:t>
      </w:r>
      <w:bookmarkEnd w:id="13"/>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94"/>
        <w:gridCol w:w="2436"/>
        <w:gridCol w:w="1727"/>
        <w:gridCol w:w="2110"/>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tcBorders>
              <w:tl2br w:val="single" w:color="auto" w:sz="4" w:space="0"/>
            </w:tcBorders>
            <w:vAlign w:val="center"/>
          </w:tcPr>
          <w:p>
            <w:pPr>
              <w:pStyle w:val="45"/>
              <w:rPr>
                <w:sz w:val="24"/>
                <w:szCs w:val="24"/>
              </w:rPr>
            </w:pPr>
            <w:r>
              <w:rPr>
                <w:sz w:val="24"/>
                <w:szCs w:val="24"/>
              </w:rPr>
              <w:t>内容</w:t>
            </w:r>
          </w:p>
          <w:p>
            <w:pPr>
              <w:pStyle w:val="45"/>
              <w:rPr>
                <w:sz w:val="24"/>
                <w:szCs w:val="24"/>
              </w:rPr>
            </w:pPr>
            <w:r>
              <w:rPr>
                <w:sz w:val="24"/>
                <w:szCs w:val="24"/>
              </w:rPr>
              <w:t>类型</w:t>
            </w:r>
          </w:p>
        </w:tc>
        <w:tc>
          <w:tcPr>
            <w:tcW w:w="2436" w:type="dxa"/>
            <w:vAlign w:val="center"/>
          </w:tcPr>
          <w:p>
            <w:pPr>
              <w:pStyle w:val="45"/>
              <w:rPr>
                <w:kern w:val="28"/>
                <w:sz w:val="24"/>
                <w:szCs w:val="24"/>
              </w:rPr>
            </w:pPr>
            <w:r>
              <w:rPr>
                <w:kern w:val="28"/>
                <w:sz w:val="24"/>
                <w:szCs w:val="24"/>
              </w:rPr>
              <w:t>排放源</w:t>
            </w:r>
          </w:p>
        </w:tc>
        <w:tc>
          <w:tcPr>
            <w:tcW w:w="1727" w:type="dxa"/>
            <w:vAlign w:val="center"/>
          </w:tcPr>
          <w:p>
            <w:pPr>
              <w:pStyle w:val="45"/>
              <w:rPr>
                <w:sz w:val="24"/>
                <w:szCs w:val="24"/>
              </w:rPr>
            </w:pPr>
            <w:r>
              <w:rPr>
                <w:sz w:val="24"/>
                <w:szCs w:val="24"/>
              </w:rPr>
              <w:t>污染物</w:t>
            </w:r>
          </w:p>
          <w:p>
            <w:pPr>
              <w:pStyle w:val="45"/>
              <w:rPr>
                <w:sz w:val="24"/>
                <w:szCs w:val="24"/>
              </w:rPr>
            </w:pPr>
            <w:r>
              <w:rPr>
                <w:sz w:val="24"/>
                <w:szCs w:val="24"/>
              </w:rPr>
              <w:t>名称</w:t>
            </w:r>
          </w:p>
        </w:tc>
        <w:tc>
          <w:tcPr>
            <w:tcW w:w="2110" w:type="dxa"/>
            <w:vAlign w:val="center"/>
          </w:tcPr>
          <w:p>
            <w:pPr>
              <w:pStyle w:val="45"/>
              <w:rPr>
                <w:sz w:val="24"/>
                <w:szCs w:val="24"/>
              </w:rPr>
            </w:pPr>
            <w:r>
              <w:rPr>
                <w:sz w:val="24"/>
                <w:szCs w:val="24"/>
              </w:rPr>
              <w:t>处理前产生浓度及</w:t>
            </w:r>
          </w:p>
          <w:p>
            <w:pPr>
              <w:pStyle w:val="45"/>
              <w:rPr>
                <w:sz w:val="24"/>
                <w:szCs w:val="24"/>
              </w:rPr>
            </w:pPr>
            <w:r>
              <w:rPr>
                <w:sz w:val="24"/>
                <w:szCs w:val="24"/>
              </w:rPr>
              <w:t>产生量（单位）</w:t>
            </w:r>
          </w:p>
        </w:tc>
        <w:tc>
          <w:tcPr>
            <w:tcW w:w="2005" w:type="dxa"/>
            <w:vAlign w:val="center"/>
          </w:tcPr>
          <w:p>
            <w:pPr>
              <w:pStyle w:val="45"/>
              <w:rPr>
                <w:sz w:val="24"/>
                <w:szCs w:val="24"/>
              </w:rPr>
            </w:pPr>
            <w:r>
              <w:rPr>
                <w:sz w:val="24"/>
                <w:szCs w:val="24"/>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restart"/>
            <w:vAlign w:val="center"/>
          </w:tcPr>
          <w:p>
            <w:pPr>
              <w:pStyle w:val="45"/>
              <w:rPr>
                <w:sz w:val="24"/>
                <w:szCs w:val="24"/>
              </w:rPr>
            </w:pPr>
            <w:r>
              <w:rPr>
                <w:rFonts w:hint="eastAsia"/>
                <w:sz w:val="24"/>
                <w:szCs w:val="24"/>
              </w:rPr>
              <w:t>水</w:t>
            </w:r>
          </w:p>
          <w:p>
            <w:pPr>
              <w:pStyle w:val="45"/>
              <w:rPr>
                <w:sz w:val="24"/>
                <w:szCs w:val="24"/>
              </w:rPr>
            </w:pPr>
            <w:r>
              <w:rPr>
                <w:rFonts w:hint="eastAsia"/>
                <w:sz w:val="24"/>
                <w:szCs w:val="24"/>
              </w:rPr>
              <w:t>污</w:t>
            </w:r>
          </w:p>
          <w:p>
            <w:pPr>
              <w:pStyle w:val="45"/>
              <w:rPr>
                <w:sz w:val="24"/>
                <w:szCs w:val="24"/>
              </w:rPr>
            </w:pPr>
            <w:r>
              <w:rPr>
                <w:rFonts w:hint="eastAsia"/>
                <w:sz w:val="24"/>
                <w:szCs w:val="24"/>
              </w:rPr>
              <w:t>染</w:t>
            </w:r>
          </w:p>
          <w:p>
            <w:pPr>
              <w:pStyle w:val="45"/>
              <w:rPr>
                <w:sz w:val="24"/>
                <w:szCs w:val="24"/>
              </w:rPr>
            </w:pPr>
            <w:r>
              <w:rPr>
                <w:rFonts w:hint="eastAsia"/>
                <w:sz w:val="24"/>
                <w:szCs w:val="24"/>
              </w:rPr>
              <w:t>物</w:t>
            </w:r>
          </w:p>
        </w:tc>
        <w:tc>
          <w:tcPr>
            <w:tcW w:w="2436" w:type="dxa"/>
            <w:vMerge w:val="restart"/>
            <w:vAlign w:val="center"/>
          </w:tcPr>
          <w:p>
            <w:pPr>
              <w:pStyle w:val="45"/>
              <w:rPr>
                <w:sz w:val="24"/>
                <w:szCs w:val="24"/>
              </w:rPr>
            </w:pPr>
            <w:r>
              <w:rPr>
                <w:sz w:val="24"/>
                <w:szCs w:val="24"/>
              </w:rPr>
              <w:t>生活污水（133.92m</w:t>
            </w:r>
            <w:r>
              <w:rPr>
                <w:sz w:val="24"/>
                <w:szCs w:val="24"/>
                <w:vertAlign w:val="superscript"/>
              </w:rPr>
              <w:t>3</w:t>
            </w:r>
            <w:r>
              <w:rPr>
                <w:sz w:val="24"/>
                <w:szCs w:val="24"/>
              </w:rPr>
              <w:t>/a）</w:t>
            </w:r>
          </w:p>
        </w:tc>
        <w:tc>
          <w:tcPr>
            <w:tcW w:w="1727" w:type="dxa"/>
            <w:vAlign w:val="center"/>
          </w:tcPr>
          <w:p>
            <w:pPr>
              <w:pStyle w:val="45"/>
              <w:rPr>
                <w:sz w:val="24"/>
                <w:szCs w:val="24"/>
                <w:vertAlign w:val="subscript"/>
              </w:rPr>
            </w:pPr>
            <w:r>
              <w:rPr>
                <w:sz w:val="24"/>
                <w:szCs w:val="24"/>
              </w:rPr>
              <w:t>COD</w:t>
            </w:r>
            <w:r>
              <w:rPr>
                <w:sz w:val="24"/>
                <w:szCs w:val="24"/>
                <w:vertAlign w:val="subscript"/>
              </w:rPr>
              <w:t>cr</w:t>
            </w:r>
          </w:p>
        </w:tc>
        <w:tc>
          <w:tcPr>
            <w:tcW w:w="2110" w:type="dxa"/>
            <w:vAlign w:val="center"/>
          </w:tcPr>
          <w:p>
            <w:pPr>
              <w:pStyle w:val="45"/>
              <w:rPr>
                <w:sz w:val="24"/>
                <w:szCs w:val="24"/>
              </w:rPr>
            </w:pPr>
            <w:r>
              <w:rPr>
                <w:sz w:val="24"/>
                <w:szCs w:val="24"/>
              </w:rPr>
              <w:t>300mg/</w:t>
            </w:r>
            <w:r>
              <w:rPr>
                <w:snapToGrid w:val="0"/>
                <w:kern w:val="0"/>
                <w:sz w:val="24"/>
                <w:szCs w:val="24"/>
              </w:rPr>
              <w:t>L</w:t>
            </w:r>
            <w:r>
              <w:rPr>
                <w:sz w:val="24"/>
                <w:szCs w:val="24"/>
              </w:rPr>
              <w:t>，</w:t>
            </w:r>
          </w:p>
          <w:p>
            <w:pPr>
              <w:pStyle w:val="45"/>
              <w:rPr>
                <w:sz w:val="24"/>
                <w:szCs w:val="24"/>
              </w:rPr>
            </w:pPr>
            <w:r>
              <w:rPr>
                <w:sz w:val="24"/>
                <w:szCs w:val="24"/>
              </w:rPr>
              <w:t>0.0402 t/a</w:t>
            </w:r>
          </w:p>
        </w:tc>
        <w:tc>
          <w:tcPr>
            <w:tcW w:w="2005" w:type="dxa"/>
            <w:vAlign w:val="center"/>
          </w:tcPr>
          <w:p>
            <w:pPr>
              <w:pStyle w:val="45"/>
              <w:rPr>
                <w:sz w:val="24"/>
                <w:szCs w:val="24"/>
              </w:rPr>
            </w:pPr>
            <w:r>
              <w:rPr>
                <w:sz w:val="24"/>
                <w:szCs w:val="24"/>
              </w:rPr>
              <w:t>250mg/</w:t>
            </w:r>
            <w:r>
              <w:rPr>
                <w:snapToGrid w:val="0"/>
                <w:kern w:val="0"/>
                <w:sz w:val="24"/>
                <w:szCs w:val="24"/>
              </w:rPr>
              <w:t>L</w:t>
            </w:r>
            <w:r>
              <w:rPr>
                <w:sz w:val="24"/>
                <w:szCs w:val="24"/>
              </w:rPr>
              <w:t>，</w:t>
            </w:r>
          </w:p>
          <w:p>
            <w:pPr>
              <w:pStyle w:val="45"/>
              <w:rPr>
                <w:sz w:val="24"/>
                <w:szCs w:val="24"/>
              </w:rPr>
            </w:pPr>
            <w:r>
              <w:rPr>
                <w:sz w:val="24"/>
                <w:szCs w:val="24"/>
              </w:rPr>
              <w:t>0.0035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sz w:val="24"/>
                <w:szCs w:val="24"/>
              </w:rPr>
              <w:t>BOD</w:t>
            </w:r>
            <w:r>
              <w:rPr>
                <w:sz w:val="24"/>
                <w:szCs w:val="24"/>
                <w:vertAlign w:val="subscript"/>
              </w:rPr>
              <w:t>5</w:t>
            </w:r>
          </w:p>
        </w:tc>
        <w:tc>
          <w:tcPr>
            <w:tcW w:w="2110" w:type="dxa"/>
            <w:vAlign w:val="center"/>
          </w:tcPr>
          <w:p>
            <w:pPr>
              <w:pStyle w:val="45"/>
              <w:rPr>
                <w:sz w:val="24"/>
                <w:szCs w:val="24"/>
              </w:rPr>
            </w:pPr>
            <w:r>
              <w:rPr>
                <w:sz w:val="24"/>
                <w:szCs w:val="24"/>
              </w:rPr>
              <w:t>180mg/</w:t>
            </w:r>
            <w:r>
              <w:rPr>
                <w:snapToGrid w:val="0"/>
                <w:kern w:val="0"/>
                <w:sz w:val="24"/>
                <w:szCs w:val="24"/>
              </w:rPr>
              <w:t>L</w:t>
            </w:r>
            <w:r>
              <w:rPr>
                <w:sz w:val="24"/>
                <w:szCs w:val="24"/>
              </w:rPr>
              <w:t>，</w:t>
            </w:r>
          </w:p>
          <w:p>
            <w:pPr>
              <w:pStyle w:val="45"/>
              <w:rPr>
                <w:sz w:val="24"/>
                <w:szCs w:val="24"/>
              </w:rPr>
            </w:pPr>
            <w:r>
              <w:rPr>
                <w:sz w:val="24"/>
                <w:szCs w:val="24"/>
              </w:rPr>
              <w:t>0.0241 t/a</w:t>
            </w:r>
          </w:p>
        </w:tc>
        <w:tc>
          <w:tcPr>
            <w:tcW w:w="2005" w:type="dxa"/>
            <w:vAlign w:val="center"/>
          </w:tcPr>
          <w:p>
            <w:pPr>
              <w:pStyle w:val="45"/>
              <w:rPr>
                <w:sz w:val="24"/>
                <w:szCs w:val="24"/>
              </w:rPr>
            </w:pPr>
            <w:r>
              <w:rPr>
                <w:sz w:val="24"/>
                <w:szCs w:val="24"/>
              </w:rPr>
              <w:t>160mg/</w:t>
            </w:r>
            <w:r>
              <w:rPr>
                <w:snapToGrid w:val="0"/>
                <w:kern w:val="0"/>
                <w:sz w:val="24"/>
                <w:szCs w:val="24"/>
              </w:rPr>
              <w:t>L</w:t>
            </w:r>
            <w:r>
              <w:rPr>
                <w:sz w:val="24"/>
                <w:szCs w:val="24"/>
              </w:rPr>
              <w:t>，</w:t>
            </w:r>
          </w:p>
          <w:p>
            <w:pPr>
              <w:pStyle w:val="45"/>
              <w:rPr>
                <w:sz w:val="24"/>
                <w:szCs w:val="24"/>
              </w:rPr>
            </w:pPr>
            <w:r>
              <w:rPr>
                <w:sz w:val="24"/>
                <w:szCs w:val="24"/>
              </w:rPr>
              <w:t>0.0214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sz w:val="24"/>
                <w:szCs w:val="24"/>
              </w:rPr>
              <w:t>氨氮</w:t>
            </w:r>
          </w:p>
        </w:tc>
        <w:tc>
          <w:tcPr>
            <w:tcW w:w="2110" w:type="dxa"/>
            <w:vAlign w:val="center"/>
          </w:tcPr>
          <w:p>
            <w:pPr>
              <w:pStyle w:val="45"/>
              <w:rPr>
                <w:sz w:val="24"/>
                <w:szCs w:val="24"/>
              </w:rPr>
            </w:pPr>
            <w:r>
              <w:rPr>
                <w:sz w:val="24"/>
                <w:szCs w:val="24"/>
              </w:rPr>
              <w:t>35mg/</w:t>
            </w:r>
            <w:r>
              <w:rPr>
                <w:snapToGrid w:val="0"/>
                <w:kern w:val="0"/>
                <w:sz w:val="24"/>
                <w:szCs w:val="24"/>
              </w:rPr>
              <w:t>L</w:t>
            </w:r>
            <w:r>
              <w:rPr>
                <w:sz w:val="24"/>
                <w:szCs w:val="24"/>
              </w:rPr>
              <w:t xml:space="preserve">， </w:t>
            </w:r>
          </w:p>
          <w:p>
            <w:pPr>
              <w:pStyle w:val="45"/>
              <w:rPr>
                <w:sz w:val="24"/>
                <w:szCs w:val="24"/>
              </w:rPr>
            </w:pPr>
            <w:r>
              <w:rPr>
                <w:sz w:val="24"/>
                <w:szCs w:val="24"/>
              </w:rPr>
              <w:t>0.0047t/a</w:t>
            </w:r>
          </w:p>
        </w:tc>
        <w:tc>
          <w:tcPr>
            <w:tcW w:w="2005" w:type="dxa"/>
            <w:vAlign w:val="center"/>
          </w:tcPr>
          <w:p>
            <w:pPr>
              <w:pStyle w:val="45"/>
              <w:rPr>
                <w:sz w:val="24"/>
                <w:szCs w:val="24"/>
              </w:rPr>
            </w:pPr>
            <w:r>
              <w:rPr>
                <w:sz w:val="24"/>
                <w:szCs w:val="24"/>
              </w:rPr>
              <w:t>25mg/</w:t>
            </w:r>
            <w:r>
              <w:rPr>
                <w:snapToGrid w:val="0"/>
                <w:kern w:val="0"/>
                <w:sz w:val="24"/>
                <w:szCs w:val="24"/>
              </w:rPr>
              <w:t>L</w:t>
            </w:r>
            <w:r>
              <w:rPr>
                <w:sz w:val="24"/>
                <w:szCs w:val="24"/>
              </w:rPr>
              <w:t>，</w:t>
            </w:r>
          </w:p>
          <w:p>
            <w:pPr>
              <w:pStyle w:val="45"/>
              <w:rPr>
                <w:sz w:val="24"/>
                <w:szCs w:val="24"/>
              </w:rPr>
            </w:pPr>
            <w:r>
              <w:rPr>
                <w:sz w:val="24"/>
                <w:szCs w:val="24"/>
              </w:rPr>
              <w:t>0.0043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sz w:val="24"/>
                <w:szCs w:val="24"/>
              </w:rPr>
              <w:t>SS</w:t>
            </w:r>
          </w:p>
        </w:tc>
        <w:tc>
          <w:tcPr>
            <w:tcW w:w="2110" w:type="dxa"/>
            <w:vAlign w:val="center"/>
          </w:tcPr>
          <w:p>
            <w:pPr>
              <w:pStyle w:val="45"/>
              <w:rPr>
                <w:sz w:val="24"/>
                <w:szCs w:val="24"/>
              </w:rPr>
            </w:pPr>
            <w:r>
              <w:rPr>
                <w:sz w:val="24"/>
                <w:szCs w:val="24"/>
              </w:rPr>
              <w:t>200mg/</w:t>
            </w:r>
            <w:r>
              <w:rPr>
                <w:snapToGrid w:val="0"/>
                <w:kern w:val="0"/>
                <w:sz w:val="24"/>
                <w:szCs w:val="24"/>
              </w:rPr>
              <w:t>L</w:t>
            </w:r>
            <w:r>
              <w:rPr>
                <w:sz w:val="24"/>
                <w:szCs w:val="24"/>
              </w:rPr>
              <w:t>，</w:t>
            </w:r>
          </w:p>
          <w:p>
            <w:pPr>
              <w:pStyle w:val="45"/>
              <w:rPr>
                <w:sz w:val="24"/>
                <w:szCs w:val="24"/>
              </w:rPr>
            </w:pPr>
            <w:r>
              <w:rPr>
                <w:sz w:val="24"/>
                <w:szCs w:val="24"/>
              </w:rPr>
              <w:t>0.0268 t/a</w:t>
            </w:r>
          </w:p>
        </w:tc>
        <w:tc>
          <w:tcPr>
            <w:tcW w:w="2005" w:type="dxa"/>
            <w:vAlign w:val="center"/>
          </w:tcPr>
          <w:p>
            <w:pPr>
              <w:pStyle w:val="45"/>
              <w:rPr>
                <w:sz w:val="24"/>
                <w:szCs w:val="24"/>
              </w:rPr>
            </w:pPr>
            <w:r>
              <w:rPr>
                <w:sz w:val="24"/>
                <w:szCs w:val="24"/>
              </w:rPr>
              <w:t>140mg/</w:t>
            </w:r>
            <w:r>
              <w:rPr>
                <w:snapToGrid w:val="0"/>
                <w:kern w:val="0"/>
                <w:sz w:val="24"/>
                <w:szCs w:val="24"/>
              </w:rPr>
              <w:t>L</w:t>
            </w:r>
            <w:r>
              <w:rPr>
                <w:sz w:val="24"/>
                <w:szCs w:val="24"/>
              </w:rPr>
              <w:t>，</w:t>
            </w:r>
          </w:p>
          <w:p>
            <w:pPr>
              <w:pStyle w:val="45"/>
              <w:rPr>
                <w:sz w:val="24"/>
                <w:szCs w:val="24"/>
              </w:rPr>
            </w:pPr>
            <w:r>
              <w:rPr>
                <w:sz w:val="24"/>
                <w:szCs w:val="24"/>
              </w:rPr>
              <w:t>0.0187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Align w:val="center"/>
          </w:tcPr>
          <w:p>
            <w:pPr>
              <w:pStyle w:val="45"/>
              <w:rPr>
                <w:sz w:val="24"/>
                <w:szCs w:val="24"/>
              </w:rPr>
            </w:pPr>
            <w:r>
              <w:rPr>
                <w:sz w:val="24"/>
                <w:szCs w:val="24"/>
              </w:rPr>
              <w:t>喷淋塔用水</w:t>
            </w:r>
          </w:p>
        </w:tc>
        <w:tc>
          <w:tcPr>
            <w:tcW w:w="1727" w:type="dxa"/>
            <w:vAlign w:val="center"/>
          </w:tcPr>
          <w:p>
            <w:pPr>
              <w:pStyle w:val="45"/>
              <w:rPr>
                <w:sz w:val="24"/>
                <w:szCs w:val="24"/>
              </w:rPr>
            </w:pPr>
            <w:r>
              <w:rPr>
                <w:sz w:val="24"/>
                <w:szCs w:val="24"/>
              </w:rPr>
              <w:t>循环使用不外排</w:t>
            </w:r>
          </w:p>
        </w:tc>
        <w:tc>
          <w:tcPr>
            <w:tcW w:w="2110" w:type="dxa"/>
            <w:vAlign w:val="center"/>
          </w:tcPr>
          <w:p>
            <w:pPr>
              <w:pStyle w:val="45"/>
              <w:rPr>
                <w:sz w:val="24"/>
                <w:szCs w:val="24"/>
              </w:rPr>
            </w:pPr>
            <w:r>
              <w:rPr>
                <w:sz w:val="24"/>
                <w:szCs w:val="24"/>
              </w:rPr>
              <w:t>循环使用</w:t>
            </w:r>
          </w:p>
        </w:tc>
        <w:tc>
          <w:tcPr>
            <w:tcW w:w="2005" w:type="dxa"/>
            <w:vAlign w:val="center"/>
          </w:tcPr>
          <w:p>
            <w:pPr>
              <w:pStyle w:val="45"/>
              <w:rPr>
                <w:sz w:val="24"/>
                <w:szCs w:val="24"/>
              </w:rPr>
            </w:pPr>
            <w:r>
              <w:rPr>
                <w:sz w:val="24"/>
                <w:szCs w:val="24"/>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restart"/>
            <w:vAlign w:val="center"/>
          </w:tcPr>
          <w:p>
            <w:pPr>
              <w:pStyle w:val="45"/>
              <w:rPr>
                <w:sz w:val="24"/>
                <w:szCs w:val="24"/>
              </w:rPr>
            </w:pPr>
            <w:r>
              <w:rPr>
                <w:sz w:val="24"/>
                <w:szCs w:val="24"/>
              </w:rPr>
              <w:t>大</w:t>
            </w:r>
          </w:p>
          <w:p>
            <w:pPr>
              <w:pStyle w:val="45"/>
              <w:rPr>
                <w:sz w:val="24"/>
                <w:szCs w:val="24"/>
              </w:rPr>
            </w:pPr>
            <w:r>
              <w:rPr>
                <w:sz w:val="24"/>
                <w:szCs w:val="24"/>
              </w:rPr>
              <w:t>气</w:t>
            </w:r>
          </w:p>
          <w:p>
            <w:pPr>
              <w:pStyle w:val="45"/>
              <w:rPr>
                <w:sz w:val="24"/>
                <w:szCs w:val="24"/>
              </w:rPr>
            </w:pPr>
            <w:r>
              <w:rPr>
                <w:sz w:val="24"/>
                <w:szCs w:val="24"/>
              </w:rPr>
              <w:t>污</w:t>
            </w:r>
          </w:p>
          <w:p>
            <w:pPr>
              <w:pStyle w:val="45"/>
              <w:rPr>
                <w:sz w:val="24"/>
                <w:szCs w:val="24"/>
              </w:rPr>
            </w:pPr>
            <w:r>
              <w:rPr>
                <w:sz w:val="24"/>
                <w:szCs w:val="24"/>
              </w:rPr>
              <w:t>染</w:t>
            </w:r>
          </w:p>
          <w:p>
            <w:pPr>
              <w:pStyle w:val="45"/>
              <w:rPr>
                <w:sz w:val="24"/>
                <w:szCs w:val="24"/>
              </w:rPr>
            </w:pPr>
            <w:r>
              <w:rPr>
                <w:sz w:val="24"/>
                <w:szCs w:val="24"/>
              </w:rPr>
              <w:t>物</w:t>
            </w:r>
          </w:p>
        </w:tc>
        <w:tc>
          <w:tcPr>
            <w:tcW w:w="2436" w:type="dxa"/>
            <w:vAlign w:val="center"/>
          </w:tcPr>
          <w:p>
            <w:pPr>
              <w:pStyle w:val="45"/>
              <w:rPr>
                <w:sz w:val="24"/>
                <w:szCs w:val="24"/>
              </w:rPr>
            </w:pPr>
            <w:r>
              <w:rPr>
                <w:rFonts w:hint="eastAsia"/>
                <w:sz w:val="24"/>
                <w:szCs w:val="24"/>
              </w:rPr>
              <w:t>废气产生总量</w:t>
            </w:r>
          </w:p>
        </w:tc>
        <w:tc>
          <w:tcPr>
            <w:tcW w:w="5842" w:type="dxa"/>
            <w:gridSpan w:val="3"/>
            <w:vAlign w:val="center"/>
          </w:tcPr>
          <w:p>
            <w:pPr>
              <w:pStyle w:val="45"/>
              <w:rPr>
                <w:sz w:val="24"/>
                <w:szCs w:val="24"/>
              </w:rPr>
            </w:pPr>
            <w:r>
              <w:rPr>
                <w:rFonts w:hint="eastAsia"/>
                <w:sz w:val="24"/>
                <w:szCs w:val="24"/>
              </w:rPr>
              <w:t>3372万m</w:t>
            </w:r>
            <w:r>
              <w:rPr>
                <w:sz w:val="24"/>
                <w:szCs w:val="24"/>
                <w:vertAlign w:val="superscript"/>
              </w:rPr>
              <w:t>3</w:t>
            </w:r>
            <w:r>
              <w:rPr>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Align w:val="center"/>
          </w:tcPr>
          <w:p>
            <w:pPr>
              <w:pStyle w:val="45"/>
              <w:rPr>
                <w:sz w:val="24"/>
                <w:szCs w:val="24"/>
              </w:rPr>
            </w:pPr>
            <w:r>
              <w:rPr>
                <w:sz w:val="24"/>
                <w:szCs w:val="24"/>
              </w:rPr>
              <w:t>开料切割、机加工</w:t>
            </w:r>
          </w:p>
        </w:tc>
        <w:tc>
          <w:tcPr>
            <w:tcW w:w="1727" w:type="dxa"/>
            <w:vAlign w:val="center"/>
          </w:tcPr>
          <w:p>
            <w:pPr>
              <w:pStyle w:val="45"/>
              <w:rPr>
                <w:sz w:val="24"/>
                <w:szCs w:val="24"/>
              </w:rPr>
            </w:pPr>
            <w:r>
              <w:rPr>
                <w:sz w:val="24"/>
                <w:szCs w:val="24"/>
              </w:rPr>
              <w:t>金属粉尘</w:t>
            </w:r>
          </w:p>
        </w:tc>
        <w:tc>
          <w:tcPr>
            <w:tcW w:w="2110" w:type="dxa"/>
            <w:vAlign w:val="center"/>
          </w:tcPr>
          <w:p>
            <w:pPr>
              <w:pStyle w:val="45"/>
              <w:rPr>
                <w:sz w:val="24"/>
                <w:szCs w:val="24"/>
              </w:rPr>
            </w:pPr>
            <w:r>
              <w:rPr>
                <w:sz w:val="24"/>
                <w:szCs w:val="24"/>
              </w:rPr>
              <w:t>及时清理、加强通风</w:t>
            </w:r>
          </w:p>
        </w:tc>
        <w:tc>
          <w:tcPr>
            <w:tcW w:w="2005" w:type="dxa"/>
            <w:vAlign w:val="center"/>
          </w:tcPr>
          <w:p>
            <w:pPr>
              <w:pStyle w:val="45"/>
              <w:rPr>
                <w:sz w:val="24"/>
                <w:szCs w:val="24"/>
              </w:rPr>
            </w:pPr>
            <w:r>
              <w:rPr>
                <w:sz w:val="24"/>
                <w:szCs w:val="24"/>
              </w:rPr>
              <w:t>忽略不计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restart"/>
            <w:vAlign w:val="center"/>
          </w:tcPr>
          <w:p>
            <w:pPr>
              <w:pStyle w:val="45"/>
              <w:rPr>
                <w:sz w:val="24"/>
                <w:szCs w:val="24"/>
              </w:rPr>
            </w:pPr>
            <w:r>
              <w:rPr>
                <w:sz w:val="24"/>
                <w:szCs w:val="24"/>
              </w:rPr>
              <w:t>抛光打磨</w:t>
            </w:r>
          </w:p>
        </w:tc>
        <w:tc>
          <w:tcPr>
            <w:tcW w:w="1727" w:type="dxa"/>
            <w:vAlign w:val="center"/>
          </w:tcPr>
          <w:p>
            <w:pPr>
              <w:pStyle w:val="45"/>
              <w:rPr>
                <w:sz w:val="24"/>
                <w:szCs w:val="24"/>
              </w:rPr>
            </w:pPr>
            <w:r>
              <w:rPr>
                <w:sz w:val="24"/>
                <w:szCs w:val="24"/>
              </w:rPr>
              <w:t>有组织粉尘</w:t>
            </w:r>
          </w:p>
        </w:tc>
        <w:tc>
          <w:tcPr>
            <w:tcW w:w="2110" w:type="dxa"/>
            <w:vAlign w:val="center"/>
          </w:tcPr>
          <w:p>
            <w:pPr>
              <w:pStyle w:val="45"/>
              <w:rPr>
                <w:sz w:val="24"/>
                <w:szCs w:val="24"/>
              </w:rPr>
            </w:pPr>
            <w:r>
              <w:rPr>
                <w:sz w:val="24"/>
                <w:szCs w:val="24"/>
              </w:rPr>
              <w:t>0.09975t/a</w:t>
            </w:r>
          </w:p>
        </w:tc>
        <w:tc>
          <w:tcPr>
            <w:tcW w:w="2005" w:type="dxa"/>
            <w:vAlign w:val="center"/>
          </w:tcPr>
          <w:p>
            <w:pPr>
              <w:pStyle w:val="45"/>
              <w:rPr>
                <w:sz w:val="24"/>
                <w:szCs w:val="24"/>
              </w:rPr>
            </w:pPr>
            <w:r>
              <w:rPr>
                <w:sz w:val="24"/>
                <w:szCs w:val="24"/>
              </w:rPr>
              <w:t>0.02993t/a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sz w:val="24"/>
                <w:szCs w:val="24"/>
              </w:rPr>
              <w:t>无组织粉尘</w:t>
            </w:r>
          </w:p>
        </w:tc>
        <w:tc>
          <w:tcPr>
            <w:tcW w:w="2110" w:type="dxa"/>
            <w:vAlign w:val="center"/>
          </w:tcPr>
          <w:p>
            <w:pPr>
              <w:pStyle w:val="45"/>
              <w:rPr>
                <w:sz w:val="24"/>
                <w:szCs w:val="24"/>
              </w:rPr>
            </w:pPr>
            <w:r>
              <w:rPr>
                <w:sz w:val="24"/>
                <w:szCs w:val="24"/>
              </w:rPr>
              <w:t>0.00525t/a</w:t>
            </w:r>
          </w:p>
        </w:tc>
        <w:tc>
          <w:tcPr>
            <w:tcW w:w="2005" w:type="dxa"/>
            <w:vAlign w:val="center"/>
          </w:tcPr>
          <w:p>
            <w:pPr>
              <w:pStyle w:val="45"/>
              <w:rPr>
                <w:sz w:val="24"/>
                <w:szCs w:val="24"/>
              </w:rPr>
            </w:pPr>
            <w:r>
              <w:rPr>
                <w:sz w:val="24"/>
                <w:szCs w:val="24"/>
              </w:rPr>
              <w:t>0.00525t/a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rFonts w:hint="eastAsia"/>
                <w:sz w:val="24"/>
                <w:szCs w:val="24"/>
              </w:rPr>
              <w:t>合计</w:t>
            </w:r>
          </w:p>
        </w:tc>
        <w:tc>
          <w:tcPr>
            <w:tcW w:w="2110" w:type="dxa"/>
            <w:vAlign w:val="center"/>
          </w:tcPr>
          <w:p>
            <w:pPr>
              <w:pStyle w:val="45"/>
              <w:rPr>
                <w:sz w:val="24"/>
                <w:szCs w:val="24"/>
              </w:rPr>
            </w:pPr>
            <w:r>
              <w:rPr>
                <w:rFonts w:hint="eastAsia"/>
                <w:sz w:val="24"/>
                <w:szCs w:val="24"/>
              </w:rPr>
              <w:t>0</w:t>
            </w:r>
            <w:r>
              <w:rPr>
                <w:sz w:val="24"/>
                <w:szCs w:val="24"/>
              </w:rPr>
              <w:t>.105t/a</w:t>
            </w:r>
          </w:p>
        </w:tc>
        <w:tc>
          <w:tcPr>
            <w:tcW w:w="2005" w:type="dxa"/>
            <w:vAlign w:val="center"/>
          </w:tcPr>
          <w:p>
            <w:pPr>
              <w:pStyle w:val="45"/>
              <w:rPr>
                <w:sz w:val="24"/>
                <w:szCs w:val="24"/>
              </w:rPr>
            </w:pPr>
            <w:r>
              <w:rPr>
                <w:rFonts w:hint="eastAsia"/>
                <w:sz w:val="24"/>
                <w:szCs w:val="24"/>
              </w:rPr>
              <w:t>0</w:t>
            </w:r>
            <w:r>
              <w:rPr>
                <w:sz w:val="24"/>
                <w:szCs w:val="24"/>
              </w:rPr>
              <w:t>.03518t/a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878" w:hRule="atLeast"/>
          <w:jc w:val="center"/>
        </w:trPr>
        <w:tc>
          <w:tcPr>
            <w:tcW w:w="794" w:type="dxa"/>
            <w:vMerge w:val="continue"/>
            <w:vAlign w:val="center"/>
          </w:tcPr>
          <w:p>
            <w:pPr>
              <w:pStyle w:val="45"/>
              <w:rPr>
                <w:sz w:val="24"/>
                <w:szCs w:val="24"/>
              </w:rPr>
            </w:pPr>
          </w:p>
        </w:tc>
        <w:tc>
          <w:tcPr>
            <w:tcW w:w="2436" w:type="dxa"/>
            <w:vMerge w:val="restart"/>
            <w:vAlign w:val="center"/>
          </w:tcPr>
          <w:p>
            <w:pPr>
              <w:pStyle w:val="45"/>
              <w:rPr>
                <w:sz w:val="24"/>
                <w:szCs w:val="24"/>
              </w:rPr>
            </w:pPr>
            <w:r>
              <w:rPr>
                <w:rFonts w:hint="eastAsia"/>
                <w:sz w:val="24"/>
                <w:szCs w:val="24"/>
              </w:rPr>
              <w:t>热冲油烟</w:t>
            </w:r>
          </w:p>
        </w:tc>
        <w:tc>
          <w:tcPr>
            <w:tcW w:w="1727" w:type="dxa"/>
            <w:vAlign w:val="center"/>
          </w:tcPr>
          <w:p>
            <w:pPr>
              <w:pStyle w:val="45"/>
              <w:rPr>
                <w:sz w:val="24"/>
                <w:szCs w:val="24"/>
              </w:rPr>
            </w:pPr>
            <w:r>
              <w:rPr>
                <w:rFonts w:hint="eastAsia"/>
                <w:sz w:val="24"/>
                <w:szCs w:val="24"/>
              </w:rPr>
              <w:t>有组织</w:t>
            </w:r>
            <w:r>
              <w:rPr>
                <w:sz w:val="24"/>
                <w:szCs w:val="24"/>
              </w:rPr>
              <w:t>油烟</w:t>
            </w:r>
          </w:p>
        </w:tc>
        <w:tc>
          <w:tcPr>
            <w:tcW w:w="2110" w:type="dxa"/>
            <w:vAlign w:val="center"/>
          </w:tcPr>
          <w:p>
            <w:pPr>
              <w:pStyle w:val="45"/>
              <w:rPr>
                <w:sz w:val="24"/>
                <w:szCs w:val="24"/>
              </w:rPr>
            </w:pPr>
            <w:r>
              <w:rPr>
                <w:sz w:val="24"/>
                <w:szCs w:val="24"/>
              </w:rPr>
              <w:t>5.65mg/m</w:t>
            </w:r>
            <w:r>
              <w:rPr>
                <w:sz w:val="24"/>
                <w:szCs w:val="24"/>
                <w:vertAlign w:val="superscript"/>
              </w:rPr>
              <w:t>3</w:t>
            </w:r>
            <w:r>
              <w:rPr>
                <w:sz w:val="24"/>
                <w:szCs w:val="24"/>
              </w:rPr>
              <w:t>，</w:t>
            </w:r>
          </w:p>
          <w:p>
            <w:pPr>
              <w:spacing w:line="240" w:lineRule="auto"/>
              <w:ind w:firstLine="0" w:firstLineChars="0"/>
              <w:jc w:val="center"/>
              <w:rPr>
                <w:rFonts w:cs="Times New Roman"/>
                <w:lang w:val="zh-CN"/>
              </w:rPr>
            </w:pPr>
            <w:r>
              <w:rPr>
                <w:rFonts w:cs="Times New Roman"/>
                <w:lang w:val="zh-CN"/>
              </w:rPr>
              <w:t>0.038t/a</w:t>
            </w:r>
          </w:p>
        </w:tc>
        <w:tc>
          <w:tcPr>
            <w:tcW w:w="2005" w:type="dxa"/>
            <w:vAlign w:val="center"/>
          </w:tcPr>
          <w:p>
            <w:pPr>
              <w:pStyle w:val="45"/>
              <w:rPr>
                <w:sz w:val="24"/>
                <w:szCs w:val="24"/>
                <w:vertAlign w:val="superscript"/>
              </w:rPr>
            </w:pPr>
            <w:r>
              <w:rPr>
                <w:sz w:val="24"/>
                <w:szCs w:val="24"/>
              </w:rPr>
              <w:t>0.40mg/m</w:t>
            </w:r>
            <w:r>
              <w:rPr>
                <w:sz w:val="24"/>
                <w:szCs w:val="24"/>
                <w:vertAlign w:val="superscript"/>
              </w:rPr>
              <w:t>3</w:t>
            </w:r>
          </w:p>
          <w:p>
            <w:pPr>
              <w:spacing w:line="240" w:lineRule="auto"/>
              <w:ind w:firstLine="480"/>
              <w:rPr>
                <w:rFonts w:cs="Times New Roman"/>
                <w:lang w:val="zh-CN"/>
              </w:rPr>
            </w:pPr>
            <w:r>
              <w:rPr>
                <w:rFonts w:cs="Times New Roman"/>
                <w:lang w:val="zh-CN"/>
              </w:rPr>
              <w:t>0.00266t/a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0"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rFonts w:hint="eastAsia"/>
                <w:sz w:val="24"/>
                <w:szCs w:val="24"/>
              </w:rPr>
              <w:t>无组织</w:t>
            </w:r>
            <w:r>
              <w:rPr>
                <w:sz w:val="24"/>
                <w:szCs w:val="24"/>
              </w:rPr>
              <w:t>油烟</w:t>
            </w:r>
          </w:p>
        </w:tc>
        <w:tc>
          <w:tcPr>
            <w:tcW w:w="2110" w:type="dxa"/>
            <w:vAlign w:val="center"/>
          </w:tcPr>
          <w:p>
            <w:pPr>
              <w:pStyle w:val="45"/>
              <w:rPr>
                <w:sz w:val="24"/>
                <w:szCs w:val="24"/>
              </w:rPr>
            </w:pPr>
            <w:r>
              <w:rPr>
                <w:sz w:val="24"/>
                <w:szCs w:val="24"/>
              </w:rPr>
              <w:t>0.002t/a</w:t>
            </w:r>
          </w:p>
        </w:tc>
        <w:tc>
          <w:tcPr>
            <w:tcW w:w="2005" w:type="dxa"/>
            <w:vAlign w:val="center"/>
          </w:tcPr>
          <w:p>
            <w:pPr>
              <w:pStyle w:val="45"/>
              <w:rPr>
                <w:sz w:val="24"/>
                <w:szCs w:val="24"/>
              </w:rPr>
            </w:pPr>
            <w:r>
              <w:rPr>
                <w:sz w:val="24"/>
                <w:szCs w:val="24"/>
              </w:rPr>
              <w:t>0.002t/a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50"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vAlign w:val="center"/>
          </w:tcPr>
          <w:p>
            <w:pPr>
              <w:pStyle w:val="45"/>
              <w:rPr>
                <w:sz w:val="24"/>
                <w:szCs w:val="24"/>
              </w:rPr>
            </w:pPr>
            <w:r>
              <w:rPr>
                <w:rFonts w:hint="eastAsia"/>
                <w:sz w:val="24"/>
                <w:szCs w:val="24"/>
              </w:rPr>
              <w:t>合计</w:t>
            </w:r>
          </w:p>
        </w:tc>
        <w:tc>
          <w:tcPr>
            <w:tcW w:w="2110" w:type="dxa"/>
            <w:vAlign w:val="center"/>
          </w:tcPr>
          <w:p>
            <w:pPr>
              <w:pStyle w:val="45"/>
              <w:rPr>
                <w:sz w:val="24"/>
                <w:szCs w:val="24"/>
              </w:rPr>
            </w:pPr>
            <w:r>
              <w:rPr>
                <w:rFonts w:hint="eastAsia"/>
                <w:sz w:val="24"/>
                <w:szCs w:val="24"/>
              </w:rPr>
              <w:t>0</w:t>
            </w:r>
            <w:r>
              <w:rPr>
                <w:sz w:val="24"/>
                <w:szCs w:val="24"/>
              </w:rPr>
              <w:t>.04t/a</w:t>
            </w:r>
          </w:p>
        </w:tc>
        <w:tc>
          <w:tcPr>
            <w:tcW w:w="2005" w:type="dxa"/>
            <w:vAlign w:val="center"/>
          </w:tcPr>
          <w:p>
            <w:pPr>
              <w:pStyle w:val="45"/>
              <w:rPr>
                <w:sz w:val="24"/>
                <w:szCs w:val="24"/>
              </w:rPr>
            </w:pPr>
            <w:r>
              <w:rPr>
                <w:rFonts w:hint="eastAsia"/>
                <w:sz w:val="24"/>
                <w:szCs w:val="24"/>
              </w:rPr>
              <w:t>0</w:t>
            </w:r>
            <w:r>
              <w:rPr>
                <w:sz w:val="24"/>
                <w:szCs w:val="24"/>
              </w:rPr>
              <w:t>.00466t/a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269" w:hRule="atLeast"/>
          <w:jc w:val="center"/>
        </w:trPr>
        <w:tc>
          <w:tcPr>
            <w:tcW w:w="794" w:type="dxa"/>
            <w:vAlign w:val="center"/>
          </w:tcPr>
          <w:p>
            <w:pPr>
              <w:pStyle w:val="45"/>
              <w:rPr>
                <w:kern w:val="0"/>
                <w:sz w:val="24"/>
                <w:szCs w:val="24"/>
              </w:rPr>
            </w:pPr>
            <w:r>
              <w:rPr>
                <w:rFonts w:hint="eastAsia"/>
                <w:kern w:val="0"/>
                <w:sz w:val="24"/>
                <w:szCs w:val="24"/>
              </w:rPr>
              <w:t>噪</w:t>
            </w:r>
          </w:p>
          <w:p>
            <w:pPr>
              <w:pStyle w:val="45"/>
              <w:rPr>
                <w:kern w:val="0"/>
                <w:sz w:val="24"/>
                <w:szCs w:val="24"/>
              </w:rPr>
            </w:pPr>
            <w:r>
              <w:rPr>
                <w:rFonts w:hint="eastAsia"/>
                <w:kern w:val="0"/>
                <w:sz w:val="24"/>
                <w:szCs w:val="24"/>
              </w:rPr>
              <w:t>声</w:t>
            </w:r>
          </w:p>
        </w:tc>
        <w:tc>
          <w:tcPr>
            <w:tcW w:w="2436" w:type="dxa"/>
            <w:vAlign w:val="center"/>
          </w:tcPr>
          <w:p>
            <w:pPr>
              <w:pStyle w:val="45"/>
              <w:rPr>
                <w:kern w:val="0"/>
                <w:sz w:val="24"/>
                <w:szCs w:val="24"/>
              </w:rPr>
            </w:pPr>
            <w:r>
              <w:rPr>
                <w:kern w:val="0"/>
                <w:sz w:val="24"/>
                <w:szCs w:val="24"/>
              </w:rPr>
              <w:t>生产车间</w:t>
            </w:r>
          </w:p>
        </w:tc>
        <w:tc>
          <w:tcPr>
            <w:tcW w:w="1727" w:type="dxa"/>
            <w:vAlign w:val="center"/>
          </w:tcPr>
          <w:p>
            <w:pPr>
              <w:pStyle w:val="45"/>
              <w:rPr>
                <w:kern w:val="0"/>
                <w:sz w:val="24"/>
                <w:szCs w:val="24"/>
              </w:rPr>
            </w:pPr>
            <w:r>
              <w:rPr>
                <w:kern w:val="0"/>
                <w:sz w:val="24"/>
                <w:szCs w:val="24"/>
              </w:rPr>
              <w:t>生产设备噪声</w:t>
            </w:r>
          </w:p>
        </w:tc>
        <w:tc>
          <w:tcPr>
            <w:tcW w:w="2110" w:type="dxa"/>
            <w:vAlign w:val="center"/>
          </w:tcPr>
          <w:p>
            <w:pPr>
              <w:pStyle w:val="45"/>
              <w:rPr>
                <w:kern w:val="28"/>
                <w:sz w:val="24"/>
                <w:szCs w:val="24"/>
              </w:rPr>
            </w:pPr>
            <w:r>
              <w:rPr>
                <w:kern w:val="28"/>
                <w:sz w:val="24"/>
                <w:szCs w:val="24"/>
              </w:rPr>
              <w:t>60-90dB(A)</w:t>
            </w:r>
          </w:p>
        </w:tc>
        <w:tc>
          <w:tcPr>
            <w:tcW w:w="2005" w:type="dxa"/>
            <w:vAlign w:val="center"/>
          </w:tcPr>
          <w:p>
            <w:pPr>
              <w:pStyle w:val="45"/>
              <w:rPr>
                <w:kern w:val="0"/>
                <w:sz w:val="24"/>
                <w:szCs w:val="24"/>
              </w:rPr>
            </w:pPr>
            <w:r>
              <w:rPr>
                <w:kern w:val="0"/>
                <w:sz w:val="24"/>
                <w:szCs w:val="24"/>
              </w:rPr>
              <w:t>昼间≤65dB(A)</w:t>
            </w:r>
          </w:p>
          <w:p>
            <w:pPr>
              <w:pStyle w:val="45"/>
              <w:rPr>
                <w:kern w:val="0"/>
                <w:sz w:val="24"/>
                <w:szCs w:val="24"/>
              </w:rPr>
            </w:pPr>
            <w:r>
              <w:rPr>
                <w:kern w:val="0"/>
                <w:sz w:val="24"/>
                <w:szCs w:val="24"/>
              </w:rPr>
              <w:t>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04" w:hRule="atLeast"/>
          <w:jc w:val="center"/>
        </w:trPr>
        <w:tc>
          <w:tcPr>
            <w:tcW w:w="794" w:type="dxa"/>
            <w:vMerge w:val="restart"/>
            <w:vAlign w:val="center"/>
          </w:tcPr>
          <w:p>
            <w:pPr>
              <w:pStyle w:val="45"/>
              <w:rPr>
                <w:sz w:val="24"/>
                <w:szCs w:val="24"/>
              </w:rPr>
            </w:pPr>
            <w:r>
              <w:rPr>
                <w:rFonts w:hint="eastAsia"/>
                <w:sz w:val="24"/>
                <w:szCs w:val="24"/>
              </w:rPr>
              <w:t>固体废物</w:t>
            </w:r>
          </w:p>
        </w:tc>
        <w:tc>
          <w:tcPr>
            <w:tcW w:w="2436" w:type="dxa"/>
            <w:vMerge w:val="restart"/>
            <w:vAlign w:val="center"/>
          </w:tcPr>
          <w:p>
            <w:pPr>
              <w:pStyle w:val="45"/>
              <w:rPr>
                <w:sz w:val="24"/>
                <w:szCs w:val="24"/>
              </w:rPr>
            </w:pPr>
            <w:r>
              <w:rPr>
                <w:sz w:val="24"/>
                <w:szCs w:val="24"/>
              </w:rPr>
              <w:t>一般工业固废</w:t>
            </w:r>
          </w:p>
        </w:tc>
        <w:tc>
          <w:tcPr>
            <w:tcW w:w="1727" w:type="dxa"/>
            <w:shd w:val="clear" w:color="auto" w:fill="auto"/>
            <w:vAlign w:val="center"/>
          </w:tcPr>
          <w:p>
            <w:pPr>
              <w:pStyle w:val="45"/>
              <w:rPr>
                <w:sz w:val="24"/>
                <w:szCs w:val="24"/>
              </w:rPr>
            </w:pPr>
            <w:r>
              <w:rPr>
                <w:sz w:val="24"/>
                <w:szCs w:val="24"/>
              </w:rPr>
              <w:t>边角料</w:t>
            </w:r>
          </w:p>
        </w:tc>
        <w:tc>
          <w:tcPr>
            <w:tcW w:w="2110" w:type="dxa"/>
            <w:shd w:val="clear" w:color="auto" w:fill="auto"/>
            <w:vAlign w:val="center"/>
          </w:tcPr>
          <w:p>
            <w:pPr>
              <w:pStyle w:val="45"/>
              <w:rPr>
                <w:sz w:val="24"/>
                <w:szCs w:val="24"/>
              </w:rPr>
            </w:pPr>
            <w:r>
              <w:rPr>
                <w:sz w:val="24"/>
                <w:szCs w:val="24"/>
              </w:rPr>
              <w:t>0.05t/a</w:t>
            </w:r>
          </w:p>
        </w:tc>
        <w:tc>
          <w:tcPr>
            <w:tcW w:w="2005" w:type="dxa"/>
            <w:vAlign w:val="center"/>
          </w:tcPr>
          <w:p>
            <w:pPr>
              <w:pStyle w:val="45"/>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354"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shd w:val="clear" w:color="auto" w:fill="auto"/>
            <w:vAlign w:val="center"/>
          </w:tcPr>
          <w:p>
            <w:pPr>
              <w:pStyle w:val="45"/>
              <w:rPr>
                <w:sz w:val="24"/>
                <w:szCs w:val="24"/>
              </w:rPr>
            </w:pPr>
            <w:r>
              <w:rPr>
                <w:sz w:val="24"/>
                <w:szCs w:val="24"/>
              </w:rPr>
              <w:t>废包装材料</w:t>
            </w:r>
          </w:p>
        </w:tc>
        <w:tc>
          <w:tcPr>
            <w:tcW w:w="2110" w:type="dxa"/>
            <w:shd w:val="clear" w:color="auto" w:fill="auto"/>
            <w:vAlign w:val="center"/>
          </w:tcPr>
          <w:p>
            <w:pPr>
              <w:pStyle w:val="45"/>
              <w:rPr>
                <w:sz w:val="24"/>
                <w:szCs w:val="24"/>
              </w:rPr>
            </w:pPr>
            <w:r>
              <w:rPr>
                <w:sz w:val="24"/>
                <w:szCs w:val="24"/>
              </w:rPr>
              <w:t>0.35t/a</w:t>
            </w:r>
          </w:p>
        </w:tc>
        <w:tc>
          <w:tcPr>
            <w:tcW w:w="2005" w:type="dxa"/>
            <w:tcBorders>
              <w:bottom w:val="single" w:color="000000" w:sz="4" w:space="0"/>
            </w:tcBorders>
            <w:vAlign w:val="center"/>
          </w:tcPr>
          <w:p>
            <w:pPr>
              <w:pStyle w:val="45"/>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354"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shd w:val="clear" w:color="auto" w:fill="auto"/>
            <w:vAlign w:val="center"/>
          </w:tcPr>
          <w:p>
            <w:pPr>
              <w:pStyle w:val="45"/>
              <w:rPr>
                <w:sz w:val="24"/>
                <w:szCs w:val="24"/>
              </w:rPr>
            </w:pPr>
            <w:r>
              <w:rPr>
                <w:sz w:val="24"/>
                <w:szCs w:val="24"/>
              </w:rPr>
              <w:t>喷淋塔打捞渣</w:t>
            </w:r>
          </w:p>
        </w:tc>
        <w:tc>
          <w:tcPr>
            <w:tcW w:w="2110" w:type="dxa"/>
            <w:shd w:val="clear" w:color="auto" w:fill="auto"/>
            <w:vAlign w:val="center"/>
          </w:tcPr>
          <w:p>
            <w:pPr>
              <w:pStyle w:val="45"/>
              <w:rPr>
                <w:sz w:val="24"/>
                <w:szCs w:val="24"/>
              </w:rPr>
            </w:pPr>
            <w:r>
              <w:rPr>
                <w:sz w:val="24"/>
                <w:szCs w:val="24"/>
              </w:rPr>
              <w:t>0.15t/a</w:t>
            </w:r>
          </w:p>
        </w:tc>
        <w:tc>
          <w:tcPr>
            <w:tcW w:w="2005" w:type="dxa"/>
            <w:tcBorders>
              <w:top w:val="single" w:color="000000" w:sz="4" w:space="0"/>
            </w:tcBorders>
            <w:vAlign w:val="center"/>
          </w:tcPr>
          <w:p>
            <w:pPr>
              <w:pStyle w:val="45"/>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354" w:hRule="atLeast"/>
          <w:jc w:val="center"/>
        </w:trPr>
        <w:tc>
          <w:tcPr>
            <w:tcW w:w="794" w:type="dxa"/>
            <w:vMerge w:val="continue"/>
            <w:vAlign w:val="center"/>
          </w:tcPr>
          <w:p>
            <w:pPr>
              <w:pStyle w:val="45"/>
              <w:rPr>
                <w:sz w:val="24"/>
                <w:szCs w:val="24"/>
              </w:rPr>
            </w:pPr>
          </w:p>
        </w:tc>
        <w:tc>
          <w:tcPr>
            <w:tcW w:w="2436" w:type="dxa"/>
            <w:vMerge w:val="restart"/>
            <w:vAlign w:val="center"/>
          </w:tcPr>
          <w:p>
            <w:pPr>
              <w:pStyle w:val="45"/>
              <w:rPr>
                <w:sz w:val="24"/>
                <w:szCs w:val="24"/>
              </w:rPr>
            </w:pPr>
            <w:r>
              <w:rPr>
                <w:rFonts w:hint="eastAsia"/>
                <w:sz w:val="24"/>
                <w:szCs w:val="24"/>
              </w:rPr>
              <w:t>危险废物</w:t>
            </w:r>
          </w:p>
        </w:tc>
        <w:tc>
          <w:tcPr>
            <w:tcW w:w="1727" w:type="dxa"/>
            <w:shd w:val="clear" w:color="auto" w:fill="auto"/>
            <w:vAlign w:val="center"/>
          </w:tcPr>
          <w:p>
            <w:pPr>
              <w:pStyle w:val="45"/>
              <w:rPr>
                <w:sz w:val="24"/>
                <w:szCs w:val="24"/>
              </w:rPr>
            </w:pPr>
            <w:r>
              <w:rPr>
                <w:rFonts w:hint="eastAsia"/>
                <w:sz w:val="24"/>
                <w:szCs w:val="24"/>
              </w:rPr>
              <w:t>废煤油包装桶</w:t>
            </w:r>
          </w:p>
        </w:tc>
        <w:tc>
          <w:tcPr>
            <w:tcW w:w="2110" w:type="dxa"/>
            <w:shd w:val="clear" w:color="auto" w:fill="auto"/>
            <w:vAlign w:val="center"/>
          </w:tcPr>
          <w:p>
            <w:pPr>
              <w:pStyle w:val="45"/>
              <w:rPr>
                <w:sz w:val="24"/>
                <w:szCs w:val="24"/>
              </w:rPr>
            </w:pPr>
            <w:r>
              <w:rPr>
                <w:rFonts w:hint="eastAsia"/>
                <w:sz w:val="24"/>
                <w:szCs w:val="24"/>
              </w:rPr>
              <w:t>0</w:t>
            </w:r>
            <w:r>
              <w:rPr>
                <w:sz w:val="24"/>
                <w:szCs w:val="24"/>
              </w:rPr>
              <w:t>.05t/a</w:t>
            </w:r>
          </w:p>
        </w:tc>
        <w:tc>
          <w:tcPr>
            <w:tcW w:w="2005" w:type="dxa"/>
            <w:tcBorders>
              <w:top w:val="single" w:color="000000" w:sz="4" w:space="0"/>
            </w:tcBorders>
            <w:vAlign w:val="center"/>
          </w:tcPr>
          <w:p>
            <w:pPr>
              <w:pStyle w:val="45"/>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354" w:hRule="atLeast"/>
          <w:jc w:val="center"/>
        </w:trPr>
        <w:tc>
          <w:tcPr>
            <w:tcW w:w="794" w:type="dxa"/>
            <w:vMerge w:val="continue"/>
            <w:vAlign w:val="center"/>
          </w:tcPr>
          <w:p>
            <w:pPr>
              <w:pStyle w:val="45"/>
              <w:rPr>
                <w:sz w:val="24"/>
                <w:szCs w:val="24"/>
              </w:rPr>
            </w:pPr>
          </w:p>
        </w:tc>
        <w:tc>
          <w:tcPr>
            <w:tcW w:w="2436" w:type="dxa"/>
            <w:vMerge w:val="continue"/>
            <w:vAlign w:val="center"/>
          </w:tcPr>
          <w:p>
            <w:pPr>
              <w:pStyle w:val="45"/>
              <w:rPr>
                <w:sz w:val="24"/>
                <w:szCs w:val="24"/>
              </w:rPr>
            </w:pPr>
          </w:p>
        </w:tc>
        <w:tc>
          <w:tcPr>
            <w:tcW w:w="1727" w:type="dxa"/>
            <w:shd w:val="clear" w:color="auto" w:fill="auto"/>
            <w:vAlign w:val="center"/>
          </w:tcPr>
          <w:p>
            <w:pPr>
              <w:pStyle w:val="45"/>
              <w:rPr>
                <w:sz w:val="24"/>
                <w:szCs w:val="24"/>
              </w:rPr>
            </w:pPr>
            <w:r>
              <w:rPr>
                <w:sz w:val="24"/>
                <w:szCs w:val="24"/>
              </w:rPr>
              <w:t>含油抹布及劳动用品</w:t>
            </w:r>
          </w:p>
        </w:tc>
        <w:tc>
          <w:tcPr>
            <w:tcW w:w="2110" w:type="dxa"/>
            <w:shd w:val="clear" w:color="auto" w:fill="auto"/>
            <w:vAlign w:val="center"/>
          </w:tcPr>
          <w:p>
            <w:pPr>
              <w:pStyle w:val="45"/>
              <w:rPr>
                <w:sz w:val="24"/>
                <w:szCs w:val="24"/>
              </w:rPr>
            </w:pPr>
            <w:r>
              <w:rPr>
                <w:sz w:val="24"/>
                <w:szCs w:val="24"/>
              </w:rPr>
              <w:t>0.01t/a</w:t>
            </w:r>
          </w:p>
        </w:tc>
        <w:tc>
          <w:tcPr>
            <w:tcW w:w="2005" w:type="dxa"/>
            <w:tcBorders>
              <w:top w:val="single" w:color="000000" w:sz="4" w:space="0"/>
            </w:tcBorders>
            <w:vAlign w:val="center"/>
          </w:tcPr>
          <w:p>
            <w:pPr>
              <w:pStyle w:val="45"/>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73" w:hRule="atLeast"/>
          <w:jc w:val="center"/>
        </w:trPr>
        <w:tc>
          <w:tcPr>
            <w:tcW w:w="794" w:type="dxa"/>
            <w:vMerge w:val="continue"/>
            <w:vAlign w:val="center"/>
          </w:tcPr>
          <w:p>
            <w:pPr>
              <w:pStyle w:val="45"/>
              <w:rPr>
                <w:sz w:val="24"/>
                <w:szCs w:val="24"/>
              </w:rPr>
            </w:pPr>
          </w:p>
        </w:tc>
        <w:tc>
          <w:tcPr>
            <w:tcW w:w="2436" w:type="dxa"/>
            <w:vAlign w:val="center"/>
          </w:tcPr>
          <w:p>
            <w:pPr>
              <w:pStyle w:val="45"/>
              <w:rPr>
                <w:sz w:val="24"/>
                <w:szCs w:val="24"/>
              </w:rPr>
            </w:pPr>
            <w:r>
              <w:rPr>
                <w:sz w:val="24"/>
                <w:szCs w:val="24"/>
              </w:rPr>
              <w:t>生活垃圾</w:t>
            </w:r>
          </w:p>
        </w:tc>
        <w:tc>
          <w:tcPr>
            <w:tcW w:w="1727" w:type="dxa"/>
            <w:shd w:val="clear" w:color="auto" w:fill="auto"/>
            <w:vAlign w:val="center"/>
          </w:tcPr>
          <w:p>
            <w:pPr>
              <w:pStyle w:val="45"/>
              <w:rPr>
                <w:sz w:val="24"/>
                <w:szCs w:val="24"/>
              </w:rPr>
            </w:pPr>
            <w:r>
              <w:rPr>
                <w:sz w:val="24"/>
                <w:szCs w:val="24"/>
              </w:rPr>
              <w:t>生活垃圾</w:t>
            </w:r>
          </w:p>
        </w:tc>
        <w:tc>
          <w:tcPr>
            <w:tcW w:w="2110" w:type="dxa"/>
            <w:shd w:val="clear" w:color="auto" w:fill="auto"/>
            <w:vAlign w:val="center"/>
          </w:tcPr>
          <w:p>
            <w:pPr>
              <w:pStyle w:val="45"/>
              <w:rPr>
                <w:sz w:val="24"/>
                <w:szCs w:val="24"/>
              </w:rPr>
            </w:pPr>
            <w:r>
              <w:rPr>
                <w:sz w:val="24"/>
                <w:szCs w:val="24"/>
              </w:rPr>
              <w:t>1.86t/a</w:t>
            </w:r>
          </w:p>
        </w:tc>
        <w:tc>
          <w:tcPr>
            <w:tcW w:w="2005" w:type="dxa"/>
            <w:vAlign w:val="center"/>
          </w:tcPr>
          <w:p>
            <w:pPr>
              <w:pStyle w:val="45"/>
              <w:rPr>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416" w:hRule="atLeast"/>
          <w:jc w:val="center"/>
        </w:trPr>
        <w:tc>
          <w:tcPr>
            <w:tcW w:w="794" w:type="dxa"/>
            <w:vAlign w:val="center"/>
          </w:tcPr>
          <w:p>
            <w:pPr>
              <w:pStyle w:val="45"/>
              <w:rPr>
                <w:sz w:val="24"/>
                <w:szCs w:val="24"/>
              </w:rPr>
            </w:pPr>
            <w:r>
              <w:rPr>
                <w:sz w:val="24"/>
                <w:szCs w:val="24"/>
              </w:rPr>
              <w:t>其他</w:t>
            </w:r>
          </w:p>
        </w:tc>
        <w:tc>
          <w:tcPr>
            <w:tcW w:w="8278" w:type="dxa"/>
            <w:gridSpan w:val="4"/>
            <w:vAlign w:val="center"/>
          </w:tcPr>
          <w:p>
            <w:pPr>
              <w:pStyle w:val="45"/>
              <w:rPr>
                <w:kern w:val="0"/>
                <w:sz w:val="24"/>
                <w:szCs w:val="24"/>
              </w:rPr>
            </w:pPr>
            <w:r>
              <w:rPr>
                <w:kern w:val="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1402" w:hRule="atLeast"/>
          <w:jc w:val="center"/>
        </w:trPr>
        <w:tc>
          <w:tcPr>
            <w:tcW w:w="9072" w:type="dxa"/>
            <w:gridSpan w:val="5"/>
            <w:vAlign w:val="center"/>
          </w:tcPr>
          <w:p>
            <w:pPr>
              <w:pStyle w:val="45"/>
              <w:rPr>
                <w:b/>
                <w:sz w:val="24"/>
                <w:szCs w:val="24"/>
              </w:rPr>
            </w:pPr>
            <w:r>
              <w:rPr>
                <w:b/>
                <w:sz w:val="24"/>
                <w:szCs w:val="24"/>
              </w:rPr>
              <w:t>主要生态影响：</w:t>
            </w:r>
          </w:p>
          <w:p>
            <w:pPr>
              <w:pStyle w:val="45"/>
              <w:spacing w:line="360" w:lineRule="auto"/>
              <w:ind w:firstLine="480" w:firstLineChars="200"/>
              <w:jc w:val="left"/>
              <w:rPr>
                <w:sz w:val="24"/>
                <w:szCs w:val="24"/>
              </w:rPr>
            </w:pPr>
            <w:r>
              <w:rPr>
                <w:sz w:val="24"/>
                <w:szCs w:val="24"/>
              </w:rPr>
              <w:t>由于项目仅在工业园区内建设，且项目生态评价范围内没有珍稀濒危动植物，没有国家和地方性保护野生动物，因此项目的建设对生态环境的影响不大。</w:t>
            </w:r>
          </w:p>
        </w:tc>
      </w:tr>
    </w:tbl>
    <w:p>
      <w:pPr>
        <w:ind w:firstLine="48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bookmarkStart w:id="14" w:name="_Toc27729836"/>
      <w:r>
        <w:rPr>
          <w:rFonts w:cs="Times New Roman"/>
        </w:rPr>
        <w:t>环境影响分析</w:t>
      </w:r>
      <w:bookmarkEnd w:id="14"/>
    </w:p>
    <w:tbl>
      <w:tblPr>
        <w:tblStyle w:val="2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784" w:type="dxa"/>
          </w:tcPr>
          <w:p>
            <w:pPr>
              <w:pStyle w:val="20"/>
              <w:ind w:firstLine="0" w:firstLineChars="0"/>
              <w:rPr>
                <w:rFonts w:ascii="Times New Roman" w:hAnsi="Times New Roman" w:cs="Times New Roman"/>
                <w:lang w:val="zh-CN"/>
              </w:rPr>
            </w:pPr>
            <w:bookmarkStart w:id="15" w:name="_Toc22823023"/>
            <w:r>
              <w:rPr>
                <w:rFonts w:ascii="Times New Roman" w:hAnsi="Times New Roman" w:cs="Times New Roman"/>
                <w:lang w:val="zh-CN"/>
              </w:rPr>
              <w:t>7.1施工期环境影响分析：</w:t>
            </w:r>
            <w:bookmarkEnd w:id="15"/>
          </w:p>
          <w:p>
            <w:pPr>
              <w:pStyle w:val="20"/>
              <w:ind w:firstLine="0" w:firstLineChars="0"/>
              <w:rPr>
                <w:lang w:val="zh-CN"/>
              </w:rPr>
            </w:pPr>
            <w:r>
              <w:rPr>
                <w:lang w:val="zh-CN"/>
              </w:rPr>
              <w:t>7.2营运期环境影响分析：</w:t>
            </w:r>
          </w:p>
          <w:p>
            <w:pPr>
              <w:ind w:firstLine="480"/>
              <w:rPr>
                <w:lang w:val="zh-CN"/>
              </w:rPr>
            </w:pPr>
            <w:r>
              <w:rPr>
                <w:rFonts w:hint="eastAsia"/>
                <w:lang w:val="zh-CN"/>
              </w:rPr>
              <w:t>本项目厂房已建成，故不存在施工期环境污染。</w:t>
            </w:r>
          </w:p>
          <w:p>
            <w:pPr>
              <w:keepNext/>
              <w:keepLines/>
              <w:ind w:firstLine="0" w:firstLineChars="0"/>
              <w:outlineLvl w:val="2"/>
              <w:rPr>
                <w:rFonts w:cs="Times New Roman"/>
                <w:b/>
                <w:bCs/>
                <w:sz w:val="28"/>
                <w:szCs w:val="32"/>
                <w:lang w:val="zh-CN"/>
              </w:rPr>
            </w:pPr>
            <w:r>
              <w:rPr>
                <w:rFonts w:cs="Times New Roman"/>
                <w:b/>
                <w:bCs/>
                <w:sz w:val="28"/>
                <w:szCs w:val="32"/>
                <w:lang w:val="zh-CN"/>
              </w:rPr>
              <w:t>7.2.1大气环境影响分析</w:t>
            </w:r>
          </w:p>
          <w:p>
            <w:pPr>
              <w:adjustRightInd w:val="0"/>
              <w:snapToGrid w:val="0"/>
              <w:ind w:firstLine="480"/>
              <w:rPr>
                <w:rFonts w:cs="Times New Roman"/>
                <w:color w:val="000000"/>
                <w:szCs w:val="20"/>
              </w:rPr>
            </w:pPr>
            <w:bookmarkStart w:id="16" w:name="OLE_LINK100"/>
            <w:r>
              <w:rPr>
                <w:rFonts w:cs="Times New Roman"/>
                <w:color w:val="000000"/>
                <w:szCs w:val="20"/>
              </w:rPr>
              <w:t>本项目主要大气污染源为产品抛光打磨过程中产生的粉尘以及热冲脱模产生的油烟。</w:t>
            </w:r>
          </w:p>
          <w:p>
            <w:pPr>
              <w:keepNext/>
              <w:keepLines/>
              <w:ind w:firstLine="0" w:firstLineChars="0"/>
              <w:outlineLvl w:val="3"/>
              <w:rPr>
                <w:rFonts w:cs="Times New Roman"/>
                <w:b/>
                <w:bCs/>
                <w:szCs w:val="28"/>
              </w:rPr>
            </w:pPr>
            <w:r>
              <w:rPr>
                <w:rFonts w:cs="Times New Roman"/>
                <w:b/>
                <w:bCs/>
                <w:szCs w:val="28"/>
              </w:rPr>
              <w:t>7.2.1.1</w:t>
            </w:r>
            <w:r>
              <w:rPr>
                <w:rFonts w:hint="eastAsia" w:cs="Times New Roman"/>
                <w:b/>
                <w:bCs/>
                <w:szCs w:val="28"/>
              </w:rPr>
              <w:t>废气排放达标</w:t>
            </w:r>
            <w:r>
              <w:rPr>
                <w:rFonts w:cs="Times New Roman"/>
                <w:b/>
                <w:bCs/>
                <w:szCs w:val="28"/>
              </w:rPr>
              <w:t>分析</w:t>
            </w:r>
          </w:p>
          <w:p>
            <w:pPr>
              <w:adjustRightInd w:val="0"/>
              <w:snapToGrid w:val="0"/>
              <w:ind w:firstLine="480"/>
              <w:rPr>
                <w:rFonts w:cs="Times New Roman"/>
                <w:color w:val="000000"/>
              </w:rPr>
            </w:pPr>
            <w:r>
              <w:rPr>
                <w:rFonts w:cs="Times New Roman"/>
                <w:color w:val="000000"/>
              </w:rPr>
              <w:t>由工程分析可知，本项目生产过程中产生的大气污染物主要为机加工工序产生的金属粉尘、</w:t>
            </w:r>
            <w:r>
              <w:rPr>
                <w:rFonts w:hint="eastAsia" w:cs="Times New Roman"/>
                <w:color w:val="000000"/>
              </w:rPr>
              <w:t>热冲</w:t>
            </w:r>
            <w:r>
              <w:rPr>
                <w:rFonts w:cs="Times New Roman"/>
                <w:color w:val="000000"/>
              </w:rPr>
              <w:t>油烟、抛光粉尘等。</w:t>
            </w:r>
            <w:r>
              <w:rPr>
                <w:rFonts w:cs="Times New Roman"/>
                <w:color w:val="000000"/>
              </w:rPr>
              <w:cr/>
            </w:r>
            <w:r>
              <w:rPr>
                <w:rFonts w:cs="Times New Roman"/>
                <w:color w:val="000000"/>
              </w:rPr>
              <w:t xml:space="preserve">    </w:t>
            </w:r>
            <w:r>
              <w:rPr>
                <w:rFonts w:cs="Times New Roman"/>
                <w:color w:val="FF0000"/>
              </w:rPr>
              <w:t>（1）</w:t>
            </w:r>
            <w:r>
              <w:rPr>
                <w:rFonts w:cs="Times New Roman"/>
                <w:color w:val="000000"/>
              </w:rPr>
              <w:t>金属粉尘</w:t>
            </w:r>
          </w:p>
          <w:p>
            <w:pPr>
              <w:adjustRightInd w:val="0"/>
              <w:snapToGrid w:val="0"/>
              <w:ind w:firstLine="480"/>
              <w:rPr>
                <w:rFonts w:cs="Times New Roman"/>
                <w:color w:val="000000"/>
              </w:rPr>
            </w:pPr>
            <w:r>
              <w:rPr>
                <w:rFonts w:cs="Times New Roman"/>
                <w:color w:val="000000"/>
              </w:rPr>
              <w:t>本</w:t>
            </w:r>
            <w:r>
              <w:rPr>
                <w:rFonts w:cs="Times New Roman"/>
              </w:rPr>
              <w:t>项目切割、机加工工序会产生少量金属粉尘，金属粉尘颗粒较大，质量较重，可通过自然沉降下落到地面。项目定期清扫地面收集粉尘，加强车间通风后即可。项故本环评中切割工序中产生的粉尘废气可忽略不计</w:t>
            </w:r>
          </w:p>
          <w:p>
            <w:pPr>
              <w:adjustRightInd w:val="0"/>
              <w:snapToGrid w:val="0"/>
              <w:ind w:firstLine="480" w:firstLineChars="0"/>
              <w:rPr>
                <w:rFonts w:cs="Times New Roman"/>
              </w:rPr>
            </w:pPr>
            <w:r>
              <w:rPr>
                <w:rFonts w:cs="Times New Roman"/>
              </w:rPr>
              <w:t>（2）</w:t>
            </w:r>
            <w:r>
              <w:rPr>
                <w:rFonts w:hint="eastAsia" w:cs="Times New Roman"/>
              </w:rPr>
              <w:t>热冲</w:t>
            </w:r>
            <w:r>
              <w:rPr>
                <w:rFonts w:cs="Times New Roman"/>
              </w:rPr>
              <w:t>油烟</w:t>
            </w:r>
          </w:p>
          <w:p>
            <w:pPr>
              <w:adjustRightInd w:val="0"/>
              <w:snapToGrid w:val="0"/>
              <w:ind w:firstLine="480"/>
              <w:rPr>
                <w:rFonts w:cs="Times New Roman"/>
              </w:rPr>
            </w:pPr>
            <w:r>
              <w:rPr>
                <w:rFonts w:cs="Times New Roman"/>
              </w:rPr>
              <w:t>为保证冲压件脱模质量及脱模效率，项目脱模过程采用</w:t>
            </w:r>
            <w:r>
              <w:rPr>
                <w:rFonts w:hint="eastAsia" w:cs="Times New Roman"/>
              </w:rPr>
              <w:t>棕</w:t>
            </w:r>
            <w:r>
              <w:rPr>
                <w:rFonts w:cs="Times New Roman"/>
              </w:rPr>
              <w:t>油辅助脱模，由于不断地与高温的工件接触，</w:t>
            </w:r>
            <w:r>
              <w:rPr>
                <w:rFonts w:hint="eastAsia" w:cs="Times New Roman"/>
              </w:rPr>
              <w:t>棕</w:t>
            </w:r>
            <w:r>
              <w:rPr>
                <w:rFonts w:cs="Times New Roman"/>
              </w:rPr>
              <w:t>油内各物质将会发生分解或着直接挥发，从而产生油烟。本项目</w:t>
            </w:r>
            <w:r>
              <w:rPr>
                <w:rFonts w:hint="eastAsia" w:cs="Times New Roman"/>
              </w:rPr>
              <w:t>热冲车间</w:t>
            </w:r>
            <w:r>
              <w:rPr>
                <w:rFonts w:cs="Times New Roman"/>
              </w:rPr>
              <w:t>共有有2台冲床，交替使用，年平均工作时长</w:t>
            </w:r>
            <w:r>
              <w:rPr>
                <w:rFonts w:hint="eastAsia" w:cs="Times New Roman"/>
              </w:rPr>
              <w:t>2</w:t>
            </w:r>
            <w:r>
              <w:rPr>
                <w:rFonts w:cs="Times New Roman"/>
              </w:rPr>
              <w:t>240h。本项目拟在每个热冲机床上方各设置一个集气罩，每个集气罩风机风量为3000m</w:t>
            </w:r>
            <w:r>
              <w:rPr>
                <w:rFonts w:cs="Times New Roman"/>
                <w:vertAlign w:val="superscript"/>
              </w:rPr>
              <w:t>3</w:t>
            </w:r>
            <w:r>
              <w:rPr>
                <w:rFonts w:cs="Times New Roman"/>
              </w:rPr>
              <w:t>/h。集气罩的收集效率达到95%，水喷淋塔</w:t>
            </w:r>
            <w:r>
              <w:rPr>
                <w:rFonts w:hint="eastAsia" w:cs="Times New Roman"/>
              </w:rPr>
              <w:t>A</w:t>
            </w:r>
            <w:r>
              <w:rPr>
                <w:rFonts w:cs="Times New Roman"/>
              </w:rPr>
              <w:t>除尘效率按80%计，油烟通过</w:t>
            </w:r>
            <w:r>
              <w:rPr>
                <w:rFonts w:hint="eastAsia" w:cs="Times New Roman"/>
              </w:rPr>
              <w:t>水</w:t>
            </w:r>
            <w:r>
              <w:rPr>
                <w:rFonts w:cs="Times New Roman"/>
              </w:rPr>
              <w:t>喷淋塔</w:t>
            </w:r>
            <w:r>
              <w:rPr>
                <w:rFonts w:hint="eastAsia" w:cs="Times New Roman"/>
              </w:rPr>
              <w:t>A</w:t>
            </w:r>
            <w:r>
              <w:rPr>
                <w:rFonts w:cs="Times New Roman"/>
              </w:rPr>
              <w:t>降温除尘再经过油烟净化器处理后往 15m 高的排气筒</w:t>
            </w:r>
            <w:r>
              <w:rPr>
                <w:rFonts w:hint="eastAsia" w:cs="Times New Roman"/>
              </w:rPr>
              <w:t>G</w:t>
            </w:r>
            <w:r>
              <w:rPr>
                <w:rFonts w:cs="Times New Roman"/>
              </w:rPr>
              <w:t>1排放，其中油烟净化器净化效率为65%。</w:t>
            </w:r>
          </w:p>
          <w:p>
            <w:pPr>
              <w:adjustRightInd w:val="0"/>
              <w:snapToGrid w:val="0"/>
              <w:ind w:firstLine="480"/>
              <w:rPr>
                <w:rFonts w:cs="Times New Roman"/>
                <w:color w:val="FF0000"/>
              </w:rPr>
            </w:pPr>
            <w:r>
              <w:rPr>
                <w:rFonts w:cs="Times New Roman"/>
              </w:rPr>
              <w:t>根据工程分析可知，本项目</w:t>
            </w:r>
            <w:r>
              <w:rPr>
                <w:rFonts w:hint="eastAsia" w:cs="Times New Roman"/>
              </w:rPr>
              <w:t>热冲</w:t>
            </w:r>
            <w:r>
              <w:rPr>
                <w:rFonts w:cs="Times New Roman"/>
              </w:rPr>
              <w:t>油烟的产生量约为 0.04 t/a</w:t>
            </w:r>
            <w:r>
              <w:rPr>
                <w:rFonts w:cs="Times New Roman"/>
                <w:color w:val="000000" w:themeColor="text1"/>
              </w:rPr>
              <w:t>，</w:t>
            </w:r>
            <w:r>
              <w:rPr>
                <w:rFonts w:hint="eastAsia" w:cs="Times New Roman"/>
                <w:color w:val="000000" w:themeColor="text1"/>
              </w:rPr>
              <w:t>有组织</w:t>
            </w:r>
            <w:r>
              <w:rPr>
                <w:rFonts w:cs="Times New Roman"/>
                <w:color w:val="000000" w:themeColor="text1"/>
              </w:rPr>
              <w:t>排放量为0.00266t/a，排放速率为0.00119kg/h，排放浓度为0.40 mg/m</w:t>
            </w:r>
            <w:r>
              <w:rPr>
                <w:rFonts w:cs="Times New Roman"/>
                <w:color w:val="000000" w:themeColor="text1"/>
                <w:vertAlign w:val="superscript"/>
              </w:rPr>
              <w:t>3</w:t>
            </w:r>
            <w:r>
              <w:rPr>
                <w:rFonts w:cs="Times New Roman"/>
                <w:color w:val="000000" w:themeColor="text1"/>
              </w:rPr>
              <w:t>；</w:t>
            </w:r>
            <w:r>
              <w:rPr>
                <w:rFonts w:hint="eastAsia" w:cs="Times New Roman"/>
                <w:color w:val="000000" w:themeColor="text1"/>
              </w:rPr>
              <w:t>无组织</w:t>
            </w:r>
            <w:r>
              <w:rPr>
                <w:rFonts w:cs="Times New Roman"/>
                <w:color w:val="000000" w:themeColor="text1"/>
              </w:rPr>
              <w:t>排放量为0.002 t/a，排放速率为0.00089 kg/h。</w:t>
            </w:r>
            <w:r>
              <w:rPr>
                <w:rFonts w:cs="Times New Roman"/>
                <w:color w:val="FF0000"/>
              </w:rPr>
              <w:t>符合《饮食业油烟排放标准》（GB18483-2001）最高允许排放浓度限值要求，油烟排放浓度≤2.0 mg/m</w:t>
            </w:r>
            <w:r>
              <w:rPr>
                <w:rFonts w:cs="Times New Roman"/>
                <w:color w:val="FF0000"/>
                <w:vertAlign w:val="superscript"/>
              </w:rPr>
              <w:t>3</w:t>
            </w:r>
            <w:r>
              <w:rPr>
                <w:rFonts w:cs="Times New Roman"/>
                <w:color w:val="FF0000"/>
              </w:rPr>
              <w:t>。</w:t>
            </w:r>
          </w:p>
          <w:p>
            <w:pPr>
              <w:adjustRightInd w:val="0"/>
              <w:snapToGrid w:val="0"/>
              <w:ind w:firstLine="480"/>
              <w:rPr>
                <w:rFonts w:cs="Times New Roman"/>
              </w:rPr>
            </w:pPr>
            <w:r>
              <w:rPr>
                <w:rFonts w:cs="Times New Roman"/>
              </w:rPr>
              <w:t>（3）</w:t>
            </w:r>
            <w:r>
              <w:rPr>
                <w:rFonts w:hint="eastAsia" w:cs="Times New Roman"/>
              </w:rPr>
              <w:t>燃料废气</w:t>
            </w:r>
          </w:p>
          <w:p>
            <w:pPr>
              <w:ind w:firstLine="480"/>
            </w:pPr>
            <w:r>
              <w:rPr>
                <w:rFonts w:hint="eastAsia" w:cs="Times New Roman"/>
              </w:rPr>
              <w:t>热冲加温工序使用煤油作为燃料，</w:t>
            </w:r>
            <w:r>
              <w:rPr>
                <w:rFonts w:cs="Times New Roman"/>
              </w:rPr>
              <w:t>煤油</w:t>
            </w:r>
            <w:r>
              <w:rPr>
                <w:rFonts w:hint="eastAsia" w:cs="Times New Roman"/>
              </w:rPr>
              <w:t>是一种清洁能源，充分</w:t>
            </w:r>
            <w:r>
              <w:rPr>
                <w:rFonts w:cs="Times New Roman"/>
              </w:rPr>
              <w:t>燃烧过程中会产生二氧化</w:t>
            </w:r>
            <w:r>
              <w:rPr>
                <w:rFonts w:hint="eastAsia" w:cs="Times New Roman"/>
              </w:rPr>
              <w:t>碳和水蒸气，可加强车间通风，</w:t>
            </w:r>
            <w:r>
              <w:rPr>
                <w:rFonts w:cs="Times New Roman"/>
              </w:rPr>
              <w:t>对周围大气环境影响不大</w:t>
            </w:r>
            <w:r>
              <w:rPr>
                <w:rFonts w:hint="eastAsia" w:cs="Times New Roman"/>
              </w:rPr>
              <w:t>。</w:t>
            </w:r>
          </w:p>
          <w:p>
            <w:pPr>
              <w:adjustRightInd w:val="0"/>
              <w:snapToGrid w:val="0"/>
              <w:ind w:firstLine="480"/>
              <w:rPr>
                <w:rFonts w:cs="Times New Roman"/>
              </w:rPr>
            </w:pPr>
            <w:r>
              <w:rPr>
                <w:rFonts w:cs="Times New Roman"/>
              </w:rPr>
              <w:t>（4）抛光粉尘</w:t>
            </w:r>
          </w:p>
          <w:p>
            <w:pPr>
              <w:adjustRightInd w:val="0"/>
              <w:snapToGrid w:val="0"/>
              <w:ind w:firstLine="480"/>
              <w:rPr>
                <w:rFonts w:cs="Times New Roman"/>
              </w:rPr>
            </w:pPr>
            <w:r>
              <w:rPr>
                <w:rFonts w:cs="Times New Roman"/>
              </w:rPr>
              <w:t>项目工件在抛光过程中会产生一定量的抛光粉尘，主要污染物为颗粒物。建设单位拟对粉尘废气采用“集气罩+水喷淋塔”进行处理，在每台抛光机组后设置集气罩收集粉尘废气，收集效率按 95%计，处理效率按70%计，风机风量为15000m</w:t>
            </w:r>
            <w:r>
              <w:rPr>
                <w:rFonts w:cs="Times New Roman"/>
                <w:vertAlign w:val="superscript"/>
              </w:rPr>
              <w:t>3</w:t>
            </w:r>
            <w:r>
              <w:rPr>
                <w:rFonts w:cs="Times New Roman"/>
              </w:rPr>
              <w:t xml:space="preserve"> /h，处理后的粉尘废气经15m 高的排气筒高空排放，其中有组织粉尘排放可达到广东省《大气污染物排放限值》（DB44/27 －2001）第二时段二级标准，无组织排放粉尘可达到广东省《大气污染物排放限值》（DB44/27 －2001）第二时段无组织排放监控浓度限值，对周围大气环境影响不大。</w:t>
            </w:r>
          </w:p>
          <w:p>
            <w:pPr>
              <w:keepNext/>
              <w:keepLines/>
              <w:ind w:firstLine="0" w:firstLineChars="0"/>
              <w:outlineLvl w:val="3"/>
              <w:rPr>
                <w:rFonts w:cs="Times New Roman"/>
                <w:b/>
                <w:bCs/>
                <w:szCs w:val="28"/>
                <w:lang w:val="zh-CN"/>
              </w:rPr>
            </w:pPr>
            <w:r>
              <w:rPr>
                <w:rFonts w:cs="Times New Roman"/>
                <w:b/>
                <w:bCs/>
                <w:szCs w:val="28"/>
                <w:lang w:val="zh-CN"/>
              </w:rPr>
              <w:t>7.2.1.2大气环境影响</w:t>
            </w:r>
            <w:r>
              <w:rPr>
                <w:rFonts w:hint="eastAsia" w:cs="Times New Roman"/>
                <w:b/>
                <w:bCs/>
                <w:szCs w:val="28"/>
                <w:lang w:val="zh-CN"/>
              </w:rPr>
              <w:t>分析</w:t>
            </w:r>
          </w:p>
          <w:p>
            <w:pPr>
              <w:adjustRightInd w:val="0"/>
              <w:snapToGrid w:val="0"/>
              <w:ind w:firstLine="480"/>
              <w:rPr>
                <w:rFonts w:cs="Times New Roman"/>
                <w:color w:val="000000"/>
                <w:szCs w:val="20"/>
              </w:rPr>
            </w:pPr>
            <w:r>
              <w:rPr>
                <w:rFonts w:cs="Times New Roman"/>
                <w:color w:val="000000"/>
                <w:szCs w:val="20"/>
              </w:rPr>
              <w:t>1、项目产排情况</w:t>
            </w:r>
          </w:p>
          <w:p>
            <w:pPr>
              <w:ind w:firstLine="480"/>
              <w:rPr>
                <w:rFonts w:cs="Times New Roman"/>
                <w:color w:val="000000"/>
                <w:szCs w:val="24"/>
              </w:rPr>
            </w:pPr>
            <w:r>
              <w:rPr>
                <w:rFonts w:cs="Times New Roman"/>
                <w:color w:val="000000"/>
                <w:szCs w:val="20"/>
              </w:rPr>
              <w:t>由工程分析可知，本项目废气污染物主要来源于</w:t>
            </w:r>
            <w:r>
              <w:rPr>
                <w:rFonts w:hint="eastAsia" w:cs="Times New Roman"/>
                <w:color w:val="000000"/>
                <w:szCs w:val="20"/>
              </w:rPr>
              <w:t>热冲</w:t>
            </w:r>
            <w:r>
              <w:rPr>
                <w:rFonts w:cs="Times New Roman"/>
                <w:color w:val="000000"/>
                <w:szCs w:val="20"/>
              </w:rPr>
              <w:t>油烟以及抛光打磨工序产生的粉尘。</w:t>
            </w:r>
            <w:r>
              <w:rPr>
                <w:rFonts w:cs="Times New Roman"/>
                <w:color w:val="FF0000"/>
                <w:szCs w:val="20"/>
              </w:rPr>
              <w:t>根据《环境影响评价技术导则－大气环境》（HJ2.2-2018）中8.3节的要求，油烟无相关环境质量标准的评价因子作为预测因子，因此油烟不作大气环境影响预测</w:t>
            </w:r>
            <w:r>
              <w:rPr>
                <w:rFonts w:cs="Times New Roman"/>
                <w:color w:val="000000"/>
                <w:szCs w:val="20"/>
              </w:rPr>
              <w:t>。抛光粉尘分为</w:t>
            </w:r>
            <w:r>
              <w:rPr>
                <w:rFonts w:cs="Times New Roman"/>
                <w:color w:val="000000"/>
                <w:szCs w:val="24"/>
              </w:rPr>
              <w:t>有组织排放及无组织形式排放。</w:t>
            </w:r>
          </w:p>
          <w:p>
            <w:pPr>
              <w:adjustRightInd w:val="0"/>
              <w:snapToGrid w:val="0"/>
              <w:ind w:firstLine="480"/>
              <w:rPr>
                <w:rFonts w:cs="Times New Roman"/>
                <w:color w:val="000000"/>
                <w:szCs w:val="20"/>
              </w:rPr>
            </w:pPr>
            <w:r>
              <w:rPr>
                <w:rFonts w:cs="Times New Roman"/>
                <w:color w:val="000000"/>
                <w:szCs w:val="20"/>
              </w:rPr>
              <w:t xml:space="preserve"> 2、评价工作等级</w:t>
            </w:r>
          </w:p>
          <w:p>
            <w:pPr>
              <w:adjustRightInd w:val="0"/>
              <w:snapToGrid w:val="0"/>
              <w:ind w:firstLine="480"/>
              <w:rPr>
                <w:rFonts w:cs="Times New Roman"/>
                <w:color w:val="000000"/>
              </w:rPr>
            </w:pPr>
            <w:r>
              <w:rPr>
                <w:rFonts w:cs="Times New Roman"/>
                <w:color w:val="000000"/>
              </w:rPr>
              <w:t>根据《环境影响评价技术导则－大气环境》（HJ2.2-2018）中5.3节工作等级的确定方法，结合项目工程分析结果，选择正常排放的主要污染物及排放参数，采用附录A推荐模型中的 AERSCREEN模式计算项目污染源的最大环境影响，然后按评价工作分级判据进行分级。</w:t>
            </w:r>
          </w:p>
          <w:p>
            <w:pPr>
              <w:numPr>
                <w:ilvl w:val="0"/>
                <w:numId w:val="5"/>
              </w:numPr>
              <w:adjustRightInd w:val="0"/>
              <w:snapToGrid w:val="0"/>
              <w:spacing w:line="240" w:lineRule="auto"/>
              <w:ind w:firstLineChars="0"/>
              <w:rPr>
                <w:rFonts w:cs="Times New Roman"/>
                <w:color w:val="000000"/>
              </w:rPr>
            </w:pPr>
            <w:r>
              <w:rPr>
                <w:rFonts w:cs="Times New Roman"/>
                <w:color w:val="000000"/>
              </w:rPr>
              <w:t>评价因子</w:t>
            </w:r>
          </w:p>
          <w:p>
            <w:pPr>
              <w:adjustRightInd w:val="0"/>
              <w:snapToGrid w:val="0"/>
              <w:ind w:firstLine="480"/>
              <w:rPr>
                <w:rFonts w:cs="Times New Roman"/>
                <w:color w:val="000000"/>
              </w:rPr>
            </w:pPr>
            <w:r>
              <w:rPr>
                <w:rFonts w:cs="Times New Roman"/>
                <w:color w:val="000000"/>
              </w:rPr>
              <w:t>根据本项目特征，其主要的污染物为颗粒物，根据本项目工程分析内容，选择 TSP为评价因子，评价因子和评价标准见表7-1。</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表7-1 评价因子和评价标准表</w:t>
            </w:r>
          </w:p>
          <w:tbl>
            <w:tblPr>
              <w:tblStyle w:val="50"/>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75"/>
              <w:gridCol w:w="1578"/>
              <w:gridCol w:w="2170"/>
              <w:gridCol w:w="33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157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评价因子</w:t>
                  </w:r>
                </w:p>
              </w:tc>
              <w:tc>
                <w:tcPr>
                  <w:tcW w:w="157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平均时段</w:t>
                  </w:r>
                </w:p>
              </w:tc>
              <w:tc>
                <w:tcPr>
                  <w:tcW w:w="217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标准值/（μg/m³）</w:t>
                  </w:r>
                </w:p>
              </w:tc>
              <w:tc>
                <w:tcPr>
                  <w:tcW w:w="3341"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57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TSP</w:t>
                  </w:r>
                </w:p>
              </w:tc>
              <w:tc>
                <w:tcPr>
                  <w:tcW w:w="157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1"/>
                      <w:lang w:val="zh-CN"/>
                    </w:rPr>
                    <w:t>1h 均值</w:t>
                  </w:r>
                </w:p>
              </w:tc>
              <w:tc>
                <w:tcPr>
                  <w:tcW w:w="217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900</w:t>
                  </w:r>
                </w:p>
              </w:tc>
              <w:tc>
                <w:tcPr>
                  <w:tcW w:w="3341"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1"/>
                      <w:lang w:val="zh-CN"/>
                    </w:rPr>
                    <w:t>《环境影响评价技术导则 大气环境》（HJ2.2-2018），以日平均浓度限值的三倍值作为小时浓度限值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575"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PM</w:t>
                  </w:r>
                  <w:r>
                    <w:rPr>
                      <w:rFonts w:cs="Times New Roman"/>
                      <w:color w:val="000000"/>
                      <w:kern w:val="0"/>
                      <w:sz w:val="21"/>
                      <w:szCs w:val="20"/>
                      <w:vertAlign w:val="subscript"/>
                      <w:lang w:val="zh-CN"/>
                    </w:rPr>
                    <w:t>10</w:t>
                  </w:r>
                </w:p>
              </w:tc>
              <w:tc>
                <w:tcPr>
                  <w:tcW w:w="1578"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1h 均值</w:t>
                  </w:r>
                </w:p>
              </w:tc>
              <w:tc>
                <w:tcPr>
                  <w:tcW w:w="2170"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450</w:t>
                  </w:r>
                </w:p>
              </w:tc>
              <w:tc>
                <w:tcPr>
                  <w:tcW w:w="3341" w:type="dxa"/>
                  <w:vAlign w:val="center"/>
                </w:tcPr>
                <w:p>
                  <w:pPr>
                    <w:adjustRightInd w:val="0"/>
                    <w:snapToGrid w:val="0"/>
                    <w:spacing w:line="240" w:lineRule="auto"/>
                    <w:ind w:firstLine="0" w:firstLineChars="0"/>
                    <w:rPr>
                      <w:rFonts w:cs="Times New Roman"/>
                      <w:color w:val="000000"/>
                      <w:kern w:val="0"/>
                      <w:sz w:val="21"/>
                      <w:szCs w:val="20"/>
                      <w:lang w:val="zh-CN"/>
                    </w:rPr>
                  </w:pPr>
                  <w:r>
                    <w:rPr>
                      <w:rFonts w:cs="Times New Roman"/>
                      <w:color w:val="000000"/>
                      <w:kern w:val="0"/>
                      <w:sz w:val="21"/>
                      <w:szCs w:val="20"/>
                      <w:lang w:val="zh-CN"/>
                    </w:rPr>
                    <w:t>《环境空气质量标准》（GB3095-2012）及修改单，</w:t>
                  </w:r>
                  <w:r>
                    <w:rPr>
                      <w:rFonts w:cs="Times New Roman"/>
                      <w:color w:val="000000"/>
                      <w:kern w:val="0"/>
                      <w:sz w:val="21"/>
                      <w:szCs w:val="21"/>
                      <w:lang w:val="zh-CN"/>
                    </w:rPr>
                    <w:t>以日平均浓度限值的三倍值作为小时浓度限值</w:t>
                  </w:r>
                </w:p>
              </w:tc>
            </w:tr>
          </w:tbl>
          <w:p>
            <w:pPr>
              <w:adjustRightInd w:val="0"/>
              <w:snapToGrid w:val="0"/>
              <w:ind w:firstLine="480"/>
              <w:rPr>
                <w:rFonts w:cs="Times New Roman"/>
                <w:color w:val="000000"/>
              </w:rPr>
            </w:pPr>
            <w:r>
              <w:rPr>
                <w:rFonts w:cs="Times New Roman"/>
                <w:color w:val="000000"/>
              </w:rPr>
              <w:t>（2）评价等级判别表</w:t>
            </w:r>
          </w:p>
          <w:p>
            <w:pPr>
              <w:adjustRightInd w:val="0"/>
              <w:snapToGrid w:val="0"/>
              <w:ind w:firstLine="480"/>
              <w:rPr>
                <w:rFonts w:cs="Times New Roman"/>
                <w:color w:val="000000"/>
              </w:rPr>
            </w:pPr>
            <w:r>
              <w:rPr>
                <w:rFonts w:cs="Times New Roman"/>
                <w:color w:val="000000"/>
              </w:rPr>
              <w:t>根据项目污染源初步调查结果，分别计算项目排放主要污染物的最大地面空气质量浓度占标率Pi(第i个污染物，简称“最大浓度占标率”），及第i个污染物的地面空气质量浓度达到标准值的10%时所对应的最远距离D10%，依据《环境影响评价技术导则－大气环境》（HJ2.2-2018）中最大地面浓度占标率Pi定义如下：</w:t>
            </w:r>
          </w:p>
          <w:p>
            <w:pPr>
              <w:adjustRightInd w:val="0"/>
              <w:snapToGrid w:val="0"/>
              <w:ind w:firstLine="480"/>
              <w:rPr>
                <w:rFonts w:cs="Times New Roman"/>
                <w:color w:val="000000"/>
              </w:rPr>
            </w:pPr>
            <w:r>
              <w:rPr>
                <w:rFonts w:cs="Times New Roman"/>
                <w:color w:val="000000"/>
              </w:rPr>
              <w:t>Pi=Ci/C0i×100%</w:t>
            </w:r>
          </w:p>
          <w:p>
            <w:pPr>
              <w:adjustRightInd w:val="0"/>
              <w:snapToGrid w:val="0"/>
              <w:ind w:firstLine="480"/>
              <w:rPr>
                <w:rFonts w:cs="Times New Roman"/>
                <w:color w:val="000000"/>
              </w:rPr>
            </w:pPr>
            <w:r>
              <w:rPr>
                <w:rFonts w:cs="Times New Roman"/>
                <w:color w:val="000000"/>
              </w:rPr>
              <w:t>Pi——第 i 个污染物的最大地面空气质量浓度占标率，%</w:t>
            </w:r>
          </w:p>
          <w:p>
            <w:pPr>
              <w:adjustRightInd w:val="0"/>
              <w:snapToGrid w:val="0"/>
              <w:ind w:firstLine="480"/>
              <w:rPr>
                <w:rFonts w:cs="Times New Roman"/>
                <w:color w:val="000000"/>
              </w:rPr>
            </w:pPr>
            <w:r>
              <w:rPr>
                <w:rFonts w:cs="Times New Roman"/>
                <w:color w:val="000000"/>
              </w:rPr>
              <w:t>Ci——采用估算模型计算出的第 i 个污染物的最大 1h 地面空气质量浓度，μg/m</w:t>
            </w:r>
            <w:r>
              <w:rPr>
                <w:rFonts w:cs="Times New Roman"/>
                <w:color w:val="000000"/>
                <w:vertAlign w:val="superscript"/>
              </w:rPr>
              <w:t>3</w:t>
            </w:r>
            <w:r>
              <w:rPr>
                <w:rFonts w:cs="Times New Roman"/>
                <w:color w:val="000000"/>
              </w:rPr>
              <w:t>；</w:t>
            </w:r>
          </w:p>
          <w:p>
            <w:pPr>
              <w:adjustRightInd w:val="0"/>
              <w:snapToGrid w:val="0"/>
              <w:ind w:firstLine="480"/>
              <w:rPr>
                <w:rFonts w:cs="Times New Roman"/>
                <w:color w:val="000000"/>
              </w:rPr>
            </w:pPr>
            <w:r>
              <w:rPr>
                <w:rFonts w:cs="Times New Roman"/>
                <w:color w:val="000000"/>
              </w:rPr>
              <w:t>C0i——第 i 个污染物的话就空气质量浓度标准，μg/m</w:t>
            </w:r>
            <w:r>
              <w:rPr>
                <w:rFonts w:cs="Times New Roman"/>
                <w:color w:val="000000"/>
                <w:vertAlign w:val="superscript"/>
              </w:rPr>
              <w:t>3</w:t>
            </w:r>
            <w:r>
              <w:rPr>
                <w:rFonts w:cs="Times New Roman"/>
                <w:color w:val="000000"/>
              </w:rPr>
              <w:t>；</w:t>
            </w:r>
          </w:p>
          <w:p>
            <w:pPr>
              <w:adjustRightInd w:val="0"/>
              <w:snapToGrid w:val="0"/>
              <w:ind w:firstLine="480"/>
              <w:rPr>
                <w:rFonts w:cs="Times New Roman"/>
                <w:color w:val="000000"/>
              </w:rPr>
            </w:pPr>
            <w:r>
              <w:rPr>
                <w:rFonts w:cs="Times New Roman"/>
                <w:color w:val="000000"/>
              </w:rPr>
              <w:t>评价等级按表7-1的分级判据进行划分。</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表7-2 评价等级判别表</w:t>
            </w:r>
          </w:p>
          <w:tbl>
            <w:tblPr>
              <w:tblStyle w:val="50"/>
              <w:tblW w:w="891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59"/>
              <w:gridCol w:w="44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评价工作等级</w:t>
                  </w:r>
                </w:p>
              </w:tc>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评价工作等级判据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一级</w:t>
                  </w:r>
                </w:p>
              </w:tc>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Pmax≥10%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二级</w:t>
                  </w:r>
                </w:p>
              </w:tc>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1%≤Pmax&lt;10%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三级</w:t>
                  </w:r>
                </w:p>
              </w:tc>
              <w:tc>
                <w:tcPr>
                  <w:tcW w:w="4459"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Pmax&lt;1%</w:t>
                  </w:r>
                </w:p>
              </w:tc>
            </w:tr>
          </w:tbl>
          <w:p>
            <w:pPr>
              <w:adjustRightInd w:val="0"/>
              <w:snapToGrid w:val="0"/>
              <w:ind w:firstLine="360" w:firstLineChars="150"/>
              <w:jc w:val="left"/>
              <w:rPr>
                <w:rFonts w:cs="Times New Roman"/>
                <w:color w:val="000000"/>
              </w:rPr>
            </w:pPr>
            <w:r>
              <w:rPr>
                <w:rFonts w:cs="Times New Roman"/>
                <w:color w:val="000000"/>
              </w:rPr>
              <w:t>（3）估算模型及相关参数</w:t>
            </w:r>
          </w:p>
          <w:p>
            <w:pPr>
              <w:adjustRightInd w:val="0"/>
              <w:snapToGrid w:val="0"/>
              <w:ind w:firstLine="480"/>
              <w:jc w:val="left"/>
              <w:rPr>
                <w:rFonts w:cs="Times New Roman"/>
              </w:rPr>
            </w:pPr>
            <w:r>
              <w:rPr>
                <w:rFonts w:cs="Times New Roman"/>
              </w:rPr>
              <w:t>采用《环境影响评价技术导则 大气环境》（HJ2.2-2018）中推荐的AERSCREEN 估算。</w:t>
            </w:r>
          </w:p>
          <w:p>
            <w:pPr>
              <w:adjustRightInd w:val="0"/>
              <w:snapToGrid w:val="0"/>
              <w:ind w:firstLine="480" w:firstLineChars="0"/>
              <w:rPr>
                <w:rFonts w:cs="Times New Roman"/>
                <w:color w:val="000000"/>
              </w:rPr>
            </w:pPr>
            <w:r>
              <w:rPr>
                <w:rFonts w:cs="Times New Roman"/>
              </w:rPr>
              <w:t>模型进行估算分析。估算模型参数见表 7-3。</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表7-3 估算模型参数表</w:t>
            </w:r>
          </w:p>
          <w:tbl>
            <w:tblPr>
              <w:tblStyle w:val="50"/>
              <w:tblW w:w="859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33"/>
              <w:gridCol w:w="4325"/>
              <w:gridCol w:w="2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58" w:type="dxa"/>
                  <w:gridSpan w:val="2"/>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参数</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restart"/>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城市/农村选项</w:t>
                  </w: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城市/农村</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城市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continue"/>
                  <w:vAlign w:val="center"/>
                </w:tcPr>
                <w:p>
                  <w:pPr>
                    <w:adjustRightInd w:val="0"/>
                    <w:snapToGrid w:val="0"/>
                    <w:ind w:firstLine="420" w:firstLineChars="0"/>
                    <w:rPr>
                      <w:rFonts w:cs="Times New Roman"/>
                      <w:color w:val="000000"/>
                      <w:kern w:val="0"/>
                      <w:sz w:val="21"/>
                      <w:szCs w:val="20"/>
                      <w:lang w:val="zh-CN"/>
                    </w:rPr>
                  </w:pP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人口数（城市选项时））</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68830人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58" w:type="dxa"/>
                  <w:gridSpan w:val="2"/>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最高环境温度/</w:t>
                  </w:r>
                  <w:r>
                    <w:rPr>
                      <w:rFonts w:hint="eastAsia" w:ascii="宋体" w:hAnsi="宋体" w:cs="宋体"/>
                      <w:color w:val="000000"/>
                      <w:kern w:val="0"/>
                      <w:sz w:val="21"/>
                      <w:szCs w:val="20"/>
                      <w:lang w:val="zh-CN"/>
                    </w:rPr>
                    <w:t>℃</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58" w:type="dxa"/>
                  <w:gridSpan w:val="2"/>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最低环境温度/</w:t>
                  </w:r>
                  <w:r>
                    <w:rPr>
                      <w:rFonts w:hint="eastAsia" w:ascii="宋体" w:hAnsi="宋体" w:cs="宋体"/>
                      <w:color w:val="000000"/>
                      <w:kern w:val="0"/>
                      <w:sz w:val="21"/>
                      <w:szCs w:val="20"/>
                      <w:lang w:val="zh-CN"/>
                    </w:rPr>
                    <w:t>℃</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58" w:type="dxa"/>
                  <w:gridSpan w:val="2"/>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土地利用类型</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工业用地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58" w:type="dxa"/>
                  <w:gridSpan w:val="2"/>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区域湿度条件</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潮湿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restart"/>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是否考虑地形</w:t>
                  </w: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考虑地形</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口是√否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continue"/>
                  <w:vAlign w:val="center"/>
                </w:tcPr>
                <w:p>
                  <w:pPr>
                    <w:adjustRightInd w:val="0"/>
                    <w:snapToGrid w:val="0"/>
                    <w:ind w:firstLine="420" w:firstLineChars="0"/>
                    <w:rPr>
                      <w:rFonts w:cs="Times New Roman"/>
                      <w:color w:val="000000"/>
                      <w:kern w:val="0"/>
                      <w:sz w:val="21"/>
                      <w:szCs w:val="20"/>
                      <w:lang w:val="zh-CN"/>
                    </w:rPr>
                  </w:pP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地形数据分辨率/m</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restart"/>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是否考虑岸线熏烟</w:t>
                  </w: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考虑岸线熏烟</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口是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continue"/>
                  <w:vAlign w:val="center"/>
                </w:tcPr>
                <w:p>
                  <w:pPr>
                    <w:adjustRightInd w:val="0"/>
                    <w:snapToGrid w:val="0"/>
                    <w:ind w:firstLine="420" w:firstLineChars="0"/>
                    <w:rPr>
                      <w:rFonts w:cs="Times New Roman"/>
                      <w:color w:val="000000"/>
                      <w:kern w:val="0"/>
                      <w:sz w:val="21"/>
                      <w:szCs w:val="20"/>
                      <w:lang w:val="zh-CN"/>
                    </w:rPr>
                  </w:pP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岸线距离/km</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1733" w:type="dxa"/>
                  <w:vMerge w:val="continue"/>
                  <w:vAlign w:val="center"/>
                </w:tcPr>
                <w:p>
                  <w:pPr>
                    <w:adjustRightInd w:val="0"/>
                    <w:snapToGrid w:val="0"/>
                    <w:ind w:firstLine="420" w:firstLineChars="0"/>
                    <w:rPr>
                      <w:rFonts w:cs="Times New Roman"/>
                      <w:color w:val="000000"/>
                      <w:kern w:val="0"/>
                      <w:sz w:val="21"/>
                      <w:szCs w:val="20"/>
                      <w:lang w:val="zh-CN"/>
                    </w:rPr>
                  </w:pPr>
                </w:p>
              </w:tc>
              <w:tc>
                <w:tcPr>
                  <w:tcW w:w="432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岸线方向/°</w:t>
                  </w:r>
                </w:p>
              </w:tc>
              <w:tc>
                <w:tcPr>
                  <w:tcW w:w="2534" w:type="dxa"/>
                  <w:vAlign w:val="center"/>
                </w:tcPr>
                <w:p>
                  <w:pPr>
                    <w:adjustRightInd w:val="0"/>
                    <w:snapToGrid w:val="0"/>
                    <w:ind w:firstLine="420" w:firstLineChars="0"/>
                    <w:rPr>
                      <w:rFonts w:cs="Times New Roman"/>
                      <w:color w:val="000000"/>
                      <w:kern w:val="0"/>
                      <w:sz w:val="21"/>
                      <w:szCs w:val="20"/>
                      <w:lang w:val="zh-CN"/>
                    </w:rPr>
                  </w:pPr>
                  <w:r>
                    <w:rPr>
                      <w:rFonts w:cs="Times New Roman"/>
                      <w:color w:val="000000"/>
                      <w:kern w:val="0"/>
                      <w:sz w:val="21"/>
                      <w:szCs w:val="20"/>
                      <w:lang w:val="zh-CN"/>
                    </w:rPr>
                    <w:t>/</w:t>
                  </w:r>
                </w:p>
              </w:tc>
            </w:tr>
          </w:tbl>
          <w:p>
            <w:pPr>
              <w:adjustRightInd w:val="0"/>
              <w:snapToGrid w:val="0"/>
              <w:ind w:firstLine="480"/>
              <w:rPr>
                <w:rFonts w:cs="Times New Roman"/>
                <w:color w:val="000000"/>
              </w:rPr>
            </w:pPr>
            <w:r>
              <w:rPr>
                <w:rFonts w:cs="Times New Roman"/>
                <w:color w:val="000000"/>
              </w:rPr>
              <w:t>（4）污染源及污染参数</w:t>
            </w:r>
          </w:p>
          <w:p>
            <w:pPr>
              <w:adjustRightInd w:val="0"/>
              <w:snapToGrid w:val="0"/>
              <w:ind w:firstLine="480"/>
              <w:rPr>
                <w:rFonts w:cs="Times New Roman"/>
                <w:color w:val="000000"/>
              </w:rPr>
            </w:pPr>
            <w:r>
              <w:rPr>
                <w:rFonts w:cs="Times New Roman"/>
              </w:rPr>
              <w:t>根据工程分析结果，估算时污染源及污染参数见表7-4和7-5。</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表7-4 本项目面源参数表</w:t>
            </w:r>
          </w:p>
          <w:tbl>
            <w:tblPr>
              <w:tblStyle w:val="50"/>
              <w:tblW w:w="818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1"/>
              <w:gridCol w:w="787"/>
              <w:gridCol w:w="774"/>
              <w:gridCol w:w="774"/>
              <w:gridCol w:w="1112"/>
              <w:gridCol w:w="969"/>
              <w:gridCol w:w="968"/>
              <w:gridCol w:w="20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exact"/>
                <w:jc w:val="center"/>
              </w:trPr>
              <w:tc>
                <w:tcPr>
                  <w:tcW w:w="781" w:type="dxa"/>
                  <w:vMerge w:val="restart"/>
                  <w:vAlign w:val="center"/>
                </w:tcPr>
                <w:p>
                  <w:pPr>
                    <w:pStyle w:val="45"/>
                    <w:rPr>
                      <w:kern w:val="0"/>
                      <w:szCs w:val="20"/>
                    </w:rPr>
                  </w:pPr>
                  <w:r>
                    <w:rPr>
                      <w:kern w:val="0"/>
                      <w:szCs w:val="20"/>
                    </w:rPr>
                    <w:t>名 称</w:t>
                  </w:r>
                </w:p>
              </w:tc>
              <w:tc>
                <w:tcPr>
                  <w:tcW w:w="787" w:type="dxa"/>
                  <w:vMerge w:val="restart"/>
                  <w:vAlign w:val="center"/>
                </w:tcPr>
                <w:p>
                  <w:pPr>
                    <w:pStyle w:val="45"/>
                    <w:rPr>
                      <w:kern w:val="0"/>
                      <w:szCs w:val="20"/>
                    </w:rPr>
                  </w:pPr>
                  <w:r>
                    <w:rPr>
                      <w:kern w:val="0"/>
                      <w:szCs w:val="20"/>
                    </w:rPr>
                    <w:t>面源 长度</w:t>
                  </w:r>
                </w:p>
                <w:p>
                  <w:pPr>
                    <w:pStyle w:val="45"/>
                    <w:rPr>
                      <w:kern w:val="0"/>
                      <w:szCs w:val="20"/>
                    </w:rPr>
                  </w:pPr>
                  <w:r>
                    <w:rPr>
                      <w:kern w:val="0"/>
                      <w:szCs w:val="20"/>
                    </w:rPr>
                    <w:t>/m</w:t>
                  </w:r>
                </w:p>
              </w:tc>
              <w:tc>
                <w:tcPr>
                  <w:tcW w:w="774" w:type="dxa"/>
                  <w:vMerge w:val="restart"/>
                  <w:vAlign w:val="center"/>
                </w:tcPr>
                <w:p>
                  <w:pPr>
                    <w:pStyle w:val="45"/>
                    <w:rPr>
                      <w:kern w:val="0"/>
                      <w:szCs w:val="20"/>
                    </w:rPr>
                  </w:pPr>
                  <w:r>
                    <w:rPr>
                      <w:kern w:val="0"/>
                      <w:szCs w:val="20"/>
                    </w:rPr>
                    <w:t>面源 宽度</w:t>
                  </w:r>
                </w:p>
                <w:p>
                  <w:pPr>
                    <w:pStyle w:val="45"/>
                    <w:rPr>
                      <w:kern w:val="0"/>
                      <w:szCs w:val="20"/>
                    </w:rPr>
                  </w:pPr>
                  <w:r>
                    <w:rPr>
                      <w:kern w:val="0"/>
                      <w:szCs w:val="20"/>
                    </w:rPr>
                    <w:t>/m</w:t>
                  </w:r>
                </w:p>
              </w:tc>
              <w:tc>
                <w:tcPr>
                  <w:tcW w:w="774" w:type="dxa"/>
                  <w:vMerge w:val="restart"/>
                  <w:vAlign w:val="center"/>
                </w:tcPr>
                <w:p>
                  <w:pPr>
                    <w:pStyle w:val="45"/>
                    <w:rPr>
                      <w:kern w:val="0"/>
                      <w:szCs w:val="20"/>
                    </w:rPr>
                  </w:pPr>
                  <w:r>
                    <w:rPr>
                      <w:kern w:val="0"/>
                      <w:szCs w:val="20"/>
                    </w:rPr>
                    <w:t>与正 北向 夹角/º</w:t>
                  </w:r>
                </w:p>
              </w:tc>
              <w:tc>
                <w:tcPr>
                  <w:tcW w:w="1112" w:type="dxa"/>
                  <w:vMerge w:val="restart"/>
                  <w:vAlign w:val="center"/>
                </w:tcPr>
                <w:p>
                  <w:pPr>
                    <w:pStyle w:val="45"/>
                    <w:rPr>
                      <w:kern w:val="0"/>
                      <w:szCs w:val="20"/>
                    </w:rPr>
                  </w:pPr>
                  <w:r>
                    <w:rPr>
                      <w:kern w:val="0"/>
                      <w:szCs w:val="20"/>
                    </w:rPr>
                    <w:t>面源有效排放 高度/m</w:t>
                  </w:r>
                </w:p>
              </w:tc>
              <w:tc>
                <w:tcPr>
                  <w:tcW w:w="969" w:type="dxa"/>
                  <w:vMerge w:val="restart"/>
                  <w:vAlign w:val="center"/>
                </w:tcPr>
                <w:p>
                  <w:pPr>
                    <w:pStyle w:val="45"/>
                    <w:rPr>
                      <w:kern w:val="0"/>
                      <w:szCs w:val="20"/>
                    </w:rPr>
                  </w:pPr>
                  <w:r>
                    <w:rPr>
                      <w:kern w:val="0"/>
                      <w:szCs w:val="20"/>
                    </w:rPr>
                    <w:t>年排放小时数</w:t>
                  </w:r>
                </w:p>
                <w:p>
                  <w:pPr>
                    <w:pStyle w:val="45"/>
                    <w:rPr>
                      <w:kern w:val="0"/>
                      <w:szCs w:val="20"/>
                    </w:rPr>
                  </w:pPr>
                  <w:r>
                    <w:rPr>
                      <w:kern w:val="0"/>
                      <w:szCs w:val="20"/>
                    </w:rPr>
                    <w:t>/h</w:t>
                  </w:r>
                </w:p>
              </w:tc>
              <w:tc>
                <w:tcPr>
                  <w:tcW w:w="968" w:type="dxa"/>
                  <w:vMerge w:val="restart"/>
                  <w:vAlign w:val="center"/>
                </w:tcPr>
                <w:p>
                  <w:pPr>
                    <w:pStyle w:val="45"/>
                    <w:rPr>
                      <w:kern w:val="0"/>
                      <w:szCs w:val="20"/>
                    </w:rPr>
                  </w:pPr>
                  <w:r>
                    <w:rPr>
                      <w:kern w:val="0"/>
                      <w:szCs w:val="20"/>
                    </w:rPr>
                    <w:t>排放 工况</w:t>
                  </w:r>
                </w:p>
                <w:p>
                  <w:pPr>
                    <w:pStyle w:val="45"/>
                    <w:rPr>
                      <w:kern w:val="0"/>
                      <w:szCs w:val="20"/>
                    </w:rPr>
                  </w:pPr>
                </w:p>
              </w:tc>
              <w:tc>
                <w:tcPr>
                  <w:tcW w:w="2021" w:type="dxa"/>
                  <w:vAlign w:val="center"/>
                </w:tcPr>
                <w:p>
                  <w:pPr>
                    <w:pStyle w:val="45"/>
                    <w:rPr>
                      <w:kern w:val="0"/>
                      <w:szCs w:val="20"/>
                    </w:rPr>
                  </w:pPr>
                  <w:r>
                    <w:rPr>
                      <w:kern w:val="0"/>
                      <w:szCs w:val="20"/>
                    </w:rPr>
                    <w:t>污染物排放速率/</w:t>
                  </w:r>
                </w:p>
                <w:p>
                  <w:pPr>
                    <w:pStyle w:val="45"/>
                    <w:rPr>
                      <w:kern w:val="0"/>
                      <w:szCs w:val="20"/>
                    </w:rPr>
                  </w:pPr>
                  <w:r>
                    <w:rPr>
                      <w:kern w:val="0"/>
                      <w:szCs w:val="20"/>
                    </w:rPr>
                    <w:t>（kg/h）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exact"/>
                <w:jc w:val="center"/>
              </w:trPr>
              <w:tc>
                <w:tcPr>
                  <w:tcW w:w="781" w:type="dxa"/>
                  <w:vMerge w:val="continue"/>
                  <w:vAlign w:val="center"/>
                </w:tcPr>
                <w:p>
                  <w:pPr>
                    <w:pStyle w:val="45"/>
                    <w:rPr>
                      <w:kern w:val="0"/>
                      <w:szCs w:val="20"/>
                    </w:rPr>
                  </w:pPr>
                </w:p>
              </w:tc>
              <w:tc>
                <w:tcPr>
                  <w:tcW w:w="787" w:type="dxa"/>
                  <w:vMerge w:val="continue"/>
                  <w:vAlign w:val="center"/>
                </w:tcPr>
                <w:p>
                  <w:pPr>
                    <w:pStyle w:val="45"/>
                    <w:rPr>
                      <w:kern w:val="0"/>
                      <w:szCs w:val="20"/>
                    </w:rPr>
                  </w:pPr>
                </w:p>
              </w:tc>
              <w:tc>
                <w:tcPr>
                  <w:tcW w:w="774" w:type="dxa"/>
                  <w:vMerge w:val="continue"/>
                  <w:vAlign w:val="center"/>
                </w:tcPr>
                <w:p>
                  <w:pPr>
                    <w:pStyle w:val="45"/>
                    <w:rPr>
                      <w:kern w:val="0"/>
                      <w:szCs w:val="20"/>
                    </w:rPr>
                  </w:pPr>
                </w:p>
              </w:tc>
              <w:tc>
                <w:tcPr>
                  <w:tcW w:w="774" w:type="dxa"/>
                  <w:vMerge w:val="continue"/>
                  <w:vAlign w:val="center"/>
                </w:tcPr>
                <w:p>
                  <w:pPr>
                    <w:pStyle w:val="45"/>
                    <w:rPr>
                      <w:kern w:val="0"/>
                      <w:szCs w:val="20"/>
                    </w:rPr>
                  </w:pPr>
                </w:p>
              </w:tc>
              <w:tc>
                <w:tcPr>
                  <w:tcW w:w="1112" w:type="dxa"/>
                  <w:vMerge w:val="continue"/>
                  <w:vAlign w:val="center"/>
                </w:tcPr>
                <w:p>
                  <w:pPr>
                    <w:pStyle w:val="45"/>
                    <w:rPr>
                      <w:kern w:val="0"/>
                      <w:szCs w:val="20"/>
                    </w:rPr>
                  </w:pPr>
                </w:p>
              </w:tc>
              <w:tc>
                <w:tcPr>
                  <w:tcW w:w="969" w:type="dxa"/>
                  <w:vMerge w:val="continue"/>
                  <w:vAlign w:val="center"/>
                </w:tcPr>
                <w:p>
                  <w:pPr>
                    <w:pStyle w:val="45"/>
                    <w:rPr>
                      <w:kern w:val="0"/>
                      <w:szCs w:val="20"/>
                    </w:rPr>
                  </w:pPr>
                </w:p>
              </w:tc>
              <w:tc>
                <w:tcPr>
                  <w:tcW w:w="968" w:type="dxa"/>
                  <w:vMerge w:val="continue"/>
                  <w:vAlign w:val="center"/>
                </w:tcPr>
                <w:p>
                  <w:pPr>
                    <w:pStyle w:val="45"/>
                    <w:rPr>
                      <w:kern w:val="0"/>
                      <w:szCs w:val="20"/>
                    </w:rPr>
                  </w:pPr>
                </w:p>
              </w:tc>
              <w:tc>
                <w:tcPr>
                  <w:tcW w:w="2021" w:type="dxa"/>
                  <w:vMerge w:val="restart"/>
                  <w:vAlign w:val="center"/>
                </w:tcPr>
                <w:p>
                  <w:pPr>
                    <w:pStyle w:val="45"/>
                    <w:rPr>
                      <w:kern w:val="0"/>
                      <w:szCs w:val="20"/>
                    </w:rPr>
                  </w:pPr>
                  <w:r>
                    <w:rPr>
                      <w:kern w:val="0"/>
                      <w:szCs w:val="20"/>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3" w:hRule="exact"/>
                <w:jc w:val="center"/>
              </w:trPr>
              <w:tc>
                <w:tcPr>
                  <w:tcW w:w="781" w:type="dxa"/>
                  <w:vMerge w:val="continue"/>
                  <w:vAlign w:val="center"/>
                </w:tcPr>
                <w:p>
                  <w:pPr>
                    <w:pStyle w:val="45"/>
                    <w:rPr>
                      <w:kern w:val="0"/>
                      <w:szCs w:val="20"/>
                    </w:rPr>
                  </w:pPr>
                </w:p>
              </w:tc>
              <w:tc>
                <w:tcPr>
                  <w:tcW w:w="787" w:type="dxa"/>
                  <w:vMerge w:val="continue"/>
                  <w:vAlign w:val="center"/>
                </w:tcPr>
                <w:p>
                  <w:pPr>
                    <w:pStyle w:val="45"/>
                    <w:rPr>
                      <w:kern w:val="0"/>
                      <w:szCs w:val="20"/>
                    </w:rPr>
                  </w:pPr>
                </w:p>
              </w:tc>
              <w:tc>
                <w:tcPr>
                  <w:tcW w:w="774" w:type="dxa"/>
                  <w:vMerge w:val="continue"/>
                  <w:vAlign w:val="center"/>
                </w:tcPr>
                <w:p>
                  <w:pPr>
                    <w:pStyle w:val="45"/>
                    <w:rPr>
                      <w:kern w:val="0"/>
                      <w:szCs w:val="20"/>
                    </w:rPr>
                  </w:pPr>
                </w:p>
              </w:tc>
              <w:tc>
                <w:tcPr>
                  <w:tcW w:w="774" w:type="dxa"/>
                  <w:vMerge w:val="continue"/>
                  <w:vAlign w:val="center"/>
                </w:tcPr>
                <w:p>
                  <w:pPr>
                    <w:pStyle w:val="45"/>
                    <w:rPr>
                      <w:kern w:val="0"/>
                      <w:szCs w:val="20"/>
                    </w:rPr>
                  </w:pPr>
                </w:p>
              </w:tc>
              <w:tc>
                <w:tcPr>
                  <w:tcW w:w="1112" w:type="dxa"/>
                  <w:vMerge w:val="continue"/>
                  <w:vAlign w:val="center"/>
                </w:tcPr>
                <w:p>
                  <w:pPr>
                    <w:pStyle w:val="45"/>
                    <w:rPr>
                      <w:kern w:val="0"/>
                      <w:szCs w:val="20"/>
                    </w:rPr>
                  </w:pPr>
                </w:p>
              </w:tc>
              <w:tc>
                <w:tcPr>
                  <w:tcW w:w="969" w:type="dxa"/>
                  <w:vMerge w:val="continue"/>
                  <w:vAlign w:val="center"/>
                </w:tcPr>
                <w:p>
                  <w:pPr>
                    <w:pStyle w:val="45"/>
                    <w:rPr>
                      <w:kern w:val="0"/>
                      <w:szCs w:val="20"/>
                    </w:rPr>
                  </w:pPr>
                </w:p>
              </w:tc>
              <w:tc>
                <w:tcPr>
                  <w:tcW w:w="968" w:type="dxa"/>
                  <w:vMerge w:val="continue"/>
                  <w:vAlign w:val="center"/>
                </w:tcPr>
                <w:p>
                  <w:pPr>
                    <w:pStyle w:val="45"/>
                    <w:rPr>
                      <w:kern w:val="0"/>
                      <w:szCs w:val="20"/>
                    </w:rPr>
                  </w:pPr>
                </w:p>
              </w:tc>
              <w:tc>
                <w:tcPr>
                  <w:tcW w:w="2021" w:type="dxa"/>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1" w:hRule="exact"/>
                <w:jc w:val="center"/>
              </w:trPr>
              <w:tc>
                <w:tcPr>
                  <w:tcW w:w="781" w:type="dxa"/>
                  <w:vAlign w:val="center"/>
                </w:tcPr>
                <w:p>
                  <w:pPr>
                    <w:pStyle w:val="45"/>
                    <w:rPr>
                      <w:kern w:val="0"/>
                      <w:szCs w:val="20"/>
                    </w:rPr>
                  </w:pPr>
                  <w:r>
                    <w:rPr>
                      <w:kern w:val="0"/>
                      <w:szCs w:val="20"/>
                    </w:rPr>
                    <w:t>生产车间</w:t>
                  </w:r>
                </w:p>
              </w:tc>
              <w:tc>
                <w:tcPr>
                  <w:tcW w:w="787" w:type="dxa"/>
                  <w:vAlign w:val="center"/>
                </w:tcPr>
                <w:p>
                  <w:pPr>
                    <w:pStyle w:val="45"/>
                    <w:rPr>
                      <w:kern w:val="0"/>
                      <w:szCs w:val="20"/>
                    </w:rPr>
                  </w:pPr>
                  <w:r>
                    <w:rPr>
                      <w:kern w:val="0"/>
                      <w:szCs w:val="20"/>
                    </w:rPr>
                    <w:t>48</w:t>
                  </w:r>
                </w:p>
              </w:tc>
              <w:tc>
                <w:tcPr>
                  <w:tcW w:w="774" w:type="dxa"/>
                  <w:vAlign w:val="center"/>
                </w:tcPr>
                <w:p>
                  <w:pPr>
                    <w:pStyle w:val="45"/>
                    <w:rPr>
                      <w:kern w:val="0"/>
                      <w:szCs w:val="20"/>
                    </w:rPr>
                  </w:pPr>
                  <w:r>
                    <w:rPr>
                      <w:kern w:val="0"/>
                      <w:szCs w:val="20"/>
                    </w:rPr>
                    <w:t>35</w:t>
                  </w:r>
                </w:p>
              </w:tc>
              <w:tc>
                <w:tcPr>
                  <w:tcW w:w="774" w:type="dxa"/>
                  <w:vAlign w:val="center"/>
                </w:tcPr>
                <w:p>
                  <w:pPr>
                    <w:pStyle w:val="45"/>
                    <w:rPr>
                      <w:kern w:val="0"/>
                      <w:szCs w:val="20"/>
                    </w:rPr>
                  </w:pPr>
                  <w:r>
                    <w:rPr>
                      <w:kern w:val="0"/>
                      <w:szCs w:val="20"/>
                    </w:rPr>
                    <w:t>0</w:t>
                  </w:r>
                </w:p>
              </w:tc>
              <w:tc>
                <w:tcPr>
                  <w:tcW w:w="1112" w:type="dxa"/>
                  <w:vAlign w:val="center"/>
                </w:tcPr>
                <w:p>
                  <w:pPr>
                    <w:pStyle w:val="45"/>
                    <w:rPr>
                      <w:kern w:val="0"/>
                      <w:szCs w:val="20"/>
                    </w:rPr>
                  </w:pPr>
                  <w:r>
                    <w:rPr>
                      <w:kern w:val="0"/>
                      <w:szCs w:val="20"/>
                    </w:rPr>
                    <w:t>10</w:t>
                  </w:r>
                </w:p>
              </w:tc>
              <w:tc>
                <w:tcPr>
                  <w:tcW w:w="969" w:type="dxa"/>
                  <w:vAlign w:val="center"/>
                </w:tcPr>
                <w:p>
                  <w:pPr>
                    <w:pStyle w:val="45"/>
                    <w:rPr>
                      <w:kern w:val="0"/>
                      <w:szCs w:val="20"/>
                    </w:rPr>
                  </w:pPr>
                  <w:r>
                    <w:rPr>
                      <w:kern w:val="0"/>
                      <w:szCs w:val="20"/>
                    </w:rPr>
                    <w:t>1800</w:t>
                  </w:r>
                </w:p>
              </w:tc>
              <w:tc>
                <w:tcPr>
                  <w:tcW w:w="968" w:type="dxa"/>
                  <w:vAlign w:val="center"/>
                </w:tcPr>
                <w:p>
                  <w:pPr>
                    <w:pStyle w:val="45"/>
                    <w:rPr>
                      <w:kern w:val="0"/>
                      <w:szCs w:val="20"/>
                    </w:rPr>
                  </w:pPr>
                  <w:r>
                    <w:rPr>
                      <w:kern w:val="0"/>
                      <w:szCs w:val="20"/>
                    </w:rPr>
                    <w:t>正常</w:t>
                  </w:r>
                </w:p>
              </w:tc>
              <w:tc>
                <w:tcPr>
                  <w:tcW w:w="2021" w:type="dxa"/>
                  <w:vAlign w:val="center"/>
                </w:tcPr>
                <w:p>
                  <w:pPr>
                    <w:pStyle w:val="45"/>
                    <w:rPr>
                      <w:kern w:val="0"/>
                      <w:szCs w:val="20"/>
                    </w:rPr>
                  </w:pPr>
                  <w:r>
                    <w:rPr>
                      <w:kern w:val="0"/>
                      <w:szCs w:val="20"/>
                    </w:rPr>
                    <w:t>0.00292</w:t>
                  </w:r>
                </w:p>
              </w:tc>
            </w:tr>
          </w:tbl>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表7-5 本项目点源参数表</w:t>
            </w:r>
          </w:p>
          <w:tbl>
            <w:tblPr>
              <w:tblStyle w:val="38"/>
              <w:tblW w:w="82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8"/>
              <w:gridCol w:w="561"/>
              <w:gridCol w:w="876"/>
              <w:gridCol w:w="1134"/>
              <w:gridCol w:w="1134"/>
              <w:gridCol w:w="708"/>
              <w:gridCol w:w="993"/>
              <w:gridCol w:w="682"/>
              <w:gridCol w:w="11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978" w:type="dxa"/>
                  <w:vMerge w:val="restart"/>
                  <w:vAlign w:val="center"/>
                </w:tcPr>
                <w:p>
                  <w:pPr>
                    <w:pStyle w:val="45"/>
                    <w:rPr>
                      <w:kern w:val="0"/>
                      <w:szCs w:val="20"/>
                    </w:rPr>
                  </w:pPr>
                  <w:r>
                    <w:rPr>
                      <w:kern w:val="0"/>
                      <w:szCs w:val="20"/>
                    </w:rPr>
                    <w:t>编号</w:t>
                  </w:r>
                </w:p>
              </w:tc>
              <w:tc>
                <w:tcPr>
                  <w:tcW w:w="561" w:type="dxa"/>
                  <w:vMerge w:val="restart"/>
                  <w:vAlign w:val="center"/>
                </w:tcPr>
                <w:p>
                  <w:pPr>
                    <w:pStyle w:val="45"/>
                    <w:rPr>
                      <w:kern w:val="0"/>
                      <w:szCs w:val="20"/>
                    </w:rPr>
                  </w:pPr>
                  <w:r>
                    <w:rPr>
                      <w:kern w:val="0"/>
                      <w:szCs w:val="20"/>
                    </w:rPr>
                    <w:t>名称</w:t>
                  </w:r>
                </w:p>
              </w:tc>
              <w:tc>
                <w:tcPr>
                  <w:tcW w:w="876" w:type="dxa"/>
                  <w:vMerge w:val="restart"/>
                  <w:vAlign w:val="center"/>
                </w:tcPr>
                <w:p>
                  <w:pPr>
                    <w:pStyle w:val="45"/>
                    <w:rPr>
                      <w:kern w:val="0"/>
                      <w:szCs w:val="20"/>
                    </w:rPr>
                  </w:pPr>
                  <w:r>
                    <w:rPr>
                      <w:kern w:val="0"/>
                      <w:szCs w:val="20"/>
                    </w:rPr>
                    <w:t>排气筒 高度/m</w:t>
                  </w:r>
                </w:p>
              </w:tc>
              <w:tc>
                <w:tcPr>
                  <w:tcW w:w="1134" w:type="dxa"/>
                  <w:vMerge w:val="restart"/>
                  <w:vAlign w:val="center"/>
                </w:tcPr>
                <w:p>
                  <w:pPr>
                    <w:pStyle w:val="45"/>
                    <w:rPr>
                      <w:kern w:val="0"/>
                      <w:szCs w:val="20"/>
                    </w:rPr>
                  </w:pPr>
                  <w:r>
                    <w:rPr>
                      <w:kern w:val="0"/>
                      <w:szCs w:val="20"/>
                    </w:rPr>
                    <w:t>排气筒出口内径/m</w:t>
                  </w:r>
                </w:p>
              </w:tc>
              <w:tc>
                <w:tcPr>
                  <w:tcW w:w="1134" w:type="dxa"/>
                  <w:vMerge w:val="restart"/>
                  <w:vAlign w:val="center"/>
                </w:tcPr>
                <w:p>
                  <w:pPr>
                    <w:pStyle w:val="45"/>
                    <w:rPr>
                      <w:kern w:val="0"/>
                      <w:szCs w:val="20"/>
                    </w:rPr>
                  </w:pPr>
                  <w:r>
                    <w:rPr>
                      <w:kern w:val="0"/>
                      <w:szCs w:val="20"/>
                    </w:rPr>
                    <w:t>烟气流量</w:t>
                  </w:r>
                </w:p>
                <w:p>
                  <w:pPr>
                    <w:pStyle w:val="45"/>
                    <w:jc w:val="both"/>
                    <w:rPr>
                      <w:kern w:val="0"/>
                      <w:szCs w:val="20"/>
                    </w:rPr>
                  </w:pPr>
                  <w:r>
                    <w:rPr>
                      <w:kern w:val="0"/>
                      <w:szCs w:val="20"/>
                    </w:rPr>
                    <w:t>（m</w:t>
                  </w:r>
                  <w:r>
                    <w:rPr>
                      <w:kern w:val="0"/>
                      <w:szCs w:val="20"/>
                      <w:vertAlign w:val="superscript"/>
                    </w:rPr>
                    <w:t>3</w:t>
                  </w:r>
                  <w:r>
                    <w:rPr>
                      <w:kern w:val="0"/>
                      <w:szCs w:val="20"/>
                    </w:rPr>
                    <w:t>/s）</w:t>
                  </w:r>
                </w:p>
              </w:tc>
              <w:tc>
                <w:tcPr>
                  <w:tcW w:w="708" w:type="dxa"/>
                  <w:vMerge w:val="restart"/>
                  <w:vAlign w:val="center"/>
                </w:tcPr>
                <w:p>
                  <w:pPr>
                    <w:pStyle w:val="45"/>
                    <w:rPr>
                      <w:kern w:val="0"/>
                      <w:szCs w:val="20"/>
                    </w:rPr>
                  </w:pPr>
                  <w:r>
                    <w:rPr>
                      <w:kern w:val="0"/>
                      <w:szCs w:val="20"/>
                    </w:rPr>
                    <w:t>烟气温度/</w:t>
                  </w:r>
                </w:p>
                <w:p>
                  <w:pPr>
                    <w:pStyle w:val="45"/>
                    <w:rPr>
                      <w:kern w:val="0"/>
                      <w:szCs w:val="20"/>
                    </w:rPr>
                  </w:pPr>
                  <w:r>
                    <w:rPr>
                      <w:rFonts w:hint="eastAsia" w:ascii="宋体" w:hAnsi="宋体" w:cs="宋体"/>
                      <w:kern w:val="0"/>
                      <w:szCs w:val="20"/>
                    </w:rPr>
                    <w:t>℃</w:t>
                  </w:r>
                </w:p>
              </w:tc>
              <w:tc>
                <w:tcPr>
                  <w:tcW w:w="993" w:type="dxa"/>
                  <w:vMerge w:val="restart"/>
                  <w:vAlign w:val="center"/>
                </w:tcPr>
                <w:p>
                  <w:pPr>
                    <w:pStyle w:val="45"/>
                    <w:rPr>
                      <w:kern w:val="0"/>
                      <w:szCs w:val="20"/>
                    </w:rPr>
                  </w:pPr>
                  <w:r>
                    <w:rPr>
                      <w:kern w:val="0"/>
                      <w:szCs w:val="20"/>
                    </w:rPr>
                    <w:t>年排放 小时数</w:t>
                  </w:r>
                </w:p>
                <w:p>
                  <w:pPr>
                    <w:pStyle w:val="45"/>
                    <w:rPr>
                      <w:kern w:val="0"/>
                      <w:szCs w:val="20"/>
                    </w:rPr>
                  </w:pPr>
                  <w:r>
                    <w:rPr>
                      <w:kern w:val="0"/>
                      <w:szCs w:val="20"/>
                    </w:rPr>
                    <w:t>/h</w:t>
                  </w:r>
                </w:p>
              </w:tc>
              <w:tc>
                <w:tcPr>
                  <w:tcW w:w="682" w:type="dxa"/>
                  <w:vMerge w:val="restart"/>
                  <w:vAlign w:val="center"/>
                </w:tcPr>
                <w:p>
                  <w:pPr>
                    <w:pStyle w:val="45"/>
                    <w:rPr>
                      <w:kern w:val="0"/>
                      <w:szCs w:val="20"/>
                    </w:rPr>
                  </w:pPr>
                  <w:r>
                    <w:rPr>
                      <w:kern w:val="0"/>
                      <w:szCs w:val="20"/>
                    </w:rPr>
                    <w:t>排放</w:t>
                  </w:r>
                </w:p>
                <w:p>
                  <w:pPr>
                    <w:pStyle w:val="45"/>
                    <w:rPr>
                      <w:kern w:val="0"/>
                      <w:szCs w:val="20"/>
                    </w:rPr>
                  </w:pPr>
                  <w:r>
                    <w:rPr>
                      <w:kern w:val="0"/>
                      <w:szCs w:val="20"/>
                    </w:rPr>
                    <w:t>工况</w:t>
                  </w:r>
                </w:p>
              </w:tc>
              <w:tc>
                <w:tcPr>
                  <w:tcW w:w="1171" w:type="dxa"/>
                  <w:vAlign w:val="center"/>
                </w:tcPr>
                <w:p>
                  <w:pPr>
                    <w:pStyle w:val="45"/>
                    <w:rPr>
                      <w:kern w:val="0"/>
                      <w:szCs w:val="20"/>
                    </w:rPr>
                  </w:pPr>
                  <w:r>
                    <w:rPr>
                      <w:kern w:val="0"/>
                      <w:szCs w:val="20"/>
                    </w:rPr>
                    <w:t>污染物排放速率</w:t>
                  </w:r>
                </w:p>
                <w:p>
                  <w:pPr>
                    <w:pStyle w:val="45"/>
                    <w:rPr>
                      <w:kern w:val="0"/>
                      <w:szCs w:val="20"/>
                    </w:rPr>
                  </w:pPr>
                  <w:r>
                    <w:rPr>
                      <w:kern w:val="0"/>
                      <w:szCs w:val="20"/>
                    </w:rPr>
                    <w:t>/(kg/h)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978" w:type="dxa"/>
                  <w:vMerge w:val="continue"/>
                  <w:vAlign w:val="center"/>
                </w:tcPr>
                <w:p>
                  <w:pPr>
                    <w:pStyle w:val="45"/>
                    <w:rPr>
                      <w:kern w:val="0"/>
                      <w:szCs w:val="20"/>
                    </w:rPr>
                  </w:pPr>
                </w:p>
              </w:tc>
              <w:tc>
                <w:tcPr>
                  <w:tcW w:w="561" w:type="dxa"/>
                  <w:vMerge w:val="continue"/>
                  <w:vAlign w:val="center"/>
                </w:tcPr>
                <w:p>
                  <w:pPr>
                    <w:pStyle w:val="45"/>
                    <w:rPr>
                      <w:kern w:val="0"/>
                      <w:szCs w:val="20"/>
                    </w:rPr>
                  </w:pPr>
                </w:p>
              </w:tc>
              <w:tc>
                <w:tcPr>
                  <w:tcW w:w="876" w:type="dxa"/>
                  <w:vMerge w:val="continue"/>
                  <w:vAlign w:val="center"/>
                </w:tcPr>
                <w:p>
                  <w:pPr>
                    <w:pStyle w:val="45"/>
                    <w:rPr>
                      <w:kern w:val="0"/>
                      <w:szCs w:val="20"/>
                    </w:rPr>
                  </w:pPr>
                </w:p>
              </w:tc>
              <w:tc>
                <w:tcPr>
                  <w:tcW w:w="1134" w:type="dxa"/>
                  <w:vMerge w:val="continue"/>
                  <w:vAlign w:val="center"/>
                </w:tcPr>
                <w:p>
                  <w:pPr>
                    <w:pStyle w:val="45"/>
                    <w:rPr>
                      <w:kern w:val="0"/>
                      <w:szCs w:val="20"/>
                    </w:rPr>
                  </w:pPr>
                </w:p>
              </w:tc>
              <w:tc>
                <w:tcPr>
                  <w:tcW w:w="1134" w:type="dxa"/>
                  <w:vMerge w:val="continue"/>
                  <w:vAlign w:val="center"/>
                </w:tcPr>
                <w:p>
                  <w:pPr>
                    <w:pStyle w:val="45"/>
                    <w:rPr>
                      <w:kern w:val="0"/>
                      <w:szCs w:val="20"/>
                    </w:rPr>
                  </w:pPr>
                </w:p>
              </w:tc>
              <w:tc>
                <w:tcPr>
                  <w:tcW w:w="708" w:type="dxa"/>
                  <w:vMerge w:val="continue"/>
                  <w:vAlign w:val="center"/>
                </w:tcPr>
                <w:p>
                  <w:pPr>
                    <w:pStyle w:val="45"/>
                    <w:rPr>
                      <w:kern w:val="0"/>
                      <w:szCs w:val="20"/>
                    </w:rPr>
                  </w:pPr>
                </w:p>
              </w:tc>
              <w:tc>
                <w:tcPr>
                  <w:tcW w:w="993" w:type="dxa"/>
                  <w:vMerge w:val="continue"/>
                  <w:vAlign w:val="center"/>
                </w:tcPr>
                <w:p>
                  <w:pPr>
                    <w:pStyle w:val="45"/>
                    <w:rPr>
                      <w:kern w:val="0"/>
                      <w:szCs w:val="20"/>
                    </w:rPr>
                  </w:pPr>
                </w:p>
              </w:tc>
              <w:tc>
                <w:tcPr>
                  <w:tcW w:w="682" w:type="dxa"/>
                  <w:vMerge w:val="continue"/>
                  <w:vAlign w:val="center"/>
                </w:tcPr>
                <w:p>
                  <w:pPr>
                    <w:pStyle w:val="45"/>
                    <w:rPr>
                      <w:kern w:val="0"/>
                      <w:szCs w:val="20"/>
                    </w:rPr>
                  </w:pPr>
                </w:p>
              </w:tc>
              <w:tc>
                <w:tcPr>
                  <w:tcW w:w="1171" w:type="dxa"/>
                  <w:vAlign w:val="center"/>
                </w:tcPr>
                <w:p>
                  <w:pPr>
                    <w:pStyle w:val="45"/>
                    <w:rPr>
                      <w:kern w:val="0"/>
                      <w:szCs w:val="20"/>
                    </w:rPr>
                  </w:pPr>
                  <w:r>
                    <w:rPr>
                      <w:kern w:val="0"/>
                      <w:szCs w:val="20"/>
                    </w:rPr>
                    <w:t>P</w:t>
                  </w:r>
                  <w:r>
                    <w:rPr>
                      <w:kern w:val="0"/>
                      <w:szCs w:val="20"/>
                      <w:vertAlign w:val="subscript"/>
                    </w:rPr>
                    <w:t>M10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978" w:type="dxa"/>
                  <w:vAlign w:val="center"/>
                </w:tcPr>
                <w:p>
                  <w:pPr>
                    <w:pStyle w:val="45"/>
                    <w:rPr>
                      <w:kern w:val="0"/>
                      <w:szCs w:val="20"/>
                    </w:rPr>
                  </w:pPr>
                  <w:r>
                    <w:rPr>
                      <w:rFonts w:hint="eastAsia"/>
                      <w:kern w:val="0"/>
                      <w:szCs w:val="20"/>
                    </w:rPr>
                    <w:t>G</w:t>
                  </w:r>
                  <w:r>
                    <w:rPr>
                      <w:kern w:val="0"/>
                      <w:szCs w:val="20"/>
                    </w:rPr>
                    <w:t>1</w:t>
                  </w:r>
                </w:p>
                <w:p>
                  <w:pPr>
                    <w:pStyle w:val="45"/>
                    <w:rPr>
                      <w:kern w:val="0"/>
                      <w:szCs w:val="20"/>
                    </w:rPr>
                  </w:pPr>
                  <w:r>
                    <w:rPr>
                      <w:rFonts w:hint="eastAsia"/>
                      <w:kern w:val="0"/>
                      <w:szCs w:val="20"/>
                    </w:rPr>
                    <w:t>排气筒</w:t>
                  </w:r>
                </w:p>
              </w:tc>
              <w:tc>
                <w:tcPr>
                  <w:tcW w:w="561" w:type="dxa"/>
                  <w:vAlign w:val="center"/>
                </w:tcPr>
                <w:p>
                  <w:pPr>
                    <w:pStyle w:val="45"/>
                    <w:rPr>
                      <w:kern w:val="0"/>
                      <w:szCs w:val="20"/>
                    </w:rPr>
                  </w:pPr>
                  <w:r>
                    <w:rPr>
                      <w:kern w:val="0"/>
                      <w:szCs w:val="20"/>
                    </w:rPr>
                    <w:t>粉尘</w:t>
                  </w:r>
                </w:p>
              </w:tc>
              <w:tc>
                <w:tcPr>
                  <w:tcW w:w="876" w:type="dxa"/>
                  <w:vAlign w:val="center"/>
                </w:tcPr>
                <w:p>
                  <w:pPr>
                    <w:pStyle w:val="45"/>
                    <w:rPr>
                      <w:kern w:val="0"/>
                      <w:szCs w:val="20"/>
                    </w:rPr>
                  </w:pPr>
                  <w:r>
                    <w:rPr>
                      <w:kern w:val="0"/>
                      <w:szCs w:val="20"/>
                    </w:rPr>
                    <w:t>15</w:t>
                  </w:r>
                </w:p>
              </w:tc>
              <w:tc>
                <w:tcPr>
                  <w:tcW w:w="1134" w:type="dxa"/>
                  <w:vAlign w:val="center"/>
                </w:tcPr>
                <w:p>
                  <w:pPr>
                    <w:pStyle w:val="45"/>
                    <w:rPr>
                      <w:kern w:val="0"/>
                      <w:szCs w:val="20"/>
                    </w:rPr>
                  </w:pPr>
                  <w:r>
                    <w:rPr>
                      <w:kern w:val="0"/>
                      <w:szCs w:val="20"/>
                    </w:rPr>
                    <w:t>0.9</w:t>
                  </w:r>
                </w:p>
              </w:tc>
              <w:tc>
                <w:tcPr>
                  <w:tcW w:w="1134" w:type="dxa"/>
                  <w:vAlign w:val="center"/>
                </w:tcPr>
                <w:p>
                  <w:pPr>
                    <w:pStyle w:val="45"/>
                    <w:rPr>
                      <w:kern w:val="0"/>
                      <w:szCs w:val="20"/>
                    </w:rPr>
                  </w:pPr>
                  <w:r>
                    <w:rPr>
                      <w:kern w:val="0"/>
                      <w:szCs w:val="20"/>
                    </w:rPr>
                    <w:t>4.17</w:t>
                  </w:r>
                </w:p>
              </w:tc>
              <w:tc>
                <w:tcPr>
                  <w:tcW w:w="708" w:type="dxa"/>
                  <w:vAlign w:val="center"/>
                </w:tcPr>
                <w:p>
                  <w:pPr>
                    <w:pStyle w:val="45"/>
                    <w:rPr>
                      <w:kern w:val="0"/>
                      <w:szCs w:val="20"/>
                    </w:rPr>
                  </w:pPr>
                  <w:r>
                    <w:rPr>
                      <w:kern w:val="0"/>
                      <w:szCs w:val="20"/>
                    </w:rPr>
                    <w:t>25</w:t>
                  </w:r>
                </w:p>
              </w:tc>
              <w:tc>
                <w:tcPr>
                  <w:tcW w:w="993" w:type="dxa"/>
                  <w:vAlign w:val="center"/>
                </w:tcPr>
                <w:p>
                  <w:pPr>
                    <w:pStyle w:val="45"/>
                    <w:rPr>
                      <w:kern w:val="0"/>
                      <w:szCs w:val="20"/>
                    </w:rPr>
                  </w:pPr>
                  <w:r>
                    <w:rPr>
                      <w:kern w:val="0"/>
                      <w:szCs w:val="20"/>
                    </w:rPr>
                    <w:t>450</w:t>
                  </w:r>
                </w:p>
              </w:tc>
              <w:tc>
                <w:tcPr>
                  <w:tcW w:w="682" w:type="dxa"/>
                  <w:vAlign w:val="center"/>
                </w:tcPr>
                <w:p>
                  <w:pPr>
                    <w:pStyle w:val="45"/>
                    <w:rPr>
                      <w:kern w:val="0"/>
                      <w:szCs w:val="20"/>
                    </w:rPr>
                  </w:pPr>
                  <w:r>
                    <w:rPr>
                      <w:kern w:val="0"/>
                      <w:szCs w:val="20"/>
                    </w:rPr>
                    <w:t>正常</w:t>
                  </w:r>
                </w:p>
              </w:tc>
              <w:tc>
                <w:tcPr>
                  <w:tcW w:w="1171" w:type="dxa"/>
                  <w:vAlign w:val="center"/>
                </w:tcPr>
                <w:p>
                  <w:pPr>
                    <w:pStyle w:val="45"/>
                    <w:rPr>
                      <w:kern w:val="0"/>
                      <w:szCs w:val="20"/>
                    </w:rPr>
                  </w:pPr>
                  <w:r>
                    <w:rPr>
                      <w:rFonts w:hint="eastAsia"/>
                      <w:kern w:val="0"/>
                      <w:szCs w:val="20"/>
                    </w:rPr>
                    <w:t>0.01663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978" w:type="dxa"/>
                  <w:vAlign w:val="center"/>
                </w:tcPr>
                <w:p>
                  <w:pPr>
                    <w:pStyle w:val="45"/>
                    <w:rPr>
                      <w:kern w:val="0"/>
                      <w:szCs w:val="20"/>
                    </w:rPr>
                  </w:pPr>
                  <w:r>
                    <w:rPr>
                      <w:rFonts w:hint="eastAsia"/>
                      <w:kern w:val="0"/>
                      <w:szCs w:val="20"/>
                    </w:rPr>
                    <w:t>G</w:t>
                  </w:r>
                  <w:r>
                    <w:rPr>
                      <w:kern w:val="0"/>
                      <w:szCs w:val="20"/>
                    </w:rPr>
                    <w:t>2</w:t>
                  </w:r>
                </w:p>
                <w:p>
                  <w:pPr>
                    <w:pStyle w:val="45"/>
                    <w:rPr>
                      <w:kern w:val="0"/>
                      <w:szCs w:val="20"/>
                    </w:rPr>
                  </w:pPr>
                  <w:r>
                    <w:rPr>
                      <w:rFonts w:hint="eastAsia"/>
                      <w:kern w:val="0"/>
                      <w:szCs w:val="20"/>
                    </w:rPr>
                    <w:t>排气筒</w:t>
                  </w:r>
                </w:p>
              </w:tc>
              <w:tc>
                <w:tcPr>
                  <w:tcW w:w="561" w:type="dxa"/>
                  <w:vAlign w:val="center"/>
                </w:tcPr>
                <w:p>
                  <w:pPr>
                    <w:pStyle w:val="45"/>
                    <w:rPr>
                      <w:kern w:val="0"/>
                      <w:szCs w:val="20"/>
                    </w:rPr>
                  </w:pPr>
                  <w:r>
                    <w:rPr>
                      <w:kern w:val="0"/>
                      <w:szCs w:val="20"/>
                    </w:rPr>
                    <w:t>粉尘</w:t>
                  </w:r>
                </w:p>
              </w:tc>
              <w:tc>
                <w:tcPr>
                  <w:tcW w:w="876" w:type="dxa"/>
                  <w:vAlign w:val="center"/>
                </w:tcPr>
                <w:p>
                  <w:pPr>
                    <w:pStyle w:val="45"/>
                    <w:rPr>
                      <w:kern w:val="0"/>
                      <w:szCs w:val="20"/>
                    </w:rPr>
                  </w:pPr>
                  <w:r>
                    <w:rPr>
                      <w:kern w:val="0"/>
                      <w:szCs w:val="20"/>
                    </w:rPr>
                    <w:t>15</w:t>
                  </w:r>
                </w:p>
              </w:tc>
              <w:tc>
                <w:tcPr>
                  <w:tcW w:w="1134" w:type="dxa"/>
                  <w:vAlign w:val="center"/>
                </w:tcPr>
                <w:p>
                  <w:pPr>
                    <w:pStyle w:val="45"/>
                    <w:rPr>
                      <w:kern w:val="0"/>
                      <w:szCs w:val="20"/>
                    </w:rPr>
                  </w:pPr>
                  <w:r>
                    <w:rPr>
                      <w:kern w:val="0"/>
                      <w:szCs w:val="20"/>
                    </w:rPr>
                    <w:t>0.9</w:t>
                  </w:r>
                </w:p>
              </w:tc>
              <w:tc>
                <w:tcPr>
                  <w:tcW w:w="1134" w:type="dxa"/>
                  <w:vAlign w:val="center"/>
                </w:tcPr>
                <w:p>
                  <w:pPr>
                    <w:pStyle w:val="45"/>
                    <w:rPr>
                      <w:kern w:val="0"/>
                      <w:szCs w:val="20"/>
                    </w:rPr>
                  </w:pPr>
                  <w:r>
                    <w:rPr>
                      <w:rFonts w:hint="eastAsia"/>
                      <w:kern w:val="0"/>
                      <w:szCs w:val="20"/>
                    </w:rPr>
                    <w:t>8</w:t>
                  </w:r>
                  <w:r>
                    <w:rPr>
                      <w:kern w:val="0"/>
                      <w:szCs w:val="20"/>
                    </w:rPr>
                    <w:t>.33</w:t>
                  </w:r>
                </w:p>
              </w:tc>
              <w:tc>
                <w:tcPr>
                  <w:tcW w:w="708" w:type="dxa"/>
                  <w:vAlign w:val="center"/>
                </w:tcPr>
                <w:p>
                  <w:pPr>
                    <w:pStyle w:val="45"/>
                    <w:rPr>
                      <w:kern w:val="0"/>
                      <w:szCs w:val="20"/>
                    </w:rPr>
                  </w:pPr>
                  <w:r>
                    <w:rPr>
                      <w:kern w:val="0"/>
                      <w:szCs w:val="20"/>
                    </w:rPr>
                    <w:t>25</w:t>
                  </w:r>
                </w:p>
              </w:tc>
              <w:tc>
                <w:tcPr>
                  <w:tcW w:w="993" w:type="dxa"/>
                  <w:vAlign w:val="center"/>
                </w:tcPr>
                <w:p>
                  <w:pPr>
                    <w:pStyle w:val="45"/>
                    <w:rPr>
                      <w:kern w:val="0"/>
                      <w:szCs w:val="20"/>
                    </w:rPr>
                  </w:pPr>
                  <w:r>
                    <w:rPr>
                      <w:kern w:val="0"/>
                      <w:szCs w:val="20"/>
                    </w:rPr>
                    <w:t>900</w:t>
                  </w:r>
                </w:p>
              </w:tc>
              <w:tc>
                <w:tcPr>
                  <w:tcW w:w="682" w:type="dxa"/>
                  <w:vAlign w:val="center"/>
                </w:tcPr>
                <w:p>
                  <w:pPr>
                    <w:pStyle w:val="45"/>
                    <w:rPr>
                      <w:kern w:val="0"/>
                      <w:szCs w:val="20"/>
                    </w:rPr>
                  </w:pPr>
                  <w:r>
                    <w:rPr>
                      <w:kern w:val="0"/>
                      <w:szCs w:val="20"/>
                    </w:rPr>
                    <w:t>正常</w:t>
                  </w:r>
                </w:p>
              </w:tc>
              <w:tc>
                <w:tcPr>
                  <w:tcW w:w="1171" w:type="dxa"/>
                  <w:vAlign w:val="center"/>
                </w:tcPr>
                <w:p>
                  <w:pPr>
                    <w:pStyle w:val="45"/>
                    <w:rPr>
                      <w:kern w:val="0"/>
                      <w:szCs w:val="20"/>
                    </w:rPr>
                  </w:pPr>
                  <w:r>
                    <w:rPr>
                      <w:rFonts w:hint="eastAsia"/>
                      <w:kern w:val="0"/>
                      <w:szCs w:val="20"/>
                    </w:rPr>
                    <w:t>0.01663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978" w:type="dxa"/>
                  <w:tcBorders>
                    <w:bottom w:val="single" w:color="auto" w:sz="12" w:space="0"/>
                  </w:tcBorders>
                  <w:vAlign w:val="center"/>
                </w:tcPr>
                <w:p>
                  <w:pPr>
                    <w:pStyle w:val="45"/>
                    <w:rPr>
                      <w:kern w:val="0"/>
                      <w:szCs w:val="20"/>
                    </w:rPr>
                  </w:pPr>
                  <w:r>
                    <w:rPr>
                      <w:rFonts w:hint="eastAsia"/>
                      <w:kern w:val="0"/>
                      <w:szCs w:val="20"/>
                    </w:rPr>
                    <w:t>G</w:t>
                  </w:r>
                  <w:r>
                    <w:rPr>
                      <w:kern w:val="0"/>
                      <w:szCs w:val="20"/>
                    </w:rPr>
                    <w:t>3</w:t>
                  </w:r>
                </w:p>
                <w:p>
                  <w:pPr>
                    <w:pStyle w:val="45"/>
                    <w:rPr>
                      <w:kern w:val="0"/>
                      <w:szCs w:val="20"/>
                    </w:rPr>
                  </w:pPr>
                  <w:r>
                    <w:rPr>
                      <w:rFonts w:hint="eastAsia"/>
                      <w:kern w:val="0"/>
                      <w:szCs w:val="20"/>
                    </w:rPr>
                    <w:t>排气筒</w:t>
                  </w:r>
                </w:p>
              </w:tc>
              <w:tc>
                <w:tcPr>
                  <w:tcW w:w="561" w:type="dxa"/>
                  <w:tcBorders>
                    <w:bottom w:val="single" w:color="auto" w:sz="12" w:space="0"/>
                  </w:tcBorders>
                  <w:vAlign w:val="center"/>
                </w:tcPr>
                <w:p>
                  <w:pPr>
                    <w:pStyle w:val="45"/>
                    <w:rPr>
                      <w:kern w:val="0"/>
                      <w:szCs w:val="20"/>
                    </w:rPr>
                  </w:pPr>
                  <w:r>
                    <w:rPr>
                      <w:rFonts w:hint="eastAsia"/>
                      <w:kern w:val="0"/>
                      <w:szCs w:val="20"/>
                    </w:rPr>
                    <w:t>粉尘</w:t>
                  </w:r>
                </w:p>
              </w:tc>
              <w:tc>
                <w:tcPr>
                  <w:tcW w:w="876" w:type="dxa"/>
                  <w:tcBorders>
                    <w:bottom w:val="single" w:color="auto" w:sz="12" w:space="0"/>
                  </w:tcBorders>
                  <w:vAlign w:val="center"/>
                </w:tcPr>
                <w:p>
                  <w:pPr>
                    <w:pStyle w:val="45"/>
                    <w:rPr>
                      <w:kern w:val="0"/>
                      <w:szCs w:val="20"/>
                    </w:rPr>
                  </w:pPr>
                  <w:r>
                    <w:rPr>
                      <w:rFonts w:hint="eastAsia"/>
                      <w:kern w:val="0"/>
                      <w:szCs w:val="20"/>
                    </w:rPr>
                    <w:t>1</w:t>
                  </w:r>
                  <w:r>
                    <w:rPr>
                      <w:kern w:val="0"/>
                      <w:szCs w:val="20"/>
                    </w:rPr>
                    <w:t>5</w:t>
                  </w:r>
                </w:p>
              </w:tc>
              <w:tc>
                <w:tcPr>
                  <w:tcW w:w="1134" w:type="dxa"/>
                  <w:tcBorders>
                    <w:bottom w:val="single" w:color="auto" w:sz="12" w:space="0"/>
                  </w:tcBorders>
                  <w:vAlign w:val="center"/>
                </w:tcPr>
                <w:p>
                  <w:pPr>
                    <w:pStyle w:val="45"/>
                    <w:rPr>
                      <w:kern w:val="0"/>
                      <w:szCs w:val="20"/>
                    </w:rPr>
                  </w:pPr>
                  <w:r>
                    <w:rPr>
                      <w:rFonts w:hint="eastAsia"/>
                      <w:kern w:val="0"/>
                      <w:szCs w:val="20"/>
                    </w:rPr>
                    <w:t>0</w:t>
                  </w:r>
                  <w:r>
                    <w:rPr>
                      <w:kern w:val="0"/>
                      <w:szCs w:val="20"/>
                    </w:rPr>
                    <w:t>.9</w:t>
                  </w:r>
                </w:p>
              </w:tc>
              <w:tc>
                <w:tcPr>
                  <w:tcW w:w="1134" w:type="dxa"/>
                  <w:tcBorders>
                    <w:bottom w:val="single" w:color="auto" w:sz="12" w:space="0"/>
                  </w:tcBorders>
                  <w:vAlign w:val="center"/>
                </w:tcPr>
                <w:p>
                  <w:pPr>
                    <w:pStyle w:val="45"/>
                    <w:rPr>
                      <w:kern w:val="0"/>
                      <w:szCs w:val="20"/>
                    </w:rPr>
                  </w:pPr>
                  <w:r>
                    <w:rPr>
                      <w:rFonts w:hint="eastAsia"/>
                      <w:kern w:val="0"/>
                      <w:szCs w:val="20"/>
                    </w:rPr>
                    <w:t>4</w:t>
                  </w:r>
                  <w:r>
                    <w:rPr>
                      <w:kern w:val="0"/>
                      <w:szCs w:val="20"/>
                    </w:rPr>
                    <w:t>.17</w:t>
                  </w:r>
                </w:p>
              </w:tc>
              <w:tc>
                <w:tcPr>
                  <w:tcW w:w="708" w:type="dxa"/>
                  <w:tcBorders>
                    <w:bottom w:val="single" w:color="auto" w:sz="12" w:space="0"/>
                  </w:tcBorders>
                  <w:vAlign w:val="center"/>
                </w:tcPr>
                <w:p>
                  <w:pPr>
                    <w:pStyle w:val="45"/>
                    <w:rPr>
                      <w:kern w:val="0"/>
                      <w:szCs w:val="20"/>
                    </w:rPr>
                  </w:pPr>
                  <w:r>
                    <w:rPr>
                      <w:rFonts w:hint="eastAsia"/>
                      <w:kern w:val="0"/>
                      <w:szCs w:val="20"/>
                    </w:rPr>
                    <w:t>2</w:t>
                  </w:r>
                  <w:r>
                    <w:rPr>
                      <w:kern w:val="0"/>
                      <w:szCs w:val="20"/>
                    </w:rPr>
                    <w:t>5</w:t>
                  </w:r>
                </w:p>
              </w:tc>
              <w:tc>
                <w:tcPr>
                  <w:tcW w:w="993" w:type="dxa"/>
                  <w:tcBorders>
                    <w:bottom w:val="single" w:color="auto" w:sz="12" w:space="0"/>
                  </w:tcBorders>
                  <w:vAlign w:val="center"/>
                </w:tcPr>
                <w:p>
                  <w:pPr>
                    <w:pStyle w:val="45"/>
                    <w:rPr>
                      <w:kern w:val="0"/>
                      <w:szCs w:val="20"/>
                    </w:rPr>
                  </w:pPr>
                  <w:r>
                    <w:rPr>
                      <w:rFonts w:hint="eastAsia"/>
                      <w:kern w:val="0"/>
                      <w:szCs w:val="20"/>
                    </w:rPr>
                    <w:t>4</w:t>
                  </w:r>
                  <w:r>
                    <w:rPr>
                      <w:kern w:val="0"/>
                      <w:szCs w:val="20"/>
                    </w:rPr>
                    <w:t>50</w:t>
                  </w:r>
                </w:p>
              </w:tc>
              <w:tc>
                <w:tcPr>
                  <w:tcW w:w="682" w:type="dxa"/>
                  <w:tcBorders>
                    <w:bottom w:val="single" w:color="auto" w:sz="12" w:space="0"/>
                  </w:tcBorders>
                  <w:vAlign w:val="center"/>
                </w:tcPr>
                <w:p>
                  <w:pPr>
                    <w:pStyle w:val="45"/>
                    <w:rPr>
                      <w:kern w:val="0"/>
                      <w:szCs w:val="20"/>
                    </w:rPr>
                  </w:pPr>
                  <w:r>
                    <w:rPr>
                      <w:rFonts w:hint="eastAsia"/>
                      <w:kern w:val="0"/>
                      <w:szCs w:val="20"/>
                    </w:rPr>
                    <w:t>正常</w:t>
                  </w:r>
                </w:p>
              </w:tc>
              <w:tc>
                <w:tcPr>
                  <w:tcW w:w="1171" w:type="dxa"/>
                  <w:tcBorders>
                    <w:bottom w:val="single" w:color="auto" w:sz="12" w:space="0"/>
                  </w:tcBorders>
                  <w:vAlign w:val="center"/>
                </w:tcPr>
                <w:p>
                  <w:pPr>
                    <w:pStyle w:val="45"/>
                    <w:rPr>
                      <w:kern w:val="0"/>
                      <w:szCs w:val="20"/>
                    </w:rPr>
                  </w:pPr>
                  <w:r>
                    <w:rPr>
                      <w:rFonts w:hint="eastAsia"/>
                      <w:kern w:val="0"/>
                      <w:szCs w:val="20"/>
                    </w:rPr>
                    <w:t>0.01663</w:t>
                  </w:r>
                </w:p>
              </w:tc>
            </w:tr>
          </w:tbl>
          <w:p>
            <w:pPr>
              <w:adjustRightInd w:val="0"/>
              <w:snapToGrid w:val="0"/>
              <w:spacing w:beforeLines="50"/>
              <w:ind w:firstLine="480"/>
              <w:rPr>
                <w:rFonts w:cs="Times New Roman"/>
                <w:color w:val="000000"/>
              </w:rPr>
            </w:pPr>
            <w:r>
              <w:rPr>
                <w:rFonts w:cs="Times New Roman"/>
                <w:color w:val="000000"/>
              </w:rPr>
              <w:t>采用导则推荐的估算模型进行估算，具体估算结果详见下表</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表7-6 各污染物最大落地浓度及占标率</w:t>
            </w:r>
          </w:p>
          <w:tbl>
            <w:tblPr>
              <w:tblStyle w:val="38"/>
              <w:tblW w:w="873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5"/>
              <w:gridCol w:w="1269"/>
              <w:gridCol w:w="955"/>
              <w:gridCol w:w="1093"/>
              <w:gridCol w:w="1503"/>
              <w:gridCol w:w="1639"/>
              <w:gridCol w:w="17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535"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序号</w:t>
                  </w:r>
                </w:p>
              </w:tc>
              <w:tc>
                <w:tcPr>
                  <w:tcW w:w="1269"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污染源</w:t>
                  </w:r>
                </w:p>
              </w:tc>
              <w:tc>
                <w:tcPr>
                  <w:tcW w:w="955"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类型</w:t>
                  </w:r>
                </w:p>
              </w:tc>
              <w:tc>
                <w:tcPr>
                  <w:tcW w:w="1093"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污染物</w:t>
                  </w:r>
                </w:p>
              </w:tc>
              <w:tc>
                <w:tcPr>
                  <w:tcW w:w="1503"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最大落地浓度距离（m）</w:t>
                  </w:r>
                </w:p>
              </w:tc>
              <w:tc>
                <w:tcPr>
                  <w:tcW w:w="1639"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最大落地浓度（μg/m</w:t>
                  </w:r>
                  <w:r>
                    <w:rPr>
                      <w:rFonts w:cs="Times New Roman"/>
                      <w:kern w:val="0"/>
                      <w:sz w:val="21"/>
                      <w:szCs w:val="20"/>
                      <w:vertAlign w:val="superscript"/>
                      <w:lang w:val="zh-CN"/>
                    </w:rPr>
                    <w:t>3</w:t>
                  </w:r>
                  <w:r>
                    <w:rPr>
                      <w:rFonts w:cs="Times New Roman"/>
                      <w:kern w:val="0"/>
                      <w:sz w:val="21"/>
                      <w:szCs w:val="20"/>
                      <w:lang w:val="zh-CN"/>
                    </w:rPr>
                    <w:t>）</w:t>
                  </w:r>
                </w:p>
              </w:tc>
              <w:tc>
                <w:tcPr>
                  <w:tcW w:w="1737"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最大落地浓度占标率（%）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5"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1</w:t>
                  </w:r>
                </w:p>
              </w:tc>
              <w:tc>
                <w:tcPr>
                  <w:tcW w:w="1269"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生产车间</w:t>
                  </w:r>
                </w:p>
              </w:tc>
              <w:tc>
                <w:tcPr>
                  <w:tcW w:w="955"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面源</w:t>
                  </w:r>
                </w:p>
              </w:tc>
              <w:tc>
                <w:tcPr>
                  <w:tcW w:w="1093"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TSP</w:t>
                  </w:r>
                </w:p>
              </w:tc>
              <w:tc>
                <w:tcPr>
                  <w:tcW w:w="1503"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r>
                    <w:rPr>
                      <w:rFonts w:cs="Times New Roman"/>
                      <w:kern w:val="0"/>
                      <w:sz w:val="21"/>
                      <w:szCs w:val="20"/>
                      <w:lang w:val="zh-CN"/>
                    </w:rPr>
                    <w:t>0</w:t>
                  </w:r>
                </w:p>
              </w:tc>
              <w:tc>
                <w:tcPr>
                  <w:tcW w:w="163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2</w:t>
                  </w:r>
                  <w:r>
                    <w:rPr>
                      <w:rFonts w:cs="Times New Roman"/>
                      <w:kern w:val="0"/>
                      <w:sz w:val="21"/>
                      <w:szCs w:val="20"/>
                      <w:lang w:val="zh-CN"/>
                    </w:rPr>
                    <w:t>.72</w:t>
                  </w:r>
                </w:p>
              </w:tc>
              <w:tc>
                <w:tcPr>
                  <w:tcW w:w="1737"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0</w:t>
                  </w:r>
                  <w:r>
                    <w:rPr>
                      <w:rFonts w:cs="Times New Roman"/>
                      <w:kern w:val="0"/>
                      <w:sz w:val="21"/>
                      <w:szCs w:val="20"/>
                      <w:lang w:val="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5" w:type="dxa"/>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2</w:t>
                  </w:r>
                </w:p>
              </w:tc>
              <w:tc>
                <w:tcPr>
                  <w:tcW w:w="126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G1</w:t>
                  </w:r>
                  <w:r>
                    <w:rPr>
                      <w:rFonts w:cs="Times New Roman"/>
                      <w:kern w:val="0"/>
                      <w:sz w:val="21"/>
                      <w:szCs w:val="20"/>
                      <w:lang w:val="zh-CN"/>
                    </w:rPr>
                    <w:t>排气筒</w:t>
                  </w:r>
                </w:p>
              </w:tc>
              <w:tc>
                <w:tcPr>
                  <w:tcW w:w="955" w:type="dxa"/>
                  <w:vMerge w:val="restar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点源</w:t>
                  </w:r>
                </w:p>
              </w:tc>
              <w:tc>
                <w:tcPr>
                  <w:tcW w:w="1093" w:type="dxa"/>
                  <w:vMerge w:val="restar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PM</w:t>
                  </w:r>
                  <w:r>
                    <w:rPr>
                      <w:rFonts w:cs="Times New Roman"/>
                      <w:kern w:val="0"/>
                      <w:sz w:val="21"/>
                      <w:szCs w:val="20"/>
                      <w:vertAlign w:val="subscript"/>
                      <w:lang w:val="zh-CN"/>
                    </w:rPr>
                    <w:t>10</w:t>
                  </w:r>
                </w:p>
              </w:tc>
              <w:tc>
                <w:tcPr>
                  <w:tcW w:w="1503"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5</w:t>
                  </w:r>
                  <w:r>
                    <w:rPr>
                      <w:rFonts w:cs="Times New Roman"/>
                      <w:kern w:val="0"/>
                      <w:sz w:val="21"/>
                      <w:szCs w:val="20"/>
                      <w:lang w:val="zh-CN"/>
                    </w:rPr>
                    <w:t>3</w:t>
                  </w:r>
                </w:p>
              </w:tc>
              <w:tc>
                <w:tcPr>
                  <w:tcW w:w="163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2.31</w:t>
                  </w:r>
                </w:p>
              </w:tc>
              <w:tc>
                <w:tcPr>
                  <w:tcW w:w="1737"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p>
              </w:tc>
              <w:tc>
                <w:tcPr>
                  <w:tcW w:w="126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G2排气筒</w:t>
                  </w:r>
                </w:p>
              </w:tc>
              <w:tc>
                <w:tcPr>
                  <w:tcW w:w="955" w:type="dxa"/>
                  <w:vMerge w:val="continue"/>
                  <w:vAlign w:val="center"/>
                </w:tcPr>
                <w:p>
                  <w:pPr>
                    <w:adjustRightInd w:val="0"/>
                    <w:snapToGrid w:val="0"/>
                    <w:spacing w:line="240" w:lineRule="auto"/>
                    <w:ind w:firstLine="0" w:firstLineChars="0"/>
                    <w:rPr>
                      <w:rFonts w:cs="Times New Roman"/>
                      <w:kern w:val="0"/>
                      <w:sz w:val="21"/>
                      <w:szCs w:val="20"/>
                      <w:lang w:val="zh-CN"/>
                    </w:rPr>
                  </w:pPr>
                </w:p>
              </w:tc>
              <w:tc>
                <w:tcPr>
                  <w:tcW w:w="1093" w:type="dxa"/>
                  <w:vMerge w:val="continue"/>
                  <w:vAlign w:val="center"/>
                </w:tcPr>
                <w:p>
                  <w:pPr>
                    <w:adjustRightInd w:val="0"/>
                    <w:snapToGrid w:val="0"/>
                    <w:spacing w:line="240" w:lineRule="auto"/>
                    <w:ind w:firstLine="0" w:firstLineChars="0"/>
                    <w:rPr>
                      <w:rFonts w:cs="Times New Roman"/>
                      <w:kern w:val="0"/>
                      <w:sz w:val="21"/>
                      <w:szCs w:val="20"/>
                      <w:lang w:val="zh-CN"/>
                    </w:rPr>
                  </w:pPr>
                </w:p>
              </w:tc>
              <w:tc>
                <w:tcPr>
                  <w:tcW w:w="1503"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5</w:t>
                  </w:r>
                  <w:r>
                    <w:rPr>
                      <w:rFonts w:cs="Times New Roman"/>
                      <w:kern w:val="0"/>
                      <w:sz w:val="21"/>
                      <w:szCs w:val="20"/>
                      <w:lang w:val="zh-CN"/>
                    </w:rPr>
                    <w:t>3</w:t>
                  </w:r>
                </w:p>
              </w:tc>
              <w:tc>
                <w:tcPr>
                  <w:tcW w:w="163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2.31</w:t>
                  </w:r>
                </w:p>
              </w:tc>
              <w:tc>
                <w:tcPr>
                  <w:tcW w:w="1737"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0.51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35"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4</w:t>
                  </w:r>
                </w:p>
              </w:tc>
              <w:tc>
                <w:tcPr>
                  <w:tcW w:w="126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G3排气筒</w:t>
                  </w:r>
                </w:p>
              </w:tc>
              <w:tc>
                <w:tcPr>
                  <w:tcW w:w="955" w:type="dxa"/>
                  <w:vMerge w:val="continue"/>
                  <w:vAlign w:val="center"/>
                </w:tcPr>
                <w:p>
                  <w:pPr>
                    <w:adjustRightInd w:val="0"/>
                    <w:snapToGrid w:val="0"/>
                    <w:spacing w:line="240" w:lineRule="auto"/>
                    <w:ind w:firstLine="0" w:firstLineChars="0"/>
                    <w:rPr>
                      <w:rFonts w:cs="Times New Roman"/>
                      <w:kern w:val="0"/>
                      <w:sz w:val="21"/>
                      <w:szCs w:val="20"/>
                      <w:lang w:val="zh-CN"/>
                    </w:rPr>
                  </w:pPr>
                </w:p>
              </w:tc>
              <w:tc>
                <w:tcPr>
                  <w:tcW w:w="1093" w:type="dxa"/>
                  <w:vMerge w:val="continue"/>
                  <w:vAlign w:val="center"/>
                </w:tcPr>
                <w:p>
                  <w:pPr>
                    <w:adjustRightInd w:val="0"/>
                    <w:snapToGrid w:val="0"/>
                    <w:spacing w:line="240" w:lineRule="auto"/>
                    <w:ind w:firstLine="0" w:firstLineChars="0"/>
                    <w:rPr>
                      <w:rFonts w:cs="Times New Roman"/>
                      <w:kern w:val="0"/>
                      <w:sz w:val="21"/>
                      <w:szCs w:val="20"/>
                      <w:lang w:val="zh-CN"/>
                    </w:rPr>
                  </w:pPr>
                </w:p>
              </w:tc>
              <w:tc>
                <w:tcPr>
                  <w:tcW w:w="1503"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5</w:t>
                  </w:r>
                  <w:r>
                    <w:rPr>
                      <w:rFonts w:cs="Times New Roman"/>
                      <w:kern w:val="0"/>
                      <w:sz w:val="21"/>
                      <w:szCs w:val="20"/>
                      <w:lang w:val="zh-CN"/>
                    </w:rPr>
                    <w:t>3</w:t>
                  </w:r>
                </w:p>
              </w:tc>
              <w:tc>
                <w:tcPr>
                  <w:tcW w:w="1639"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2.31</w:t>
                  </w:r>
                </w:p>
              </w:tc>
              <w:tc>
                <w:tcPr>
                  <w:tcW w:w="1737" w:type="dxa"/>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0.51</w:t>
                  </w:r>
                </w:p>
              </w:tc>
            </w:tr>
          </w:tbl>
          <w:p>
            <w:pPr>
              <w:adjustRightInd w:val="0"/>
              <w:snapToGrid w:val="0"/>
              <w:ind w:firstLine="480"/>
              <w:rPr>
                <w:rFonts w:cs="Times New Roman"/>
                <w:color w:val="000000"/>
              </w:rPr>
            </w:pPr>
            <w:r>
              <w:rPr>
                <w:rFonts w:cs="Times New Roman"/>
                <w:color w:val="000000"/>
              </w:rPr>
              <w:t>由上述预测结果可知，本项目粉尘排放最大落地浓度</w:t>
            </w:r>
            <w:r>
              <w:rPr>
                <w:rFonts w:hint="eastAsia" w:cs="Times New Roman"/>
                <w:color w:val="000000"/>
              </w:rPr>
              <w:t>2.72</w:t>
            </w:r>
            <w:r>
              <w:rPr>
                <w:rFonts w:cs="Times New Roman"/>
                <w:color w:val="000000"/>
              </w:rPr>
              <w:t>μg/m</w:t>
            </w:r>
            <w:r>
              <w:rPr>
                <w:rFonts w:cs="Times New Roman"/>
                <w:color w:val="000000"/>
                <w:vertAlign w:val="superscript"/>
              </w:rPr>
              <w:t>3</w:t>
            </w:r>
            <w:r>
              <w:rPr>
                <w:rFonts w:cs="Times New Roman"/>
                <w:color w:val="000000"/>
              </w:rPr>
              <w:t>，最大落地浓度占标率为</w:t>
            </w:r>
            <w:r>
              <w:rPr>
                <w:rFonts w:hint="eastAsia" w:cs="Times New Roman"/>
                <w:color w:val="000000"/>
              </w:rPr>
              <w:t>0.51</w:t>
            </w:r>
            <w:r>
              <w:rPr>
                <w:rFonts w:cs="Times New Roman"/>
                <w:color w:val="000000"/>
              </w:rPr>
              <w:t>%，根据《环境影响评价技术导则 大气环境》（HJ2.2-2018）分级判据，本项目评价等级为</w:t>
            </w:r>
            <w:r>
              <w:rPr>
                <w:rFonts w:hint="eastAsia" w:cs="Times New Roman"/>
                <w:color w:val="000000"/>
              </w:rPr>
              <w:t>三</w:t>
            </w:r>
            <w:r>
              <w:rPr>
                <w:rFonts w:cs="Times New Roman"/>
                <w:color w:val="000000"/>
              </w:rPr>
              <w:t>级评价项目，不进行进一步</w:t>
            </w:r>
            <w:r>
              <w:rPr>
                <w:rFonts w:hint="eastAsia" w:cs="Times New Roman"/>
                <w:color w:val="000000"/>
              </w:rPr>
              <w:t>预测和</w:t>
            </w:r>
            <w:r>
              <w:rPr>
                <w:rFonts w:cs="Times New Roman"/>
                <w:color w:val="000000"/>
              </w:rPr>
              <w:t>评价</w:t>
            </w:r>
            <w:r>
              <w:rPr>
                <w:rFonts w:hint="eastAsia" w:cs="Times New Roman"/>
                <w:color w:val="000000"/>
              </w:rPr>
              <w:t>。</w:t>
            </w:r>
            <w:r>
              <w:rPr>
                <w:rFonts w:cs="Times New Roman"/>
                <w:color w:val="000000"/>
              </w:rPr>
              <w:t xml:space="preserve"> </w:t>
            </w:r>
          </w:p>
          <w:p>
            <w:pPr>
              <w:keepNext/>
              <w:keepLines/>
              <w:ind w:firstLine="0" w:firstLineChars="0"/>
              <w:outlineLvl w:val="2"/>
              <w:rPr>
                <w:rFonts w:cs="Times New Roman"/>
                <w:b/>
                <w:bCs/>
                <w:sz w:val="28"/>
                <w:szCs w:val="20"/>
                <w:lang w:val="zh-CN"/>
              </w:rPr>
            </w:pPr>
            <w:r>
              <w:rPr>
                <w:rFonts w:cs="Times New Roman"/>
                <w:b/>
                <w:bCs/>
                <w:sz w:val="28"/>
                <w:szCs w:val="32"/>
                <w:lang w:val="zh-CN"/>
              </w:rPr>
              <w:t>7.2.2水环境影响分析</w:t>
            </w:r>
          </w:p>
          <w:p>
            <w:pPr>
              <w:adjustRightInd w:val="0"/>
              <w:snapToGrid w:val="0"/>
              <w:ind w:firstLine="480"/>
              <w:rPr>
                <w:rFonts w:cs="Times New Roman"/>
                <w:color w:val="000000"/>
              </w:rPr>
            </w:pPr>
            <w:r>
              <w:rPr>
                <w:rFonts w:cs="Times New Roman"/>
                <w:color w:val="000000"/>
              </w:rPr>
              <w:t>本</w:t>
            </w:r>
            <w:r>
              <w:rPr>
                <w:rFonts w:cs="Times New Roman"/>
              </w:rPr>
              <w:t>项目对抛光废气和脱模废气使用水喷淋塔进行治理，喷淋用水仅在喷淋塔内循环使用，不外排，只需不定时补给，年用水量20t/a。外排废水</w:t>
            </w:r>
            <w:r>
              <w:rPr>
                <w:rFonts w:cs="Times New Roman"/>
                <w:color w:val="000000"/>
              </w:rPr>
              <w:t>主要废水为员工办公生活污水。</w:t>
            </w:r>
          </w:p>
          <w:p>
            <w:pPr>
              <w:keepNext/>
              <w:keepLines/>
              <w:ind w:firstLine="0" w:firstLineChars="0"/>
              <w:outlineLvl w:val="3"/>
              <w:rPr>
                <w:rFonts w:cs="Times New Roman"/>
                <w:b/>
                <w:bCs/>
                <w:szCs w:val="28"/>
                <w:lang w:val="zh-CN"/>
              </w:rPr>
            </w:pPr>
            <w:r>
              <w:rPr>
                <w:rFonts w:cs="Times New Roman"/>
                <w:b/>
                <w:bCs/>
                <w:szCs w:val="28"/>
                <w:lang w:val="zh-CN"/>
              </w:rPr>
              <w:t>7.2.2.1评价等级</w:t>
            </w:r>
          </w:p>
          <w:p>
            <w:pPr>
              <w:adjustRightInd w:val="0"/>
              <w:snapToGrid w:val="0"/>
              <w:ind w:firstLine="480"/>
              <w:rPr>
                <w:rFonts w:cs="Times New Roman"/>
                <w:color w:val="000000"/>
              </w:rPr>
            </w:pPr>
            <w:r>
              <w:rPr>
                <w:rFonts w:cs="Times New Roman"/>
                <w:color w:val="000000"/>
              </w:rPr>
              <w:t>项目员工12人，均不在厂内食宿。项目员工生活排水量约为0.432m</w:t>
            </w:r>
            <w:r>
              <w:rPr>
                <w:rFonts w:cs="Times New Roman"/>
                <w:color w:val="000000"/>
                <w:vertAlign w:val="superscript"/>
              </w:rPr>
              <w:t>3</w:t>
            </w:r>
            <w:r>
              <w:rPr>
                <w:rFonts w:cs="Times New Roman"/>
                <w:color w:val="000000"/>
              </w:rPr>
              <w:t>/d，133.92 m</w:t>
            </w:r>
            <w:r>
              <w:rPr>
                <w:rFonts w:cs="Times New Roman"/>
                <w:color w:val="000000"/>
                <w:vertAlign w:val="superscript"/>
              </w:rPr>
              <w:t>3</w:t>
            </w:r>
            <w:r>
              <w:rPr>
                <w:rFonts w:cs="Times New Roman"/>
                <w:color w:val="000000"/>
              </w:rPr>
              <w:t>/a。项目生活污水经三级化粪池预处理达到广东省《水污染物排放限值》(DB44/26-2001)第二时段三级标准</w:t>
            </w:r>
            <w:r>
              <w:rPr>
                <w:rFonts w:hint="eastAsia" w:cs="Times New Roman"/>
                <w:color w:val="000000"/>
              </w:rPr>
              <w:t>和《污水排入城镇下水道水质标准》（GB/T31962-2015）一级B标准</w:t>
            </w:r>
            <w:r>
              <w:rPr>
                <w:rFonts w:cs="Times New Roman"/>
                <w:color w:val="000000"/>
              </w:rPr>
              <w:t>后排入市政污水管网，最终纳入开平市水口污水处理厂处理，处理达标后排入潭江，根据《环境影响评价技术导则—地表水环境》（HJ2.3-2018），地表水评价等级为三级B，其等级判定参数见表7-9。</w:t>
            </w:r>
          </w:p>
          <w:p>
            <w:pPr>
              <w:adjustRightInd w:val="0"/>
              <w:snapToGrid w:val="0"/>
              <w:spacing w:line="240" w:lineRule="auto"/>
              <w:ind w:firstLine="422" w:firstLineChars="0"/>
              <w:jc w:val="center"/>
              <w:rPr>
                <w:rFonts w:cs="Times New Roman"/>
                <w:b/>
                <w:color w:val="000000"/>
                <w:sz w:val="21"/>
              </w:rPr>
            </w:pPr>
            <w:r>
              <w:rPr>
                <w:rFonts w:cs="Times New Roman"/>
                <w:b/>
                <w:color w:val="000000"/>
                <w:sz w:val="21"/>
                <w:lang w:val="zh-CN"/>
              </w:rPr>
              <w:t>表</w:t>
            </w:r>
            <w:r>
              <w:rPr>
                <w:rFonts w:cs="Times New Roman"/>
                <w:b/>
                <w:color w:val="000000"/>
                <w:sz w:val="21"/>
              </w:rPr>
              <w:t>7-7水污染影响型建设项目评价等级判定</w:t>
            </w:r>
          </w:p>
          <w:tbl>
            <w:tblPr>
              <w:tblStyle w:val="5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54"/>
              <w:gridCol w:w="2857"/>
              <w:gridCol w:w="28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Merge w:val="restart"/>
                  <w:vAlign w:val="center"/>
                </w:tcPr>
                <w:p>
                  <w:pPr>
                    <w:pStyle w:val="45"/>
                    <w:rPr>
                      <w:kern w:val="0"/>
                      <w:szCs w:val="20"/>
                    </w:rPr>
                  </w:pPr>
                  <w:r>
                    <w:rPr>
                      <w:kern w:val="0"/>
                      <w:szCs w:val="20"/>
                    </w:rPr>
                    <w:t>评价等级</w:t>
                  </w:r>
                </w:p>
              </w:tc>
              <w:tc>
                <w:tcPr>
                  <w:tcW w:w="3334" w:type="pct"/>
                  <w:gridSpan w:val="2"/>
                  <w:vAlign w:val="center"/>
                </w:tcPr>
                <w:p>
                  <w:pPr>
                    <w:pStyle w:val="45"/>
                    <w:rPr>
                      <w:kern w:val="0"/>
                      <w:szCs w:val="20"/>
                    </w:rPr>
                  </w:pPr>
                  <w:r>
                    <w:rPr>
                      <w:kern w:val="0"/>
                      <w:szCs w:val="20"/>
                    </w:rPr>
                    <w:t>判定依据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Merge w:val="continue"/>
                  <w:vAlign w:val="center"/>
                </w:tcPr>
                <w:p>
                  <w:pPr>
                    <w:pStyle w:val="45"/>
                    <w:rPr>
                      <w:kern w:val="0"/>
                      <w:szCs w:val="20"/>
                    </w:rPr>
                  </w:pPr>
                </w:p>
              </w:tc>
              <w:tc>
                <w:tcPr>
                  <w:tcW w:w="1667" w:type="pct"/>
                  <w:vAlign w:val="center"/>
                </w:tcPr>
                <w:p>
                  <w:pPr>
                    <w:pStyle w:val="45"/>
                    <w:rPr>
                      <w:kern w:val="0"/>
                      <w:szCs w:val="20"/>
                    </w:rPr>
                  </w:pPr>
                  <w:r>
                    <w:rPr>
                      <w:kern w:val="0"/>
                      <w:szCs w:val="20"/>
                    </w:rPr>
                    <w:t>排放方式</w:t>
                  </w:r>
                </w:p>
              </w:tc>
              <w:tc>
                <w:tcPr>
                  <w:tcW w:w="1667" w:type="pct"/>
                  <w:vAlign w:val="center"/>
                </w:tcPr>
                <w:p>
                  <w:pPr>
                    <w:pStyle w:val="45"/>
                    <w:rPr>
                      <w:kern w:val="0"/>
                      <w:szCs w:val="20"/>
                    </w:rPr>
                  </w:pPr>
                  <w:r>
                    <w:rPr>
                      <w:kern w:val="0"/>
                      <w:szCs w:val="20"/>
                    </w:rPr>
                    <w:t>废水排放量（Q/m</w:t>
                  </w:r>
                  <w:r>
                    <w:rPr>
                      <w:kern w:val="0"/>
                      <w:szCs w:val="20"/>
                      <w:vertAlign w:val="superscript"/>
                    </w:rPr>
                    <w:t>3</w:t>
                  </w:r>
                  <w:r>
                    <w:rPr>
                      <w:kern w:val="0"/>
                      <w:szCs w:val="20"/>
                    </w:rPr>
                    <w:t xml:space="preserve"> /d） 水污染物当量数 W/（无量纲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Align w:val="center"/>
                </w:tcPr>
                <w:p>
                  <w:pPr>
                    <w:pStyle w:val="45"/>
                    <w:rPr>
                      <w:kern w:val="0"/>
                      <w:szCs w:val="20"/>
                    </w:rPr>
                  </w:pPr>
                  <w:r>
                    <w:rPr>
                      <w:kern w:val="0"/>
                      <w:szCs w:val="20"/>
                    </w:rPr>
                    <w:t>一级</w:t>
                  </w:r>
                </w:p>
              </w:tc>
              <w:tc>
                <w:tcPr>
                  <w:tcW w:w="1667" w:type="pct"/>
                  <w:vAlign w:val="center"/>
                </w:tcPr>
                <w:p>
                  <w:pPr>
                    <w:pStyle w:val="45"/>
                    <w:rPr>
                      <w:kern w:val="0"/>
                      <w:szCs w:val="20"/>
                    </w:rPr>
                  </w:pPr>
                  <w:r>
                    <w:rPr>
                      <w:kern w:val="0"/>
                      <w:szCs w:val="20"/>
                    </w:rPr>
                    <w:t>直接排放</w:t>
                  </w:r>
                </w:p>
              </w:tc>
              <w:tc>
                <w:tcPr>
                  <w:tcW w:w="1667" w:type="pct"/>
                  <w:vAlign w:val="center"/>
                </w:tcPr>
                <w:p>
                  <w:pPr>
                    <w:pStyle w:val="45"/>
                    <w:rPr>
                      <w:kern w:val="0"/>
                      <w:szCs w:val="20"/>
                    </w:rPr>
                  </w:pPr>
                  <w:r>
                    <w:rPr>
                      <w:kern w:val="0"/>
                      <w:szCs w:val="20"/>
                    </w:rPr>
                    <w:t>Q≥20000 或 W≥600000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Align w:val="center"/>
                </w:tcPr>
                <w:p>
                  <w:pPr>
                    <w:pStyle w:val="45"/>
                    <w:rPr>
                      <w:kern w:val="0"/>
                      <w:szCs w:val="20"/>
                    </w:rPr>
                  </w:pPr>
                  <w:r>
                    <w:rPr>
                      <w:kern w:val="0"/>
                      <w:szCs w:val="20"/>
                    </w:rPr>
                    <w:t>二级</w:t>
                  </w:r>
                </w:p>
              </w:tc>
              <w:tc>
                <w:tcPr>
                  <w:tcW w:w="1667" w:type="pct"/>
                  <w:vAlign w:val="center"/>
                </w:tcPr>
                <w:p>
                  <w:pPr>
                    <w:pStyle w:val="45"/>
                    <w:rPr>
                      <w:kern w:val="0"/>
                      <w:szCs w:val="20"/>
                    </w:rPr>
                  </w:pPr>
                  <w:r>
                    <w:rPr>
                      <w:kern w:val="0"/>
                      <w:szCs w:val="20"/>
                    </w:rPr>
                    <w:t>直接排放</w:t>
                  </w:r>
                </w:p>
              </w:tc>
              <w:tc>
                <w:tcPr>
                  <w:tcW w:w="1667" w:type="pct"/>
                  <w:vAlign w:val="center"/>
                </w:tcPr>
                <w:p>
                  <w:pPr>
                    <w:pStyle w:val="45"/>
                    <w:rPr>
                      <w:kern w:val="0"/>
                      <w:szCs w:val="20"/>
                    </w:rPr>
                  </w:pPr>
                  <w:r>
                    <w:rPr>
                      <w:kern w:val="0"/>
                      <w:szCs w:val="20"/>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Align w:val="center"/>
                </w:tcPr>
                <w:p>
                  <w:pPr>
                    <w:pStyle w:val="45"/>
                    <w:rPr>
                      <w:kern w:val="0"/>
                      <w:szCs w:val="20"/>
                    </w:rPr>
                  </w:pPr>
                  <w:r>
                    <w:rPr>
                      <w:kern w:val="0"/>
                      <w:szCs w:val="20"/>
                    </w:rPr>
                    <w:t>三级A</w:t>
                  </w:r>
                </w:p>
              </w:tc>
              <w:tc>
                <w:tcPr>
                  <w:tcW w:w="1667" w:type="pct"/>
                  <w:vAlign w:val="center"/>
                </w:tcPr>
                <w:p>
                  <w:pPr>
                    <w:pStyle w:val="45"/>
                    <w:rPr>
                      <w:kern w:val="0"/>
                      <w:szCs w:val="20"/>
                    </w:rPr>
                  </w:pPr>
                  <w:r>
                    <w:rPr>
                      <w:kern w:val="0"/>
                      <w:szCs w:val="20"/>
                    </w:rPr>
                    <w:t>直接排放</w:t>
                  </w:r>
                </w:p>
              </w:tc>
              <w:tc>
                <w:tcPr>
                  <w:tcW w:w="1667" w:type="pct"/>
                  <w:vAlign w:val="center"/>
                </w:tcPr>
                <w:p>
                  <w:pPr>
                    <w:pStyle w:val="45"/>
                    <w:rPr>
                      <w:kern w:val="0"/>
                      <w:szCs w:val="20"/>
                    </w:rPr>
                  </w:pPr>
                  <w:r>
                    <w:rPr>
                      <w:kern w:val="0"/>
                      <w:szCs w:val="20"/>
                    </w:rPr>
                    <w:t>Q＜200 且 W＜6000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66" w:type="pct"/>
                  <w:vAlign w:val="center"/>
                </w:tcPr>
                <w:p>
                  <w:pPr>
                    <w:pStyle w:val="45"/>
                    <w:rPr>
                      <w:kern w:val="0"/>
                      <w:szCs w:val="20"/>
                    </w:rPr>
                  </w:pPr>
                  <w:r>
                    <w:rPr>
                      <w:kern w:val="0"/>
                      <w:szCs w:val="20"/>
                    </w:rPr>
                    <w:t>三级B</w:t>
                  </w:r>
                </w:p>
              </w:tc>
              <w:tc>
                <w:tcPr>
                  <w:tcW w:w="1667" w:type="pct"/>
                  <w:vAlign w:val="center"/>
                </w:tcPr>
                <w:p>
                  <w:pPr>
                    <w:pStyle w:val="45"/>
                    <w:rPr>
                      <w:kern w:val="0"/>
                      <w:szCs w:val="20"/>
                    </w:rPr>
                  </w:pPr>
                  <w:r>
                    <w:rPr>
                      <w:kern w:val="0"/>
                      <w:szCs w:val="20"/>
                    </w:rPr>
                    <w:t>间接排放</w:t>
                  </w:r>
                </w:p>
              </w:tc>
              <w:tc>
                <w:tcPr>
                  <w:tcW w:w="1667" w:type="pct"/>
                  <w:vAlign w:val="center"/>
                </w:tcPr>
                <w:p>
                  <w:pPr>
                    <w:pStyle w:val="45"/>
                    <w:rPr>
                      <w:kern w:val="0"/>
                      <w:szCs w:val="20"/>
                    </w:rPr>
                  </w:pPr>
                  <w:r>
                    <w:rPr>
                      <w:kern w:val="0"/>
                      <w:szCs w:val="20"/>
                    </w:rPr>
                    <w:t>--</w:t>
                  </w:r>
                </w:p>
              </w:tc>
            </w:tr>
          </w:tbl>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注3：厂区存在堆积物（露天堆放的原料、燃料、废渣等以及垃圾堆放场）、降尘污染的，应将初期雨污水纳入废水排放量，相应的主要污染物纳入水污染当量计算。</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注4：建设项目直接排放第一类污染物的，其评价等级为一级；建设项目直接排放的污染物为受纳水体超标因子的，评价等级不低于二级。</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注5：直接排放受纳水体影响范围涉及饮用水水源保护区、饮用水取水口、重点保护与珍稀水生生物的栖息地、重要水生生物的自然产卵场等保护目标时，评价等级不低于二级。</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注6：建设项目向河流、湖库排放温排水引起受纳水体水温变化超过水环境质量标准要求，且评价范围有水温敏感目标时，评价等级为一级。</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注7：建设项目利用海水作为调节温度介质，排水量≥500万m3/d，评价等级为一级；排水量＜500万m3/d，评价等级为二级。</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注8：仅涉及清净下水排放的，如其排放水质满足受纳水体水环境质量标准要求的，评价等级为三级A。</w:t>
            </w:r>
          </w:p>
          <w:p>
            <w:pPr>
              <w:adjustRightInd w:val="0"/>
              <w:snapToGrid w:val="0"/>
              <w:spacing w:line="240" w:lineRule="auto"/>
              <w:ind w:left="240" w:leftChars="100" w:firstLine="0" w:firstLineChars="0"/>
              <w:jc w:val="left"/>
              <w:rPr>
                <w:rFonts w:cs="Times New Roman"/>
                <w:color w:val="000000"/>
                <w:sz w:val="21"/>
                <w:lang w:val="zh-CN"/>
              </w:rPr>
            </w:pPr>
            <w:r>
              <w:rPr>
                <w:rFonts w:cs="Times New Roman"/>
                <w:color w:val="000000"/>
                <w:sz w:val="21"/>
                <w:lang w:val="zh-CN"/>
              </w:rPr>
              <w:t>注9：依托现有排放口，且对外环境未新增排放污染物的直接排放建设项目，评价等级参照间接排放，定为三级B。</w:t>
            </w:r>
          </w:p>
          <w:p>
            <w:pPr>
              <w:adjustRightInd w:val="0"/>
              <w:snapToGrid w:val="0"/>
              <w:ind w:left="240" w:leftChars="100" w:firstLine="0" w:firstLineChars="0"/>
              <w:rPr>
                <w:rFonts w:cs="Times New Roman"/>
                <w:color w:val="000000"/>
                <w:sz w:val="21"/>
                <w:szCs w:val="21"/>
              </w:rPr>
            </w:pPr>
            <w:r>
              <w:rPr>
                <w:rFonts w:cs="Times New Roman"/>
                <w:color w:val="000000"/>
                <w:sz w:val="21"/>
                <w:szCs w:val="21"/>
              </w:rPr>
              <w:t>注10：建设项目生产工艺中有废水产生，但作为回水利用，不排放到外环境的，按三级B评价。</w:t>
            </w:r>
          </w:p>
          <w:p>
            <w:pPr>
              <w:keepNext/>
              <w:keepLines/>
              <w:ind w:firstLine="0" w:firstLineChars="0"/>
              <w:outlineLvl w:val="3"/>
              <w:rPr>
                <w:rFonts w:cs="Times New Roman"/>
                <w:b/>
                <w:bCs/>
                <w:szCs w:val="28"/>
              </w:rPr>
            </w:pPr>
            <w:r>
              <w:rPr>
                <w:rFonts w:cs="Times New Roman"/>
                <w:b/>
                <w:bCs/>
                <w:szCs w:val="28"/>
              </w:rPr>
              <w:t>7.2.2.2本项目污水进入开平市水口污水处理厂的可行性分析</w:t>
            </w:r>
          </w:p>
          <w:p>
            <w:pPr>
              <w:adjustRightInd w:val="0"/>
              <w:snapToGrid w:val="0"/>
              <w:ind w:firstLine="480"/>
              <w:rPr>
                <w:rFonts w:cs="Times New Roman"/>
                <w:color w:val="000000"/>
                <w:szCs w:val="24"/>
              </w:rPr>
            </w:pPr>
            <w:r>
              <w:rPr>
                <w:rFonts w:cs="Times New Roman"/>
                <w:color w:val="000000"/>
                <w:szCs w:val="24"/>
              </w:rPr>
              <w:fldChar w:fldCharType="begin"/>
            </w:r>
            <w:r>
              <w:rPr>
                <w:rFonts w:cs="Times New Roman"/>
                <w:color w:val="000000"/>
                <w:szCs w:val="24"/>
              </w:rPr>
              <w:instrText xml:space="preserve"> = 1 \* GB3 </w:instrText>
            </w:r>
            <w:r>
              <w:rPr>
                <w:rFonts w:cs="Times New Roman"/>
                <w:color w:val="000000"/>
                <w:szCs w:val="24"/>
              </w:rPr>
              <w:fldChar w:fldCharType="separate"/>
            </w:r>
            <w:r>
              <w:rPr>
                <w:rFonts w:hint="eastAsia" w:ascii="宋体" w:hAnsi="宋体" w:cs="宋体"/>
                <w:color w:val="000000"/>
                <w:szCs w:val="24"/>
              </w:rPr>
              <w:t>①</w:t>
            </w:r>
            <w:r>
              <w:rPr>
                <w:rFonts w:cs="Times New Roman"/>
                <w:color w:val="000000"/>
                <w:szCs w:val="24"/>
              </w:rPr>
              <w:fldChar w:fldCharType="end"/>
            </w:r>
            <w:r>
              <w:rPr>
                <w:rFonts w:cs="Times New Roman"/>
                <w:color w:val="000000"/>
                <w:szCs w:val="24"/>
              </w:rPr>
              <w:t>开平市水口污水处理厂处理工艺、规模</w:t>
            </w:r>
          </w:p>
          <w:p>
            <w:pPr>
              <w:adjustRightInd w:val="0"/>
              <w:snapToGrid w:val="0"/>
              <w:ind w:firstLine="480"/>
              <w:rPr>
                <w:rFonts w:cs="Times New Roman"/>
                <w:color w:val="000000"/>
              </w:rPr>
            </w:pPr>
            <w:r>
              <w:rPr>
                <w:rFonts w:cs="Times New Roman"/>
                <w:color w:val="000000"/>
              </w:rPr>
              <w:t>开平市水口污水处理厂位于水口镇泮兴路16号，设计处理规模为5000 吨/天，工程占地面积6666.7平方米，建筑面积1016平方米。采用“CASS”处理工艺，该方案成熟可靠，在正常运营的情况下，尾水完全可以达到既定标准的要求。工程于 2007 年开始开工建设，于2009年12月建成并开始试运行。主要建设单体为办公楼、粗格栅及提升泵池、细格栅及提升泵池、CASS 池、接触消毒池、鼓风机房及变配电间、加药及污泥脱水间、消毒间等。具体处理工艺如下图所示</w:t>
            </w:r>
          </w:p>
          <w:p>
            <w:pPr>
              <w:adjustRightInd w:val="0"/>
              <w:snapToGrid w:val="0"/>
              <w:ind w:firstLine="480"/>
              <w:jc w:val="center"/>
              <w:rPr>
                <w:rFonts w:cs="Times New Roman"/>
                <w:color w:val="000000"/>
              </w:rPr>
            </w:pPr>
            <w:r>
              <w:rPr>
                <w:rFonts w:cs="Times New Roman"/>
                <w:color w:val="000000"/>
              </w:rPr>
              <w:drawing>
                <wp:inline distT="0" distB="0" distL="0" distR="0">
                  <wp:extent cx="4991100" cy="2981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5022346" cy="3001051"/>
                          </a:xfrm>
                          <a:prstGeom prst="rect">
                            <a:avLst/>
                          </a:prstGeom>
                        </pic:spPr>
                      </pic:pic>
                    </a:graphicData>
                  </a:graphic>
                </wp:inline>
              </w:drawing>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图7-1 开平市水口污水处理厂水处理工艺流程图</w:t>
            </w:r>
          </w:p>
          <w:p>
            <w:pPr>
              <w:adjustRightInd w:val="0"/>
              <w:snapToGrid w:val="0"/>
              <w:ind w:firstLine="480"/>
              <w:rPr>
                <w:rFonts w:cs="Times New Roman"/>
                <w:color w:val="000000"/>
              </w:rPr>
            </w:pPr>
            <w:r>
              <w:rPr>
                <w:rFonts w:hint="eastAsia" w:ascii="宋体" w:hAnsi="宋体" w:cs="宋体"/>
                <w:color w:val="000000"/>
              </w:rPr>
              <w:t>②</w:t>
            </w:r>
            <w:r>
              <w:rPr>
                <w:rFonts w:cs="Times New Roman"/>
                <w:color w:val="000000"/>
              </w:rPr>
              <w:t>管网衔接性份分析</w:t>
            </w:r>
          </w:p>
          <w:p>
            <w:pPr>
              <w:adjustRightInd w:val="0"/>
              <w:snapToGrid w:val="0"/>
              <w:ind w:firstLine="480"/>
              <w:rPr>
                <w:rFonts w:cs="Times New Roman"/>
                <w:color w:val="000000"/>
              </w:rPr>
            </w:pPr>
            <w:r>
              <w:rPr>
                <w:rFonts w:cs="Times New Roman"/>
                <w:color w:val="000000"/>
              </w:rPr>
              <w:t>目前截污管网已覆盖本项目所在区域，在管网接驳衔接性上具备可行性。</w:t>
            </w:r>
          </w:p>
          <w:p>
            <w:pPr>
              <w:adjustRightInd w:val="0"/>
              <w:snapToGrid w:val="0"/>
              <w:ind w:firstLine="480"/>
              <w:rPr>
                <w:rFonts w:cs="Times New Roman"/>
                <w:color w:val="000000"/>
              </w:rPr>
            </w:pPr>
            <w:r>
              <w:rPr>
                <w:rFonts w:cs="Times New Roman"/>
                <w:color w:val="000000"/>
              </w:rPr>
              <w:fldChar w:fldCharType="begin"/>
            </w:r>
            <w:r>
              <w:rPr>
                <w:rFonts w:cs="Times New Roman"/>
                <w:color w:val="000000"/>
              </w:rPr>
              <w:instrText xml:space="preserve"> = 3 \* GB3 </w:instrText>
            </w:r>
            <w:r>
              <w:rPr>
                <w:rFonts w:cs="Times New Roman"/>
                <w:color w:val="000000"/>
              </w:rPr>
              <w:fldChar w:fldCharType="separate"/>
            </w:r>
            <w:r>
              <w:rPr>
                <w:rFonts w:hint="eastAsia" w:ascii="宋体" w:hAnsi="宋体" w:cs="宋体"/>
                <w:color w:val="000000"/>
              </w:rPr>
              <w:t>③</w:t>
            </w:r>
            <w:r>
              <w:rPr>
                <w:rFonts w:cs="Times New Roman"/>
                <w:color w:val="000000"/>
              </w:rPr>
              <w:fldChar w:fldCharType="end"/>
            </w:r>
            <w:r>
              <w:rPr>
                <w:rFonts w:cs="Times New Roman"/>
                <w:color w:val="000000"/>
              </w:rPr>
              <w:t>水量分析</w:t>
            </w:r>
          </w:p>
          <w:p>
            <w:pPr>
              <w:adjustRightInd w:val="0"/>
              <w:snapToGrid w:val="0"/>
              <w:ind w:firstLine="480"/>
              <w:rPr>
                <w:rFonts w:cs="Times New Roman"/>
                <w:color w:val="000000"/>
              </w:rPr>
            </w:pPr>
            <w:r>
              <w:rPr>
                <w:rFonts w:cs="Times New Roman"/>
                <w:color w:val="000000"/>
              </w:rPr>
              <w:t>开平市水口污水处理厂主要收集水口镇新市、东方红、泮村、泮南、永安等管理区和第二、第四工业园的生活污水，污水处理厂实际处理量为3000t/d，本项目生活污水每天排放量约0.432m</w:t>
            </w:r>
            <w:r>
              <w:rPr>
                <w:rFonts w:cs="Times New Roman"/>
                <w:color w:val="000000"/>
                <w:vertAlign w:val="superscript"/>
              </w:rPr>
              <w:t>3</w:t>
            </w:r>
            <w:r>
              <w:rPr>
                <w:rFonts w:cs="Times New Roman"/>
                <w:color w:val="000000"/>
              </w:rPr>
              <w:t>，约占开平市水口污水处理厂剩余污水处理能力的0.014%，因此，水口污水处理厂仍富有处理能力处理项目所产生的生活污水。</w:t>
            </w:r>
          </w:p>
          <w:p>
            <w:pPr>
              <w:adjustRightInd w:val="0"/>
              <w:snapToGrid w:val="0"/>
              <w:ind w:firstLine="480"/>
              <w:rPr>
                <w:rFonts w:cs="Times New Roman"/>
                <w:color w:val="000000"/>
              </w:rPr>
            </w:pPr>
            <w:r>
              <w:rPr>
                <w:rFonts w:hint="eastAsia" w:ascii="宋体" w:hAnsi="宋体" w:cs="宋体"/>
                <w:color w:val="000000"/>
              </w:rPr>
              <w:t>④</w:t>
            </w:r>
            <w:r>
              <w:rPr>
                <w:rFonts w:cs="Times New Roman"/>
                <w:color w:val="000000"/>
              </w:rPr>
              <w:t>水质分析</w:t>
            </w:r>
          </w:p>
          <w:p>
            <w:pPr>
              <w:adjustRightInd w:val="0"/>
              <w:snapToGrid w:val="0"/>
              <w:ind w:firstLine="480"/>
              <w:rPr>
                <w:rFonts w:cs="Times New Roman"/>
                <w:color w:val="000000"/>
              </w:rPr>
            </w:pPr>
            <w:r>
              <w:rPr>
                <w:rFonts w:cs="Times New Roman"/>
                <w:color w:val="000000"/>
              </w:rPr>
              <w:t>项目产生的生活污水经三级化粪池进行预处理，出水水质符合开平市水口污水处理厂进水水质要求。因此从水质分析，开平市水口污水处理厂能够接纳本项目的生活污水。</w:t>
            </w:r>
          </w:p>
          <w:p>
            <w:pPr>
              <w:adjustRightInd w:val="0"/>
              <w:snapToGrid w:val="0"/>
              <w:ind w:firstLine="480"/>
              <w:rPr>
                <w:rFonts w:cs="Times New Roman"/>
                <w:color w:val="000000"/>
              </w:rPr>
            </w:pPr>
            <w:r>
              <w:rPr>
                <w:rFonts w:cs="Times New Roman"/>
                <w:color w:val="000000"/>
              </w:rPr>
              <w:t>综上所述，本项目位于水口污水处理厂的纳污服务范围，开平市水口污水处理厂有足够的处理能力余量。</w:t>
            </w:r>
          </w:p>
          <w:p>
            <w:pPr>
              <w:keepNext/>
              <w:keepLines/>
              <w:ind w:firstLine="0" w:firstLineChars="0"/>
              <w:outlineLvl w:val="2"/>
              <w:rPr>
                <w:rFonts w:cs="Times New Roman"/>
                <w:b/>
                <w:bCs/>
                <w:sz w:val="28"/>
                <w:szCs w:val="32"/>
                <w:lang w:val="zh-CN"/>
              </w:rPr>
            </w:pPr>
            <w:r>
              <w:rPr>
                <w:rFonts w:cs="Times New Roman"/>
                <w:b/>
                <w:bCs/>
                <w:sz w:val="28"/>
                <w:szCs w:val="32"/>
                <w:lang w:val="zh-CN"/>
              </w:rPr>
              <w:t>7.2.3噪声环境影响分析</w:t>
            </w:r>
          </w:p>
          <w:p>
            <w:pPr>
              <w:ind w:firstLine="480"/>
              <w:rPr>
                <w:rFonts w:cs="Times New Roman"/>
              </w:rPr>
            </w:pPr>
            <w:r>
              <w:rPr>
                <w:rFonts w:cs="Times New Roman"/>
                <w:color w:val="000000"/>
              </w:rPr>
              <w:t>项目噪声主要来源于生产过程各机械设备运转时所产生的设备噪声，噪声源强约60-</w:t>
            </w:r>
            <w:r>
              <w:rPr>
                <w:rFonts w:hint="eastAsia" w:cs="Times New Roman"/>
                <w:color w:val="000000"/>
              </w:rPr>
              <w:t>85</w:t>
            </w:r>
            <w:r>
              <w:rPr>
                <w:rFonts w:cs="Times New Roman"/>
                <w:color w:val="000000"/>
              </w:rPr>
              <w:t>dB(A)。</w:t>
            </w:r>
            <w:r>
              <w:rPr>
                <w:rFonts w:cs="Times New Roman"/>
              </w:rPr>
              <w:t>现以设备的噪声</w:t>
            </w:r>
            <w:r>
              <w:rPr>
                <w:rFonts w:hint="eastAsia" w:cs="Times New Roman"/>
              </w:rPr>
              <w:t>85</w:t>
            </w:r>
            <w:r>
              <w:rPr>
                <w:rFonts w:cs="Times New Roman"/>
              </w:rPr>
              <w:t>dB（A）为最大源强，对本项目厂界以及项目附近敏感点的噪声影响根据下式进行噪声预测：</w:t>
            </w:r>
          </w:p>
          <w:p>
            <w:pPr>
              <w:adjustRightInd w:val="0"/>
              <w:snapToGrid w:val="0"/>
              <w:spacing w:beforeLines="50" w:afterLines="50"/>
              <w:ind w:firstLine="480"/>
              <w:jc w:val="center"/>
              <w:rPr>
                <w:rFonts w:cs="Times New Roman"/>
              </w:rPr>
            </w:pPr>
            <w:r>
              <w:rPr>
                <w:rFonts w:cs="Times New Roman"/>
              </w:rPr>
              <w:t>L</w:t>
            </w:r>
            <w:r>
              <w:rPr>
                <w:rFonts w:cs="Times New Roman"/>
                <w:vertAlign w:val="subscript"/>
              </w:rPr>
              <w:t>p</w:t>
            </w:r>
            <w:r>
              <w:rPr>
                <w:rFonts w:cs="Times New Roman"/>
              </w:rPr>
              <w:t>＝L</w:t>
            </w:r>
            <w:r>
              <w:rPr>
                <w:rFonts w:cs="Times New Roman"/>
                <w:vertAlign w:val="subscript"/>
              </w:rPr>
              <w:t>P0</w:t>
            </w:r>
            <w:r>
              <w:rPr>
                <w:rFonts w:cs="Times New Roman"/>
              </w:rPr>
              <w:t>－20lg（r/r</w:t>
            </w:r>
            <w:r>
              <w:rPr>
                <w:rFonts w:cs="Times New Roman"/>
                <w:vertAlign w:val="subscript"/>
              </w:rPr>
              <w:t>0</w:t>
            </w:r>
            <w:r>
              <w:rPr>
                <w:rFonts w:cs="Times New Roman"/>
              </w:rPr>
              <w:t>）－</w:t>
            </w:r>
            <w:r>
              <w:rPr>
                <w:rFonts w:ascii="Cambria Math" w:hAnsi="Cambria Math" w:cs="Cambria Math"/>
              </w:rPr>
              <w:t>△</w:t>
            </w:r>
            <w:r>
              <w:rPr>
                <w:rFonts w:cs="Times New Roman"/>
              </w:rPr>
              <w:t>L</w:t>
            </w:r>
          </w:p>
          <w:p>
            <w:pPr>
              <w:adjustRightInd w:val="0"/>
              <w:snapToGrid w:val="0"/>
              <w:ind w:firstLine="480"/>
              <w:rPr>
                <w:rFonts w:cs="Times New Roman"/>
              </w:rPr>
            </w:pPr>
            <w:r>
              <w:rPr>
                <w:rFonts w:cs="Times New Roman"/>
              </w:rPr>
              <w:t>式中：L</w:t>
            </w:r>
            <w:r>
              <w:rPr>
                <w:rFonts w:cs="Times New Roman"/>
                <w:vertAlign w:val="subscript"/>
              </w:rPr>
              <w:t>p</w:t>
            </w:r>
            <w:r>
              <w:rPr>
                <w:rFonts w:cs="Times New Roman"/>
              </w:rPr>
              <w:t>——距离点声源r处的声压级；</w:t>
            </w:r>
          </w:p>
          <w:p>
            <w:pPr>
              <w:adjustRightInd w:val="0"/>
              <w:snapToGrid w:val="0"/>
              <w:ind w:firstLine="1200" w:firstLineChars="500"/>
              <w:rPr>
                <w:rFonts w:cs="Times New Roman"/>
              </w:rPr>
            </w:pPr>
            <w:r>
              <w:rPr>
                <w:rFonts w:cs="Times New Roman"/>
              </w:rPr>
              <w:t>L</w:t>
            </w:r>
            <w:r>
              <w:rPr>
                <w:rFonts w:cs="Times New Roman"/>
                <w:vertAlign w:val="subscript"/>
              </w:rPr>
              <w:t>P0</w:t>
            </w:r>
            <w:r>
              <w:rPr>
                <w:rFonts w:cs="Times New Roman"/>
              </w:rPr>
              <w:t>——参考位置r</w:t>
            </w:r>
            <w:r>
              <w:rPr>
                <w:rFonts w:cs="Times New Roman"/>
                <w:vertAlign w:val="subscript"/>
              </w:rPr>
              <w:t>0</w:t>
            </w:r>
            <w:r>
              <w:rPr>
                <w:rFonts w:cs="Times New Roman"/>
              </w:rPr>
              <w:t>处的声级；</w:t>
            </w:r>
          </w:p>
          <w:p>
            <w:pPr>
              <w:adjustRightInd w:val="0"/>
              <w:snapToGrid w:val="0"/>
              <w:ind w:firstLine="1200" w:firstLineChars="500"/>
              <w:rPr>
                <w:rFonts w:cs="Times New Roman"/>
              </w:rPr>
            </w:pPr>
            <w:r>
              <w:rPr>
                <w:rFonts w:cs="Times New Roman"/>
              </w:rPr>
              <w:t>r——预测点与点声源之间的距离（m）；</w:t>
            </w:r>
          </w:p>
          <w:p>
            <w:pPr>
              <w:adjustRightInd w:val="0"/>
              <w:snapToGrid w:val="0"/>
              <w:ind w:firstLine="1200" w:firstLineChars="500"/>
              <w:rPr>
                <w:rFonts w:cs="Times New Roman"/>
              </w:rPr>
            </w:pPr>
            <w:r>
              <w:rPr>
                <w:rFonts w:cs="Times New Roman"/>
              </w:rPr>
              <w:t>r</w:t>
            </w:r>
            <w:r>
              <w:rPr>
                <w:rFonts w:cs="Times New Roman"/>
                <w:vertAlign w:val="subscript"/>
              </w:rPr>
              <w:t>0</w:t>
            </w:r>
            <w:r>
              <w:rPr>
                <w:rFonts w:cs="Times New Roman"/>
              </w:rPr>
              <w:t>——参考点处与点声源之间的距离（m）；</w:t>
            </w:r>
          </w:p>
          <w:p>
            <w:pPr>
              <w:adjustRightInd w:val="0"/>
              <w:snapToGrid w:val="0"/>
              <w:ind w:firstLine="1080" w:firstLineChars="450"/>
              <w:rPr>
                <w:rFonts w:cs="Times New Roman"/>
              </w:rPr>
            </w:pPr>
            <w:r>
              <w:rPr>
                <w:rFonts w:ascii="Cambria Math" w:hAnsi="Cambria Math" w:cs="Cambria Math"/>
              </w:rPr>
              <w:t>△</w:t>
            </w:r>
            <w:r>
              <w:rPr>
                <w:rFonts w:cs="Times New Roman"/>
              </w:rPr>
              <w:t>L——附加衰减量，指噪声从声源传播到受声点，因传播发散，空气吸收，阻挡物的反射与屏障等因素的影响，会使其产生衰减。本项目的设备均置于密闭设备间，通过墙体隔声可削减15dB（A）。</w:t>
            </w:r>
          </w:p>
          <w:p>
            <w:pPr>
              <w:adjustRightInd w:val="0"/>
              <w:snapToGrid w:val="0"/>
              <w:ind w:firstLine="480"/>
              <w:rPr>
                <w:rFonts w:cs="Times New Roman"/>
              </w:rPr>
            </w:pPr>
            <w:r>
              <w:rPr>
                <w:rFonts w:cs="Times New Roman"/>
              </w:rPr>
              <w:t>共同作用的总等效声级Leq</w:t>
            </w:r>
            <w:r>
              <w:rPr>
                <w:rFonts w:cs="Times New Roman"/>
                <w:b/>
                <w:sz w:val="28"/>
                <w:szCs w:val="28"/>
                <w:vertAlign w:val="subscript"/>
              </w:rPr>
              <w:t>总</w:t>
            </w:r>
            <w:r>
              <w:rPr>
                <w:rFonts w:cs="Times New Roman"/>
              </w:rPr>
              <w:t>按下式计算：</w:t>
            </w:r>
          </w:p>
          <w:p>
            <w:pPr>
              <w:adjustRightInd w:val="0"/>
              <w:snapToGrid w:val="0"/>
              <w:spacing w:before="50"/>
              <w:ind w:firstLine="480"/>
              <w:jc w:val="center"/>
              <w:rPr>
                <w:rFonts w:cs="Times New Roman"/>
                <w:vertAlign w:val="superscript"/>
              </w:rPr>
            </w:pPr>
            <w:r>
              <w:rPr>
                <w:rFonts w:cs="Times New Roman"/>
              </w:rPr>
              <w:t>Leq</w:t>
            </w:r>
            <w:r>
              <w:rPr>
                <w:rFonts w:cs="Times New Roman"/>
                <w:b/>
                <w:sz w:val="28"/>
                <w:szCs w:val="28"/>
                <w:vertAlign w:val="subscript"/>
              </w:rPr>
              <w:t>总</w:t>
            </w:r>
            <w:r>
              <w:rPr>
                <w:rFonts w:cs="Times New Roman"/>
              </w:rPr>
              <w:t>＝10lg</w:t>
            </w:r>
            <w:r>
              <w:rPr>
                <w:rFonts w:cs="Times New Roman"/>
                <w:position w:val="-28"/>
              </w:rPr>
              <w:object>
                <v:shape id="_x0000_i1025" o:spt="75" type="#_x0000_t75" style="height:36.45pt;width:29.9pt;" o:ole="t" filled="f" o:preferrelative="t" stroked="f" coordsize="21600,21600">
                  <v:path/>
                  <v:fill on="f" focussize="0,0"/>
                  <v:stroke on="f" joinstyle="miter"/>
                  <v:imagedata r:id="rId21" o:title=""/>
                  <o:lock v:ext="edit" aspectratio="t"/>
                  <w10:wrap type="none"/>
                  <w10:anchorlock/>
                </v:shape>
                <o:OLEObject Type="Embed" ProgID="Equations" ShapeID="_x0000_i1025" DrawAspect="Content" ObjectID="_1468075725" r:id="rId20">
                  <o:LockedField>false</o:LockedField>
                </o:OLEObject>
              </w:object>
            </w:r>
            <w:r>
              <w:rPr>
                <w:rFonts w:cs="Times New Roman"/>
                <w:sz w:val="28"/>
                <w:szCs w:val="28"/>
                <w:vertAlign w:val="superscript"/>
              </w:rPr>
              <w:t>0.1Leqi</w:t>
            </w:r>
          </w:p>
          <w:p>
            <w:pPr>
              <w:adjustRightInd w:val="0"/>
              <w:snapToGrid w:val="0"/>
              <w:ind w:firstLine="480"/>
              <w:rPr>
                <w:rFonts w:cs="Times New Roman"/>
                <w:color w:val="FF0000"/>
                <w:szCs w:val="20"/>
              </w:rPr>
            </w:pPr>
            <w:r>
              <w:rPr>
                <w:rFonts w:cs="Times New Roman"/>
                <w:szCs w:val="20"/>
              </w:rPr>
              <w:t>Leq</w:t>
            </w:r>
            <w:r>
              <w:rPr>
                <w:rFonts w:cs="Times New Roman"/>
                <w:szCs w:val="20"/>
                <w:vertAlign w:val="subscript"/>
              </w:rPr>
              <w:t>i</w:t>
            </w:r>
            <w:r>
              <w:rPr>
                <w:rFonts w:cs="Times New Roman"/>
                <w:szCs w:val="20"/>
              </w:rPr>
              <w:t>—声源至基准预测点的声压级，dB（A）。</w:t>
            </w:r>
          </w:p>
          <w:p>
            <w:pPr>
              <w:autoSpaceDE w:val="0"/>
              <w:autoSpaceDN w:val="0"/>
              <w:adjustRightInd w:val="0"/>
              <w:ind w:firstLine="480"/>
              <w:jc w:val="left"/>
              <w:rPr>
                <w:rFonts w:cs="Times New Roman"/>
                <w:kern w:val="0"/>
                <w:szCs w:val="24"/>
              </w:rPr>
            </w:pPr>
            <w:r>
              <w:rPr>
                <w:rFonts w:cs="Times New Roman"/>
                <w:kern w:val="0"/>
                <w:szCs w:val="24"/>
              </w:rPr>
              <w:t>（1）预测计算结果</w:t>
            </w:r>
          </w:p>
          <w:p>
            <w:pPr>
              <w:autoSpaceDE w:val="0"/>
              <w:autoSpaceDN w:val="0"/>
              <w:adjustRightInd w:val="0"/>
              <w:ind w:firstLine="480"/>
              <w:rPr>
                <w:rFonts w:cs="Times New Roman"/>
                <w:szCs w:val="24"/>
              </w:rPr>
            </w:pPr>
            <w:r>
              <w:rPr>
                <w:rFonts w:hint="eastAsia" w:cs="Times New Roman"/>
                <w:szCs w:val="24"/>
              </w:rPr>
              <w:t>根据《环境影响评价技术导则——声环境》（HJ/T2.4-2009），第9.2.1条，进行边界噪声评价时，新建项目以工程噪声贡献值作为评价量，以贡献值</w:t>
            </w:r>
            <w:r>
              <w:rPr>
                <w:rFonts w:cs="Times New Roman"/>
                <w:szCs w:val="24"/>
              </w:rPr>
              <w:t>评价本项目建成运营后对环境产生的噪声影响</w:t>
            </w:r>
            <w:r>
              <w:rPr>
                <w:rFonts w:hint="eastAsia" w:cs="Times New Roman"/>
                <w:szCs w:val="24"/>
              </w:rPr>
              <w:t>，即工程贡献值作为预测值</w:t>
            </w:r>
            <w:r>
              <w:rPr>
                <w:rFonts w:cs="Times New Roman"/>
                <w:szCs w:val="24"/>
              </w:rPr>
              <w:t>。</w:t>
            </w:r>
          </w:p>
          <w:p>
            <w:pPr>
              <w:adjustRightInd w:val="0"/>
              <w:snapToGrid w:val="0"/>
              <w:spacing w:line="240" w:lineRule="auto"/>
              <w:ind w:firstLine="0" w:firstLineChars="0"/>
              <w:jc w:val="center"/>
              <w:rPr>
                <w:rFonts w:cs="Times New Roman"/>
                <w:b/>
                <w:sz w:val="21"/>
                <w:lang w:val="zh-CN"/>
              </w:rPr>
            </w:pPr>
            <w:r>
              <w:rPr>
                <w:rFonts w:cs="Times New Roman"/>
                <w:b/>
                <w:sz w:val="21"/>
                <w:lang w:val="zh-CN"/>
              </w:rPr>
              <w:t>表7-8 项目运营期各场界处噪声预测结果  单位：dB(A)</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7"/>
              <w:gridCol w:w="2678"/>
              <w:gridCol w:w="756"/>
              <w:gridCol w:w="869"/>
              <w:gridCol w:w="898"/>
              <w:gridCol w:w="898"/>
              <w:gridCol w:w="980"/>
              <w:gridCol w:w="9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序号</w:t>
                  </w:r>
                </w:p>
              </w:tc>
              <w:tc>
                <w:tcPr>
                  <w:tcW w:w="1563"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厂界方位和与声源距离</w:t>
                  </w:r>
                </w:p>
              </w:tc>
              <w:tc>
                <w:tcPr>
                  <w:tcW w:w="44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时段</w:t>
                  </w:r>
                </w:p>
              </w:tc>
              <w:tc>
                <w:tcPr>
                  <w:tcW w:w="507"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削减后源强</w:t>
                  </w: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贡献值</w:t>
                  </w: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预测值</w:t>
                  </w:r>
                </w:p>
              </w:tc>
              <w:tc>
                <w:tcPr>
                  <w:tcW w:w="572"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标准值</w:t>
                  </w:r>
                </w:p>
              </w:tc>
              <w:tc>
                <w:tcPr>
                  <w:tcW w:w="54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达标</w:t>
                  </w:r>
                </w:p>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5"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N1</w:t>
                  </w:r>
                </w:p>
              </w:tc>
              <w:tc>
                <w:tcPr>
                  <w:tcW w:w="1563"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东</w:t>
                  </w:r>
                  <w:r>
                    <w:rPr>
                      <w:rFonts w:cs="Times New Roman"/>
                      <w:kern w:val="0"/>
                      <w:sz w:val="21"/>
                      <w:szCs w:val="20"/>
                      <w:lang w:val="zh-CN"/>
                    </w:rPr>
                    <w:t>边界（距离声源</w:t>
                  </w:r>
                  <w:r>
                    <w:rPr>
                      <w:rFonts w:hint="eastAsia" w:cs="Times New Roman"/>
                      <w:kern w:val="0"/>
                      <w:sz w:val="21"/>
                      <w:szCs w:val="20"/>
                      <w:lang w:val="zh-CN"/>
                    </w:rPr>
                    <w:t>26</w:t>
                  </w:r>
                  <w:r>
                    <w:rPr>
                      <w:rFonts w:cs="Times New Roman"/>
                      <w:kern w:val="0"/>
                      <w:sz w:val="21"/>
                      <w:szCs w:val="20"/>
                      <w:lang w:val="zh-CN"/>
                    </w:rPr>
                    <w:t>m）</w:t>
                  </w:r>
                </w:p>
              </w:tc>
              <w:tc>
                <w:tcPr>
                  <w:tcW w:w="44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昼间</w:t>
                  </w:r>
                </w:p>
              </w:tc>
              <w:tc>
                <w:tcPr>
                  <w:tcW w:w="507" w:type="pct"/>
                  <w:vMerge w:val="restart"/>
                  <w:vAlign w:val="center"/>
                </w:tcPr>
                <w:p>
                  <w:pPr>
                    <w:adjustRightInd w:val="0"/>
                    <w:snapToGrid w:val="0"/>
                    <w:spacing w:line="240" w:lineRule="auto"/>
                    <w:ind w:firstLine="199" w:firstLineChars="95"/>
                    <w:rPr>
                      <w:rFonts w:cs="Times New Roman"/>
                      <w:kern w:val="0"/>
                      <w:sz w:val="21"/>
                      <w:szCs w:val="20"/>
                      <w:lang w:val="zh-CN"/>
                    </w:rPr>
                  </w:pPr>
                  <w:r>
                    <w:rPr>
                      <w:rFonts w:hint="eastAsia" w:cs="Times New Roman"/>
                      <w:kern w:val="0"/>
                      <w:sz w:val="21"/>
                      <w:szCs w:val="20"/>
                      <w:lang w:val="zh-CN"/>
                    </w:rPr>
                    <w:t>7</w:t>
                  </w:r>
                  <w:r>
                    <w:rPr>
                      <w:rFonts w:cs="Times New Roman"/>
                      <w:kern w:val="0"/>
                      <w:sz w:val="21"/>
                      <w:szCs w:val="20"/>
                      <w:lang w:val="zh-CN"/>
                    </w:rPr>
                    <w:t>0</w:t>
                  </w: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4</w:t>
                  </w:r>
                  <w:r>
                    <w:rPr>
                      <w:rFonts w:cs="Times New Roman"/>
                      <w:kern w:val="0"/>
                      <w:sz w:val="21"/>
                      <w:szCs w:val="20"/>
                      <w:lang w:val="zh-CN"/>
                    </w:rPr>
                    <w:t>1.7</w:t>
                  </w: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41.7</w:t>
                  </w:r>
                </w:p>
              </w:tc>
              <w:tc>
                <w:tcPr>
                  <w:tcW w:w="572" w:type="pct"/>
                  <w:vMerge w:val="restar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3</w:t>
                  </w:r>
                  <w:r>
                    <w:rPr>
                      <w:rFonts w:cs="Times New Roman"/>
                      <w:kern w:val="0"/>
                      <w:sz w:val="21"/>
                      <w:szCs w:val="20"/>
                      <w:lang w:val="zh-CN"/>
                    </w:rPr>
                    <w:t>类标准</w:t>
                  </w:r>
                </w:p>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昼间≤</w:t>
                  </w:r>
                  <w:r>
                    <w:rPr>
                      <w:rFonts w:hint="eastAsia" w:cs="Times New Roman"/>
                      <w:kern w:val="0"/>
                      <w:sz w:val="21"/>
                      <w:szCs w:val="20"/>
                      <w:lang w:val="zh-CN"/>
                    </w:rPr>
                    <w:t>65</w:t>
                  </w:r>
                </w:p>
                <w:p>
                  <w:pPr>
                    <w:adjustRightInd w:val="0"/>
                    <w:snapToGrid w:val="0"/>
                    <w:spacing w:line="240" w:lineRule="auto"/>
                    <w:ind w:firstLine="0" w:firstLineChars="0"/>
                    <w:rPr>
                      <w:rFonts w:cs="Times New Roman"/>
                      <w:kern w:val="0"/>
                      <w:sz w:val="21"/>
                      <w:szCs w:val="20"/>
                      <w:highlight w:val="green"/>
                      <w:lang w:val="zh-CN"/>
                    </w:rPr>
                  </w:pPr>
                  <w:r>
                    <w:rPr>
                      <w:rFonts w:cs="Times New Roman"/>
                      <w:kern w:val="0"/>
                      <w:sz w:val="21"/>
                      <w:szCs w:val="20"/>
                      <w:lang w:val="zh-CN"/>
                    </w:rPr>
                    <w:t>夜间≤5</w:t>
                  </w:r>
                  <w:r>
                    <w:rPr>
                      <w:rFonts w:hint="eastAsia" w:cs="Times New Roman"/>
                      <w:kern w:val="0"/>
                      <w:sz w:val="21"/>
                      <w:szCs w:val="20"/>
                      <w:lang w:val="zh-CN"/>
                    </w:rPr>
                    <w:t>5</w:t>
                  </w:r>
                </w:p>
              </w:tc>
              <w:tc>
                <w:tcPr>
                  <w:tcW w:w="54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0" w:hRule="atLeast"/>
                <w:jc w:val="center"/>
              </w:trPr>
              <w:tc>
                <w:tcPr>
                  <w:tcW w:w="325"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N</w:t>
                  </w:r>
                  <w:r>
                    <w:rPr>
                      <w:rFonts w:cs="Times New Roman"/>
                      <w:kern w:val="0"/>
                      <w:sz w:val="21"/>
                      <w:szCs w:val="20"/>
                      <w:lang w:val="zh-CN"/>
                    </w:rPr>
                    <w:t>2</w:t>
                  </w:r>
                </w:p>
              </w:tc>
              <w:tc>
                <w:tcPr>
                  <w:tcW w:w="1563"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南</w:t>
                  </w:r>
                  <w:r>
                    <w:rPr>
                      <w:rFonts w:cs="Times New Roman"/>
                      <w:kern w:val="0"/>
                      <w:sz w:val="21"/>
                      <w:szCs w:val="20"/>
                      <w:lang w:val="zh-CN"/>
                    </w:rPr>
                    <w:t>边界（距离声源</w:t>
                  </w:r>
                  <w:r>
                    <w:rPr>
                      <w:rFonts w:hint="eastAsia" w:cs="Times New Roman"/>
                      <w:kern w:val="0"/>
                      <w:sz w:val="21"/>
                      <w:szCs w:val="20"/>
                      <w:lang w:val="zh-CN"/>
                    </w:rPr>
                    <w:t>6</w:t>
                  </w:r>
                  <w:r>
                    <w:rPr>
                      <w:rFonts w:cs="Times New Roman"/>
                      <w:kern w:val="0"/>
                      <w:sz w:val="21"/>
                      <w:szCs w:val="20"/>
                      <w:lang w:val="zh-CN"/>
                    </w:rPr>
                    <w:t>m）</w:t>
                  </w:r>
                </w:p>
              </w:tc>
              <w:tc>
                <w:tcPr>
                  <w:tcW w:w="441"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昼间</w:t>
                  </w:r>
                </w:p>
              </w:tc>
              <w:tc>
                <w:tcPr>
                  <w:tcW w:w="507" w:type="pct"/>
                  <w:vMerge w:val="continue"/>
                  <w:vAlign w:val="center"/>
                </w:tcPr>
                <w:p>
                  <w:pPr>
                    <w:adjustRightInd w:val="0"/>
                    <w:snapToGrid w:val="0"/>
                    <w:spacing w:line="240" w:lineRule="auto"/>
                    <w:ind w:firstLine="0" w:firstLineChars="0"/>
                    <w:rPr>
                      <w:rFonts w:cs="Times New Roman"/>
                      <w:kern w:val="0"/>
                      <w:sz w:val="21"/>
                      <w:szCs w:val="20"/>
                      <w:lang w:val="zh-CN"/>
                    </w:rPr>
                  </w:pP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hint="eastAsia" w:cs="Times New Roman"/>
                      <w:kern w:val="0"/>
                      <w:sz w:val="21"/>
                      <w:szCs w:val="20"/>
                      <w:lang w:val="zh-CN"/>
                    </w:rPr>
                    <w:t>5</w:t>
                  </w:r>
                  <w:r>
                    <w:rPr>
                      <w:rFonts w:cs="Times New Roman"/>
                      <w:kern w:val="0"/>
                      <w:sz w:val="21"/>
                      <w:szCs w:val="20"/>
                      <w:lang w:val="zh-CN"/>
                    </w:rPr>
                    <w:t>4.4</w:t>
                  </w:r>
                </w:p>
              </w:tc>
              <w:tc>
                <w:tcPr>
                  <w:tcW w:w="52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54.4</w:t>
                  </w:r>
                </w:p>
              </w:tc>
              <w:tc>
                <w:tcPr>
                  <w:tcW w:w="572" w:type="pct"/>
                  <w:vMerge w:val="continue"/>
                  <w:vAlign w:val="center"/>
                </w:tcPr>
                <w:p>
                  <w:pPr>
                    <w:adjustRightInd w:val="0"/>
                    <w:snapToGrid w:val="0"/>
                    <w:spacing w:line="240" w:lineRule="auto"/>
                    <w:ind w:firstLine="0" w:firstLineChars="0"/>
                    <w:rPr>
                      <w:rFonts w:cs="Times New Roman"/>
                      <w:kern w:val="0"/>
                      <w:sz w:val="21"/>
                      <w:szCs w:val="20"/>
                      <w:highlight w:val="green"/>
                      <w:lang w:val="zh-CN"/>
                    </w:rPr>
                  </w:pPr>
                </w:p>
              </w:tc>
              <w:tc>
                <w:tcPr>
                  <w:tcW w:w="544" w:type="pct"/>
                  <w:vAlign w:val="center"/>
                </w:tcPr>
                <w:p>
                  <w:pPr>
                    <w:adjustRightInd w:val="0"/>
                    <w:snapToGrid w:val="0"/>
                    <w:spacing w:line="240" w:lineRule="auto"/>
                    <w:ind w:firstLine="0" w:firstLineChars="0"/>
                    <w:rPr>
                      <w:rFonts w:cs="Times New Roman"/>
                      <w:kern w:val="0"/>
                      <w:sz w:val="21"/>
                      <w:szCs w:val="20"/>
                      <w:lang w:val="zh-CN"/>
                    </w:rPr>
                  </w:pPr>
                  <w:r>
                    <w:rPr>
                      <w:rFonts w:cs="Times New Roman"/>
                      <w:kern w:val="0"/>
                      <w:sz w:val="21"/>
                      <w:szCs w:val="20"/>
                      <w:lang w:val="zh-CN"/>
                    </w:rPr>
                    <w:t>达标</w:t>
                  </w:r>
                </w:p>
              </w:tc>
            </w:tr>
          </w:tbl>
          <w:p>
            <w:pPr>
              <w:adjustRightInd w:val="0"/>
              <w:snapToGrid w:val="0"/>
              <w:spacing w:line="240" w:lineRule="auto"/>
              <w:ind w:firstLine="420"/>
              <w:rPr>
                <w:rFonts w:cs="Times New Roman"/>
                <w:sz w:val="21"/>
                <w:szCs w:val="21"/>
              </w:rPr>
            </w:pPr>
            <w:r>
              <w:rPr>
                <w:rFonts w:hint="eastAsia" w:cs="Times New Roman"/>
                <w:sz w:val="21"/>
                <w:szCs w:val="21"/>
              </w:rPr>
              <w:t>备注：项目目西边界N3、北边界N</w:t>
            </w:r>
            <w:r>
              <w:rPr>
                <w:rFonts w:cs="Times New Roman"/>
                <w:sz w:val="21"/>
                <w:szCs w:val="21"/>
              </w:rPr>
              <w:t>4</w:t>
            </w:r>
            <w:r>
              <w:rPr>
                <w:rFonts w:hint="eastAsia" w:cs="Times New Roman"/>
                <w:sz w:val="21"/>
                <w:szCs w:val="21"/>
              </w:rPr>
              <w:t>为邻厂，不作预测计算。</w:t>
            </w:r>
          </w:p>
          <w:p>
            <w:pPr>
              <w:adjustRightInd w:val="0"/>
              <w:snapToGrid w:val="0"/>
              <w:spacing w:beforeLines="50"/>
              <w:ind w:firstLine="480"/>
              <w:rPr>
                <w:rFonts w:cs="Times New Roman"/>
                <w:color w:val="FF0000"/>
                <w:szCs w:val="20"/>
              </w:rPr>
            </w:pPr>
            <w:r>
              <w:rPr>
                <w:rFonts w:cs="Times New Roman"/>
                <w:szCs w:val="20"/>
              </w:rPr>
              <w:t>由上表噪声预测结果可知，本项目运营期项目</w:t>
            </w:r>
            <w:r>
              <w:rPr>
                <w:rFonts w:hint="eastAsia" w:cs="Times New Roman"/>
                <w:szCs w:val="20"/>
              </w:rPr>
              <w:t>场</w:t>
            </w:r>
            <w:r>
              <w:rPr>
                <w:rFonts w:cs="Times New Roman"/>
                <w:szCs w:val="20"/>
              </w:rPr>
              <w:t>界均可以达到《工业企业厂界环境噪声排放标准》(GB12348-2008)</w:t>
            </w:r>
            <w:r>
              <w:rPr>
                <w:rFonts w:hint="eastAsia" w:cs="Times New Roman"/>
                <w:szCs w:val="20"/>
              </w:rPr>
              <w:t>3</w:t>
            </w:r>
            <w:r>
              <w:rPr>
                <w:rFonts w:cs="Times New Roman"/>
                <w:szCs w:val="20"/>
              </w:rPr>
              <w:t>类标准要求，因此，本项目运营期噪声排放对周围声环境及环境敏感点造成的影响不大。</w:t>
            </w:r>
          </w:p>
          <w:p>
            <w:pPr>
              <w:adjustRightInd w:val="0"/>
              <w:snapToGrid w:val="0"/>
              <w:ind w:firstLine="480"/>
              <w:rPr>
                <w:rFonts w:cs="Times New Roman"/>
                <w:color w:val="000000"/>
              </w:rPr>
            </w:pPr>
            <w:r>
              <w:rPr>
                <w:rFonts w:hint="eastAsia" w:cs="Times New Roman"/>
                <w:color w:val="000000"/>
              </w:rPr>
              <w:t>（2）采取措施</w:t>
            </w:r>
          </w:p>
          <w:p>
            <w:pPr>
              <w:adjustRightInd w:val="0"/>
              <w:snapToGrid w:val="0"/>
              <w:ind w:firstLine="480"/>
              <w:rPr>
                <w:rFonts w:cs="Times New Roman"/>
                <w:color w:val="000000"/>
              </w:rPr>
            </w:pPr>
            <w:r>
              <w:rPr>
                <w:rFonts w:cs="Times New Roman"/>
                <w:color w:val="000000"/>
              </w:rPr>
              <w:t>为避免项目产生的噪声对周围环境造成影响，建议建设单位采取以下措施进行有效防治：</w:t>
            </w:r>
          </w:p>
          <w:p>
            <w:pPr>
              <w:adjustRightInd w:val="0"/>
              <w:snapToGrid w:val="0"/>
              <w:ind w:firstLine="480"/>
              <w:rPr>
                <w:rFonts w:cs="Times New Roman"/>
                <w:color w:val="000000"/>
              </w:rPr>
            </w:pPr>
            <w:r>
              <w:rPr>
                <w:rFonts w:hint="eastAsia" w:ascii="宋体" w:hAnsi="宋体" w:cs="宋体"/>
                <w:color w:val="000000"/>
              </w:rPr>
              <w:t>①</w:t>
            </w:r>
            <w:r>
              <w:rPr>
                <w:rFonts w:cs="Times New Roman"/>
                <w:color w:val="000000"/>
              </w:rPr>
              <w:t>有针对性地对噪声设备进行合理布置，让噪声源尽量远离边界。</w:t>
            </w:r>
          </w:p>
          <w:p>
            <w:pPr>
              <w:adjustRightInd w:val="0"/>
              <w:snapToGrid w:val="0"/>
              <w:ind w:firstLine="480"/>
              <w:rPr>
                <w:rFonts w:cs="Times New Roman"/>
                <w:color w:val="000000"/>
              </w:rPr>
            </w:pPr>
            <w:r>
              <w:rPr>
                <w:rFonts w:hint="eastAsia" w:ascii="宋体" w:hAnsi="宋体" w:cs="宋体"/>
                <w:color w:val="000000"/>
              </w:rPr>
              <w:t>②</w:t>
            </w:r>
            <w:r>
              <w:rPr>
                <w:rFonts w:cs="Times New Roman"/>
                <w:color w:val="000000"/>
              </w:rPr>
              <w:t>对高噪声设备进行消音、隔声、减震等措施。</w:t>
            </w:r>
          </w:p>
          <w:p>
            <w:pPr>
              <w:adjustRightInd w:val="0"/>
              <w:snapToGrid w:val="0"/>
              <w:ind w:firstLine="480"/>
              <w:rPr>
                <w:rFonts w:cs="Times New Roman"/>
                <w:color w:val="000000"/>
              </w:rPr>
            </w:pPr>
            <w:r>
              <w:rPr>
                <w:rFonts w:hint="eastAsia" w:ascii="宋体" w:hAnsi="宋体" w:cs="宋体"/>
                <w:color w:val="000000"/>
              </w:rPr>
              <w:t>③</w:t>
            </w:r>
            <w:r>
              <w:rPr>
                <w:rFonts w:cs="Times New Roman"/>
                <w:color w:val="000000"/>
              </w:rPr>
              <w:t>加强对设备的定期检查、维护和管理，以保证设备的正常运行，避免因设备异常运行</w:t>
            </w:r>
          </w:p>
          <w:p>
            <w:pPr>
              <w:adjustRightInd w:val="0"/>
              <w:snapToGrid w:val="0"/>
              <w:ind w:firstLine="480"/>
              <w:rPr>
                <w:rFonts w:cs="Times New Roman"/>
                <w:color w:val="000000"/>
              </w:rPr>
            </w:pPr>
            <w:r>
              <w:rPr>
                <w:rFonts w:cs="Times New Roman"/>
                <w:color w:val="000000"/>
              </w:rPr>
              <w:t>所产生的噪声对周围环境的影响。</w:t>
            </w:r>
          </w:p>
          <w:p>
            <w:pPr>
              <w:adjustRightInd w:val="0"/>
              <w:snapToGrid w:val="0"/>
              <w:ind w:firstLine="480"/>
              <w:rPr>
                <w:rFonts w:cs="Times New Roman"/>
                <w:color w:val="000000"/>
              </w:rPr>
            </w:pPr>
            <w:r>
              <w:rPr>
                <w:rFonts w:hint="eastAsia" w:ascii="宋体" w:hAnsi="宋体" w:cs="宋体"/>
                <w:color w:val="000000"/>
              </w:rPr>
              <w:t>④</w:t>
            </w:r>
            <w:r>
              <w:rPr>
                <w:rFonts w:cs="Times New Roman"/>
                <w:color w:val="000000"/>
              </w:rPr>
              <w:t>在生产过程中要加强环保意识，注意轻拿轻放，减少取、放配件时产生的人为噪声。</w:t>
            </w:r>
          </w:p>
          <w:p>
            <w:pPr>
              <w:adjustRightInd w:val="0"/>
              <w:snapToGrid w:val="0"/>
              <w:ind w:firstLine="480"/>
              <w:rPr>
                <w:rFonts w:cs="Times New Roman"/>
                <w:color w:val="000000"/>
              </w:rPr>
            </w:pPr>
            <w:r>
              <w:rPr>
                <w:rFonts w:hint="eastAsia" w:ascii="宋体" w:hAnsi="宋体" w:cs="宋体"/>
                <w:color w:val="000000"/>
              </w:rPr>
              <w:t>⑤</w:t>
            </w:r>
            <w:r>
              <w:rPr>
                <w:rFonts w:cs="Times New Roman"/>
                <w:color w:val="000000"/>
              </w:rPr>
              <w:t>合理安排生产时间，白天作业，夜间禁止生产。</w:t>
            </w:r>
          </w:p>
          <w:p>
            <w:pPr>
              <w:adjustRightInd w:val="0"/>
              <w:snapToGrid w:val="0"/>
              <w:ind w:firstLine="480"/>
              <w:rPr>
                <w:rFonts w:cs="Times New Roman"/>
                <w:color w:val="000000"/>
              </w:rPr>
            </w:pPr>
            <w:r>
              <w:rPr>
                <w:rFonts w:cs="Times New Roman"/>
                <w:color w:val="000000"/>
              </w:rPr>
              <w:t>完善上述相关防治措施后，可确保边界噪声达到《工业企业厂界环境噪声排放标准》（GB12348-2008）3类标准限值要求，则对区域声环境质量的影响较小。</w:t>
            </w:r>
          </w:p>
          <w:bookmarkEnd w:id="16"/>
          <w:p>
            <w:pPr>
              <w:keepNext/>
              <w:keepLines/>
              <w:ind w:firstLine="0" w:firstLineChars="0"/>
              <w:outlineLvl w:val="2"/>
              <w:rPr>
                <w:rFonts w:cs="Times New Roman"/>
                <w:b/>
                <w:bCs/>
                <w:sz w:val="28"/>
                <w:szCs w:val="32"/>
                <w:lang w:val="zh-CN"/>
              </w:rPr>
            </w:pPr>
            <w:r>
              <w:rPr>
                <w:rFonts w:cs="Times New Roman"/>
                <w:b/>
                <w:bCs/>
                <w:sz w:val="28"/>
                <w:szCs w:val="32"/>
                <w:lang w:val="zh-CN"/>
              </w:rPr>
              <w:t>7.2.4固体废物影响分析</w:t>
            </w:r>
          </w:p>
          <w:p>
            <w:pPr>
              <w:adjustRightInd w:val="0"/>
              <w:snapToGrid w:val="0"/>
              <w:ind w:firstLine="480"/>
              <w:rPr>
                <w:rFonts w:cs="Times New Roman"/>
                <w:color w:val="000000"/>
              </w:rPr>
            </w:pPr>
            <w:r>
              <w:rPr>
                <w:rFonts w:cs="Times New Roman"/>
                <w:color w:val="000000"/>
              </w:rPr>
              <w:t>项目固体废弃物来源包括机加工产生的</w:t>
            </w:r>
            <w:r>
              <w:rPr>
                <w:rFonts w:hint="eastAsia" w:cs="Times New Roman"/>
                <w:color w:val="000000"/>
              </w:rPr>
              <w:t>边角料</w:t>
            </w:r>
            <w:r>
              <w:rPr>
                <w:rFonts w:cs="Times New Roman"/>
                <w:color w:val="000000"/>
              </w:rPr>
              <w:t>、包装过程中产生的固废、</w:t>
            </w:r>
            <w:r>
              <w:rPr>
                <w:rFonts w:hint="eastAsia" w:cs="Times New Roman"/>
                <w:color w:val="000000"/>
              </w:rPr>
              <w:t>废脱模剂、</w:t>
            </w:r>
            <w:r>
              <w:rPr>
                <w:rFonts w:cs="Times New Roman"/>
                <w:color w:val="000000"/>
              </w:rPr>
              <w:t>喷淋塔打捞渣以及员工日常生活产生的生活垃圾。</w:t>
            </w:r>
          </w:p>
          <w:p>
            <w:pPr>
              <w:adjustRightInd w:val="0"/>
              <w:snapToGrid w:val="0"/>
              <w:ind w:firstLine="480"/>
              <w:rPr>
                <w:rFonts w:cs="Times New Roman"/>
                <w:color w:val="000000"/>
              </w:rPr>
            </w:pPr>
            <w:r>
              <w:rPr>
                <w:rFonts w:cs="Times New Roman"/>
                <w:color w:val="000000"/>
              </w:rPr>
              <w:t>（1）生活垃圾</w:t>
            </w:r>
          </w:p>
          <w:p>
            <w:pPr>
              <w:adjustRightInd w:val="0"/>
              <w:snapToGrid w:val="0"/>
              <w:ind w:firstLine="480"/>
              <w:rPr>
                <w:rFonts w:cs="Times New Roman"/>
                <w:color w:val="000000"/>
              </w:rPr>
            </w:pPr>
            <w:r>
              <w:rPr>
                <w:rFonts w:cs="Times New Roman"/>
                <w:color w:val="000000"/>
              </w:rPr>
              <w:t>本项目员工12人，均不在厂内食宿，生活垃圾产生量按 0.5kg/人·d 计算，生活垃圾产生量为1.86t/a，由当地环卫部门负责清运处理。</w:t>
            </w:r>
          </w:p>
          <w:p>
            <w:pPr>
              <w:adjustRightInd w:val="0"/>
              <w:snapToGrid w:val="0"/>
              <w:ind w:firstLine="480"/>
              <w:rPr>
                <w:rFonts w:cs="Times New Roman"/>
                <w:color w:val="000000"/>
              </w:rPr>
            </w:pPr>
            <w:r>
              <w:rPr>
                <w:rFonts w:cs="Times New Roman"/>
                <w:color w:val="000000"/>
              </w:rPr>
              <w:t>（2）一般固体废弃物</w:t>
            </w:r>
          </w:p>
          <w:p>
            <w:pPr>
              <w:adjustRightInd w:val="0"/>
              <w:snapToGrid w:val="0"/>
              <w:ind w:firstLine="480"/>
              <w:rPr>
                <w:rFonts w:cs="Times New Roman"/>
                <w:color w:val="000000"/>
              </w:rPr>
            </w:pPr>
            <w:r>
              <w:rPr>
                <w:rFonts w:cs="Times New Roman"/>
                <w:color w:val="000000"/>
              </w:rPr>
              <w:t>项目一般固体废物包括边角料、废包装材料、喷淋塔打捞渣等，该类废物分类收集后，边角料、金属碎屑、废包装材料统一外售处理，喷淋塔打捞渣交由专门的回收公司回收处理。</w:t>
            </w:r>
          </w:p>
          <w:p>
            <w:pPr>
              <w:adjustRightInd w:val="0"/>
              <w:snapToGrid w:val="0"/>
              <w:ind w:firstLine="480"/>
              <w:rPr>
                <w:rFonts w:cs="Times New Roman"/>
                <w:color w:val="000000"/>
              </w:rPr>
            </w:pPr>
            <w:r>
              <w:rPr>
                <w:rFonts w:cs="Times New Roman"/>
                <w:color w:val="000000"/>
              </w:rPr>
              <w:t>（3）危险废物</w:t>
            </w:r>
          </w:p>
          <w:p>
            <w:pPr>
              <w:adjustRightInd w:val="0"/>
              <w:snapToGrid w:val="0"/>
              <w:ind w:firstLine="480"/>
              <w:rPr>
                <w:rFonts w:cs="Times New Roman"/>
                <w:color w:val="000000"/>
              </w:rPr>
            </w:pPr>
            <w:r>
              <w:rPr>
                <w:rFonts w:hint="eastAsia" w:cs="Times New Roman"/>
                <w:color w:val="000000"/>
              </w:rPr>
              <w:t>废煤油包装桶：本项目煤油的规格为100kg/桶，煤油用完后会产生废包装桶，约50kg/a，根据《国家危险废物名录》（2016 版），废煤油包装桶属于危险废物，类别为HW49 其他废物，废物代码为900-041-49。废煤油包装桶暂存于危废暂存间，定期交由有资质的危废公司处理。</w:t>
            </w:r>
          </w:p>
          <w:p>
            <w:pPr>
              <w:adjustRightInd w:val="0"/>
              <w:snapToGrid w:val="0"/>
              <w:ind w:firstLine="480"/>
              <w:rPr>
                <w:rFonts w:cs="Times New Roman"/>
                <w:color w:val="000000"/>
              </w:rPr>
            </w:pPr>
            <w:r>
              <w:rPr>
                <w:rFonts w:cs="Times New Roman"/>
                <w:color w:val="000000"/>
              </w:rPr>
              <w:t>含油抹布、手套：本项目冲床、</w:t>
            </w:r>
            <w:r>
              <w:rPr>
                <w:rFonts w:hint="eastAsia" w:cs="Times New Roman"/>
                <w:color w:val="000000"/>
              </w:rPr>
              <w:t>钻</w:t>
            </w:r>
            <w:r>
              <w:rPr>
                <w:rFonts w:cs="Times New Roman"/>
                <w:color w:val="000000"/>
              </w:rPr>
              <w:t>床等生产设备正常使用时只需不定时添加机油，不会有废机油产生，故障需要维护保养时，产生废含油抹布和手套，产生量为0.01t/a。</w:t>
            </w:r>
            <w:r>
              <w:rPr>
                <w:rFonts w:cs="Times New Roman"/>
              </w:rPr>
              <w:t>根据《国家危险废物名录》（2016版）附录危险废物豁免管理清单，序号9，废弃的含油抹布、劳保用品属于危险废物（900-041-49），豁免环节为收集、处置等全部环节，豁免条件为混入生活垃圾，豁免内容为全过程不按危险废物管理，因此本项目含油废抹布按危险废物豁免管理清单要求执行</w:t>
            </w:r>
            <w:r>
              <w:rPr>
                <w:rFonts w:cs="Times New Roman"/>
                <w:color w:val="000000"/>
              </w:rPr>
              <w:t>。</w:t>
            </w:r>
          </w:p>
          <w:p>
            <w:pPr>
              <w:adjustRightInd w:val="0"/>
              <w:snapToGrid w:val="0"/>
              <w:ind w:firstLine="480"/>
              <w:rPr>
                <w:rFonts w:cs="Times New Roman"/>
                <w:color w:val="000000"/>
              </w:rPr>
            </w:pPr>
            <w:r>
              <w:rPr>
                <w:rFonts w:cs="Times New Roman"/>
                <w:color w:val="000000"/>
              </w:rPr>
              <w:t>综上述，本项目产生的固体废物对周围环境影响不大。</w:t>
            </w:r>
          </w:p>
          <w:p>
            <w:pPr>
              <w:adjustRightInd w:val="0"/>
              <w:snapToGrid w:val="0"/>
              <w:ind w:firstLine="0" w:firstLineChars="0"/>
              <w:jc w:val="left"/>
              <w:rPr>
                <w:rFonts w:ascii="宋体" w:hAnsi="宋体" w:cs="Times New Roman"/>
                <w:b/>
                <w:bCs/>
                <w:color w:val="000000"/>
                <w:sz w:val="28"/>
                <w:szCs w:val="28"/>
              </w:rPr>
            </w:pPr>
            <w:r>
              <w:rPr>
                <w:rFonts w:cs="Times New Roman"/>
                <w:b/>
                <w:bCs/>
                <w:color w:val="000000"/>
                <w:sz w:val="28"/>
                <w:szCs w:val="28"/>
              </w:rPr>
              <w:t>7.2.5</w:t>
            </w:r>
            <w:r>
              <w:rPr>
                <w:rFonts w:hint="eastAsia" w:ascii="宋体" w:hAnsi="宋体" w:cs="Times New Roman"/>
                <w:b/>
                <w:bCs/>
                <w:color w:val="000000"/>
                <w:sz w:val="28"/>
                <w:szCs w:val="28"/>
              </w:rPr>
              <w:t>土壤环境影响分析</w:t>
            </w:r>
          </w:p>
          <w:p>
            <w:pPr>
              <w:adjustRightInd w:val="0"/>
              <w:snapToGrid w:val="0"/>
              <w:ind w:firstLine="480"/>
              <w:rPr>
                <w:rFonts w:cs="Times New Roman"/>
                <w:color w:val="000000" w:themeColor="text1"/>
              </w:rPr>
            </w:pPr>
            <w:r>
              <w:rPr>
                <w:rFonts w:hint="eastAsia" w:cs="Times New Roman"/>
                <w:color w:val="000000" w:themeColor="text1"/>
              </w:rPr>
              <w:t>根据《土壤环境影响评价技术导则 土壤环境（试行）》（HJ964-2018），本项目属于污染影响型建设项目，按土壤污染影响建设项目评价等级判定进行分级。评价等级按照下表的分级判据进行划分。</w:t>
            </w:r>
          </w:p>
          <w:tbl>
            <w:tblPr>
              <w:tblStyle w:val="22"/>
              <w:tblW w:w="8704" w:type="dxa"/>
              <w:tblInd w:w="0" w:type="dxa"/>
              <w:tblLayout w:type="fixed"/>
              <w:tblCellMar>
                <w:top w:w="0" w:type="dxa"/>
                <w:left w:w="108" w:type="dxa"/>
                <w:bottom w:w="0" w:type="dxa"/>
                <w:right w:w="108" w:type="dxa"/>
              </w:tblCellMar>
            </w:tblPr>
            <w:tblGrid>
              <w:gridCol w:w="8704"/>
            </w:tblGrid>
            <w:tr>
              <w:tblPrEx>
                <w:tblCellMar>
                  <w:top w:w="0" w:type="dxa"/>
                  <w:left w:w="108" w:type="dxa"/>
                  <w:bottom w:w="0" w:type="dxa"/>
                  <w:right w:w="108" w:type="dxa"/>
                </w:tblCellMar>
              </w:tblPrEx>
              <w:trPr>
                <w:trHeight w:val="340" w:hRule="atLeast"/>
              </w:trPr>
              <w:tc>
                <w:tcPr>
                  <w:tcW w:w="8704" w:type="dxa"/>
                </w:tcPr>
                <w:p>
                  <w:pPr>
                    <w:pStyle w:val="7"/>
                    <w:keepNext/>
                    <w:ind w:firstLine="422"/>
                    <w:jc w:val="center"/>
                  </w:pPr>
                  <w:r>
                    <w:rPr>
                      <w:rFonts w:ascii="宋体" w:hAnsi="宋体" w:eastAsia="宋体" w:cs="Times New Roman"/>
                      <w:b/>
                      <w:bCs/>
                      <w:color w:val="000000" w:themeColor="text1"/>
                      <w:sz w:val="21"/>
                      <w:szCs w:val="21"/>
                    </w:rPr>
                    <w:pict>
                      <v:shape id="文本框 55" o:spid="_x0000_s1046" o:spt="202" type="#_x0000_t202" style="position:absolute;left:0pt;margin-left:49.2pt;margin-top:21.55pt;height:19.35pt;width:64.15pt;z-index:-251585536;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">
                        <v:path/>
                        <v:fill on="t" focussize="0,0"/>
                        <v:stroke on="f" weight="0.5pt" joinstyle="miter"/>
                        <v:imagedata o:title=""/>
                        <o:lock v:ext="edit"/>
                        <v:textbox>
                          <w:txbxContent>
                            <w:p>
                              <w:pPr>
                                <w:spacing w:line="240" w:lineRule="auto"/>
                                <w:ind w:firstLine="0" w:firstLineChars="0"/>
                                <w:rPr>
                                  <w:sz w:val="21"/>
                                  <w:szCs w:val="21"/>
                                </w:rPr>
                              </w:pPr>
                              <w:r>
                                <w:rPr>
                                  <w:rFonts w:hint="eastAsia"/>
                                  <w:sz w:val="21"/>
                                  <w:szCs w:val="21"/>
                                </w:rPr>
                                <w:t>占地规模</w:t>
                              </w:r>
                            </w:p>
                          </w:txbxContent>
                        </v:textbox>
                      </v:shape>
                    </w:pict>
                  </w:r>
                  <w:r>
                    <w:rPr>
                      <w:rFonts w:hint="eastAsia" w:ascii="宋体" w:hAnsi="宋体" w:eastAsia="宋体"/>
                      <w:b/>
                      <w:bCs/>
                      <w:sz w:val="21"/>
                      <w:szCs w:val="21"/>
                    </w:rPr>
                    <w:t xml:space="preserve">表 </w:t>
                  </w:r>
                  <w:r>
                    <w:rPr>
                      <w:rFonts w:ascii="Times New Roman" w:hAnsi="Times New Roman" w:eastAsia="宋体" w:cs="Times New Roman"/>
                      <w:b/>
                      <w:bCs/>
                      <w:sz w:val="21"/>
                      <w:szCs w:val="21"/>
                    </w:rPr>
                    <w:t>7-9</w:t>
                  </w:r>
                  <w:r>
                    <w:rPr>
                      <w:rFonts w:ascii="宋体" w:hAnsi="宋体" w:eastAsia="宋体"/>
                      <w:b/>
                      <w:bCs/>
                      <w:sz w:val="21"/>
                      <w:szCs w:val="21"/>
                    </w:rPr>
                    <w:t xml:space="preserve"> </w:t>
                  </w:r>
                  <w:r>
                    <w:rPr>
                      <w:rFonts w:hint="eastAsia" w:ascii="宋体" w:hAnsi="宋体" w:eastAsia="宋体"/>
                      <w:b/>
                      <w:bCs/>
                      <w:sz w:val="21"/>
                      <w:szCs w:val="21"/>
                    </w:rPr>
                    <w:t>土壤污染影响型评价工作等级划分</w:t>
                  </w:r>
                  <w:r>
                    <w:rPr>
                      <w:rFonts w:hint="eastAsia" w:ascii="宋体" w:hAnsi="宋体" w:eastAsia="宋体"/>
                      <w:b/>
                      <w:bCs/>
                    </w:rPr>
                    <w:t>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02"/>
                    <w:gridCol w:w="709"/>
                    <w:gridCol w:w="709"/>
                    <w:gridCol w:w="709"/>
                    <w:gridCol w:w="708"/>
                    <w:gridCol w:w="709"/>
                    <w:gridCol w:w="709"/>
                    <w:gridCol w:w="709"/>
                    <w:gridCol w:w="708"/>
                    <w:gridCol w:w="7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02" w:type="dxa"/>
                        <w:vMerge w:val="restart"/>
                        <w:vAlign w:val="center"/>
                      </w:tcPr>
                      <w:p>
                        <w:pPr>
                          <w:pStyle w:val="45"/>
                          <w:rPr>
                            <w:kern w:val="0"/>
                            <w:szCs w:val="20"/>
                          </w:rPr>
                        </w:pPr>
                        <w:r>
                          <w:rPr>
                            <w:color w:val="000000" w:themeColor="text1"/>
                            <w:kern w:val="0"/>
                            <w:szCs w:val="20"/>
                          </w:rPr>
                          <w:pict>
                            <v:shape id="文本框 61" o:spid="_x0000_s1047" o:spt="202" type="#_x0000_t202" style="position:absolute;left:0pt;margin-left:-11.85pt;margin-top:34.7pt;height:21.15pt;width:61.1pt;z-index:-251580416;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">
                              <v:path/>
                              <v:fill on="t" focussize="0,0"/>
                              <v:stroke on="f" weight="0.5pt" joinstyle="miter"/>
                              <v:imagedata o:title=""/>
                              <o:lock v:ext="edit"/>
                              <v:textbox>
                                <w:txbxContent>
                                  <w:p>
                                    <w:pPr>
                                      <w:spacing w:line="240" w:lineRule="auto"/>
                                      <w:ind w:firstLine="0" w:firstLineChars="0"/>
                                      <w:rPr>
                                        <w:sz w:val="21"/>
                                        <w:szCs w:val="21"/>
                                      </w:rPr>
                                    </w:pPr>
                                    <w:r>
                                      <w:rPr>
                                        <w:rFonts w:hint="eastAsia"/>
                                        <w:sz w:val="21"/>
                                        <w:szCs w:val="21"/>
                                      </w:rPr>
                                      <w:t>敏感程度</w:t>
                                    </w:r>
                                  </w:p>
                                </w:txbxContent>
                              </v:textbox>
                            </v:shape>
                          </w:pict>
                        </w:r>
                        <w:r>
                          <w:rPr>
                            <w:color w:val="000000" w:themeColor="text1"/>
                            <w:kern w:val="0"/>
                            <w:szCs w:val="20"/>
                          </w:rPr>
                          <w:pict>
                            <v:line id="直接连接符 60" o:spid="_x0000_s1051" o:spt="20" style="position:absolute;left:0pt;margin-left:-2.6pt;margin-top:29.9pt;height:22.4pt;width:96.2pt;z-index:25173504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">
                              <v:path arrowok="t"/>
                              <v:fill focussize="0,0"/>
                              <v:stroke weight="0.5pt" color="#000000" joinstyle="miter"/>
                              <v:imagedata o:title=""/>
                              <o:lock v:ext="edit"/>
                            </v:line>
                          </w:pict>
                        </w:r>
                        <w:r>
                          <w:rPr>
                            <w:color w:val="000000" w:themeColor="text1"/>
                            <w:kern w:val="0"/>
                            <w:szCs w:val="20"/>
                          </w:rPr>
                          <w:pict>
                            <v:shape id="文本框 58" o:spid="_x0000_s1048" o:spt="202" type="#_x0000_t202" style="position:absolute;left:0pt;margin-left:-13.4pt;margin-top:12.65pt;height:20.5pt;width:79.85pt;z-index:-251583488;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">
                              <v:path/>
                              <v:fill on="t" focussize="0,0"/>
                              <v:stroke on="f" weight="0.5pt" joinstyle="miter"/>
                              <v:imagedata o:title=""/>
                              <o:lock v:ext="edit"/>
                              <v:textbox>
                                <w:txbxContent>
                                  <w:p>
                                    <w:pPr>
                                      <w:spacing w:line="240" w:lineRule="auto"/>
                                      <w:ind w:firstLine="0" w:firstLineChars="0"/>
                                      <w:rPr>
                                        <w:sz w:val="21"/>
                                        <w:szCs w:val="21"/>
                                      </w:rPr>
                                    </w:pPr>
                                    <w:r>
                                      <w:rPr>
                                        <w:rFonts w:hint="eastAsia"/>
                                        <w:sz w:val="21"/>
                                        <w:szCs w:val="21"/>
                                      </w:rPr>
                                      <w:t>评价工作等级</w:t>
                                    </w:r>
                                  </w:p>
                                </w:txbxContent>
                              </v:textbox>
                            </v:shape>
                          </w:pict>
                        </w:r>
                        <w:r>
                          <w:rPr>
                            <w:color w:val="000000" w:themeColor="text1"/>
                            <w:kern w:val="0"/>
                            <w:szCs w:val="20"/>
                          </w:rPr>
                          <w:pict>
                            <v:line id="直接连接符 59" o:spid="_x0000_s1050" o:spt="20" style="position:absolute;left:0pt;margin-left:32.5pt;margin-top:0.25pt;height:53.25pt;width:62.3pt;z-index:25173401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">
                              <v:path arrowok="t"/>
                              <v:fill focussize="0,0"/>
                              <v:stroke weight="0.5pt" color="#000000" joinstyle="miter"/>
                              <v:imagedata o:title=""/>
                              <o:lock v:ext="edit"/>
                            </v:line>
                          </w:pict>
                        </w:r>
                      </w:p>
                    </w:tc>
                    <w:tc>
                      <w:tcPr>
                        <w:tcW w:w="2127" w:type="dxa"/>
                        <w:gridSpan w:val="3"/>
                        <w:vAlign w:val="center"/>
                      </w:tcPr>
                      <w:p>
                        <w:pPr>
                          <w:pStyle w:val="45"/>
                          <w:rPr>
                            <w:kern w:val="0"/>
                            <w:szCs w:val="20"/>
                          </w:rPr>
                        </w:pPr>
                        <w:r>
                          <w:rPr>
                            <w:rFonts w:hint="eastAsia" w:ascii="宋体" w:hAnsi="宋体"/>
                            <w:kern w:val="0"/>
                            <w:szCs w:val="20"/>
                          </w:rPr>
                          <w:t>Ⅰ</w:t>
                        </w:r>
                        <w:r>
                          <w:rPr>
                            <w:rFonts w:hint="eastAsia"/>
                            <w:kern w:val="0"/>
                            <w:szCs w:val="20"/>
                          </w:rPr>
                          <w:t>类</w:t>
                        </w:r>
                      </w:p>
                    </w:tc>
                    <w:tc>
                      <w:tcPr>
                        <w:tcW w:w="2126" w:type="dxa"/>
                        <w:gridSpan w:val="3"/>
                        <w:vAlign w:val="center"/>
                      </w:tcPr>
                      <w:p>
                        <w:pPr>
                          <w:pStyle w:val="45"/>
                          <w:rPr>
                            <w:kern w:val="0"/>
                            <w:szCs w:val="20"/>
                          </w:rPr>
                        </w:pPr>
                        <w:r>
                          <w:rPr>
                            <w:rFonts w:hint="eastAsia" w:ascii="宋体" w:hAnsi="宋体"/>
                            <w:kern w:val="0"/>
                            <w:szCs w:val="20"/>
                          </w:rPr>
                          <w:t>Ⅱ</w:t>
                        </w:r>
                        <w:r>
                          <w:rPr>
                            <w:rFonts w:hint="eastAsia"/>
                            <w:kern w:val="0"/>
                            <w:szCs w:val="20"/>
                          </w:rPr>
                          <w:t>类</w:t>
                        </w:r>
                      </w:p>
                    </w:tc>
                    <w:tc>
                      <w:tcPr>
                        <w:tcW w:w="2139" w:type="dxa"/>
                        <w:gridSpan w:val="3"/>
                        <w:vAlign w:val="center"/>
                      </w:tcPr>
                      <w:p>
                        <w:pPr>
                          <w:pStyle w:val="45"/>
                          <w:rPr>
                            <w:kern w:val="0"/>
                            <w:szCs w:val="20"/>
                          </w:rPr>
                        </w:pPr>
                        <w:r>
                          <w:rPr>
                            <w:rFonts w:hint="eastAsia" w:ascii="宋体" w:hAnsi="宋体"/>
                            <w:kern w:val="0"/>
                            <w:szCs w:val="20"/>
                          </w:rPr>
                          <w:t>Ⅲ</w:t>
                        </w:r>
                        <w:r>
                          <w:rPr>
                            <w:rFonts w:hint="eastAsia"/>
                            <w:kern w:val="0"/>
                            <w:szCs w:val="20"/>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2002" w:type="dxa"/>
                        <w:vMerge w:val="continue"/>
                        <w:vAlign w:val="center"/>
                      </w:tcPr>
                      <w:p>
                        <w:pPr>
                          <w:pStyle w:val="45"/>
                          <w:rPr>
                            <w:kern w:val="0"/>
                            <w:szCs w:val="20"/>
                          </w:rPr>
                        </w:pPr>
                      </w:p>
                    </w:tc>
                    <w:tc>
                      <w:tcPr>
                        <w:tcW w:w="709" w:type="dxa"/>
                        <w:vAlign w:val="center"/>
                      </w:tcPr>
                      <w:p>
                        <w:pPr>
                          <w:pStyle w:val="45"/>
                          <w:rPr>
                            <w:kern w:val="0"/>
                            <w:szCs w:val="20"/>
                          </w:rPr>
                        </w:pPr>
                        <w:r>
                          <w:rPr>
                            <w:rFonts w:hint="eastAsia"/>
                            <w:kern w:val="0"/>
                            <w:szCs w:val="20"/>
                          </w:rPr>
                          <w:t>大</w:t>
                        </w:r>
                      </w:p>
                    </w:tc>
                    <w:tc>
                      <w:tcPr>
                        <w:tcW w:w="709" w:type="dxa"/>
                        <w:vAlign w:val="center"/>
                      </w:tcPr>
                      <w:p>
                        <w:pPr>
                          <w:pStyle w:val="45"/>
                          <w:rPr>
                            <w:kern w:val="0"/>
                            <w:szCs w:val="20"/>
                          </w:rPr>
                        </w:pPr>
                        <w:r>
                          <w:rPr>
                            <w:rFonts w:hint="eastAsia"/>
                            <w:kern w:val="0"/>
                            <w:szCs w:val="20"/>
                          </w:rPr>
                          <w:t>中</w:t>
                        </w:r>
                      </w:p>
                    </w:tc>
                    <w:tc>
                      <w:tcPr>
                        <w:tcW w:w="709" w:type="dxa"/>
                        <w:vAlign w:val="center"/>
                      </w:tcPr>
                      <w:p>
                        <w:pPr>
                          <w:pStyle w:val="45"/>
                          <w:rPr>
                            <w:kern w:val="0"/>
                            <w:szCs w:val="20"/>
                          </w:rPr>
                        </w:pPr>
                        <w:r>
                          <w:rPr>
                            <w:rFonts w:hint="eastAsia"/>
                            <w:kern w:val="0"/>
                            <w:szCs w:val="20"/>
                          </w:rPr>
                          <w:t>小</w:t>
                        </w:r>
                      </w:p>
                    </w:tc>
                    <w:tc>
                      <w:tcPr>
                        <w:tcW w:w="708" w:type="dxa"/>
                        <w:vAlign w:val="center"/>
                      </w:tcPr>
                      <w:p>
                        <w:pPr>
                          <w:pStyle w:val="45"/>
                          <w:rPr>
                            <w:kern w:val="0"/>
                            <w:szCs w:val="20"/>
                          </w:rPr>
                        </w:pPr>
                        <w:r>
                          <w:rPr>
                            <w:rFonts w:hint="eastAsia"/>
                            <w:kern w:val="0"/>
                            <w:szCs w:val="20"/>
                          </w:rPr>
                          <w:t>大</w:t>
                        </w:r>
                      </w:p>
                    </w:tc>
                    <w:tc>
                      <w:tcPr>
                        <w:tcW w:w="709" w:type="dxa"/>
                        <w:vAlign w:val="center"/>
                      </w:tcPr>
                      <w:p>
                        <w:pPr>
                          <w:pStyle w:val="45"/>
                          <w:rPr>
                            <w:kern w:val="0"/>
                            <w:szCs w:val="20"/>
                          </w:rPr>
                        </w:pPr>
                        <w:r>
                          <w:rPr>
                            <w:rFonts w:hint="eastAsia"/>
                            <w:kern w:val="0"/>
                            <w:szCs w:val="20"/>
                          </w:rPr>
                          <w:t>中</w:t>
                        </w:r>
                      </w:p>
                    </w:tc>
                    <w:tc>
                      <w:tcPr>
                        <w:tcW w:w="709" w:type="dxa"/>
                        <w:vAlign w:val="center"/>
                      </w:tcPr>
                      <w:p>
                        <w:pPr>
                          <w:pStyle w:val="45"/>
                          <w:rPr>
                            <w:kern w:val="0"/>
                            <w:szCs w:val="20"/>
                          </w:rPr>
                        </w:pPr>
                        <w:r>
                          <w:rPr>
                            <w:rFonts w:hint="eastAsia"/>
                            <w:kern w:val="0"/>
                            <w:szCs w:val="20"/>
                          </w:rPr>
                          <w:t>小</w:t>
                        </w:r>
                      </w:p>
                    </w:tc>
                    <w:tc>
                      <w:tcPr>
                        <w:tcW w:w="709" w:type="dxa"/>
                        <w:vAlign w:val="center"/>
                      </w:tcPr>
                      <w:p>
                        <w:pPr>
                          <w:pStyle w:val="45"/>
                          <w:rPr>
                            <w:kern w:val="0"/>
                            <w:szCs w:val="20"/>
                          </w:rPr>
                        </w:pPr>
                        <w:r>
                          <w:rPr>
                            <w:rFonts w:hint="eastAsia"/>
                            <w:kern w:val="0"/>
                            <w:szCs w:val="20"/>
                          </w:rPr>
                          <w:t>大</w:t>
                        </w:r>
                      </w:p>
                    </w:tc>
                    <w:tc>
                      <w:tcPr>
                        <w:tcW w:w="708" w:type="dxa"/>
                        <w:vAlign w:val="center"/>
                      </w:tcPr>
                      <w:p>
                        <w:pPr>
                          <w:pStyle w:val="45"/>
                          <w:rPr>
                            <w:kern w:val="0"/>
                            <w:szCs w:val="20"/>
                          </w:rPr>
                        </w:pPr>
                        <w:r>
                          <w:rPr>
                            <w:rFonts w:hint="eastAsia"/>
                            <w:kern w:val="0"/>
                            <w:szCs w:val="20"/>
                          </w:rPr>
                          <w:t>中</w:t>
                        </w:r>
                      </w:p>
                    </w:tc>
                    <w:tc>
                      <w:tcPr>
                        <w:tcW w:w="722" w:type="dxa"/>
                        <w:vAlign w:val="center"/>
                      </w:tcPr>
                      <w:p>
                        <w:pPr>
                          <w:pStyle w:val="45"/>
                          <w:rPr>
                            <w:kern w:val="0"/>
                            <w:szCs w:val="20"/>
                          </w:rPr>
                        </w:pPr>
                        <w:r>
                          <w:rPr>
                            <w:rFonts w:hint="eastAsia"/>
                            <w:kern w:val="0"/>
                            <w:szCs w:val="20"/>
                          </w:rPr>
                          <w:t>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2002" w:type="dxa"/>
                        <w:vAlign w:val="center"/>
                      </w:tcPr>
                      <w:p>
                        <w:pPr>
                          <w:pStyle w:val="45"/>
                          <w:rPr>
                            <w:kern w:val="0"/>
                            <w:szCs w:val="20"/>
                          </w:rPr>
                        </w:pPr>
                        <w:r>
                          <w:rPr>
                            <w:rFonts w:hint="eastAsia"/>
                            <w:kern w:val="0"/>
                            <w:szCs w:val="20"/>
                          </w:rPr>
                          <w:t>敏感</w:t>
                        </w:r>
                      </w:p>
                    </w:tc>
                    <w:tc>
                      <w:tcPr>
                        <w:tcW w:w="709" w:type="dxa"/>
                        <w:vAlign w:val="center"/>
                      </w:tcPr>
                      <w:p>
                        <w:pPr>
                          <w:pStyle w:val="45"/>
                          <w:rPr>
                            <w:kern w:val="0"/>
                            <w:szCs w:val="20"/>
                          </w:rPr>
                        </w:pPr>
                        <w:r>
                          <w:rPr>
                            <w:rFonts w:hint="eastAsia"/>
                            <w:kern w:val="0"/>
                            <w:szCs w:val="20"/>
                          </w:rPr>
                          <w:t>一级</w:t>
                        </w:r>
                      </w:p>
                    </w:tc>
                    <w:tc>
                      <w:tcPr>
                        <w:tcW w:w="709" w:type="dxa"/>
                        <w:vAlign w:val="center"/>
                      </w:tcPr>
                      <w:p>
                        <w:pPr>
                          <w:pStyle w:val="45"/>
                          <w:rPr>
                            <w:kern w:val="0"/>
                            <w:szCs w:val="20"/>
                          </w:rPr>
                        </w:pPr>
                        <w:r>
                          <w:rPr>
                            <w:rFonts w:hint="eastAsia"/>
                            <w:kern w:val="0"/>
                            <w:szCs w:val="20"/>
                          </w:rPr>
                          <w:t>一级</w:t>
                        </w:r>
                      </w:p>
                    </w:tc>
                    <w:tc>
                      <w:tcPr>
                        <w:tcW w:w="709" w:type="dxa"/>
                        <w:vAlign w:val="center"/>
                      </w:tcPr>
                      <w:p>
                        <w:pPr>
                          <w:pStyle w:val="45"/>
                          <w:rPr>
                            <w:kern w:val="0"/>
                            <w:szCs w:val="20"/>
                          </w:rPr>
                        </w:pPr>
                        <w:r>
                          <w:rPr>
                            <w:rFonts w:hint="eastAsia"/>
                            <w:kern w:val="0"/>
                            <w:szCs w:val="20"/>
                          </w:rPr>
                          <w:t>一级</w:t>
                        </w:r>
                      </w:p>
                    </w:tc>
                    <w:tc>
                      <w:tcPr>
                        <w:tcW w:w="708" w:type="dxa"/>
                        <w:vAlign w:val="center"/>
                      </w:tcPr>
                      <w:p>
                        <w:pPr>
                          <w:pStyle w:val="45"/>
                          <w:rPr>
                            <w:kern w:val="0"/>
                            <w:szCs w:val="20"/>
                          </w:rPr>
                        </w:pPr>
                        <w:r>
                          <w:rPr>
                            <w:rFonts w:hint="eastAsia"/>
                            <w:kern w:val="0"/>
                            <w:szCs w:val="20"/>
                          </w:rPr>
                          <w:t>二级</w:t>
                        </w:r>
                      </w:p>
                    </w:tc>
                    <w:tc>
                      <w:tcPr>
                        <w:tcW w:w="709" w:type="dxa"/>
                        <w:vAlign w:val="center"/>
                      </w:tcPr>
                      <w:p>
                        <w:pPr>
                          <w:pStyle w:val="45"/>
                          <w:rPr>
                            <w:kern w:val="0"/>
                            <w:szCs w:val="20"/>
                          </w:rPr>
                        </w:pPr>
                        <w:r>
                          <w:rPr>
                            <w:rFonts w:hint="eastAsia"/>
                            <w:kern w:val="0"/>
                            <w:szCs w:val="20"/>
                          </w:rPr>
                          <w:t>二级</w:t>
                        </w:r>
                      </w:p>
                    </w:tc>
                    <w:tc>
                      <w:tcPr>
                        <w:tcW w:w="709" w:type="dxa"/>
                        <w:vAlign w:val="center"/>
                      </w:tcPr>
                      <w:p>
                        <w:pPr>
                          <w:pStyle w:val="45"/>
                          <w:rPr>
                            <w:kern w:val="0"/>
                            <w:szCs w:val="20"/>
                          </w:rPr>
                        </w:pPr>
                        <w:r>
                          <w:rPr>
                            <w:rFonts w:hint="eastAsia"/>
                            <w:kern w:val="0"/>
                            <w:szCs w:val="20"/>
                          </w:rPr>
                          <w:t>二级</w:t>
                        </w:r>
                      </w:p>
                    </w:tc>
                    <w:tc>
                      <w:tcPr>
                        <w:tcW w:w="709" w:type="dxa"/>
                        <w:vAlign w:val="center"/>
                      </w:tcPr>
                      <w:p>
                        <w:pPr>
                          <w:pStyle w:val="45"/>
                          <w:rPr>
                            <w:kern w:val="0"/>
                            <w:szCs w:val="20"/>
                          </w:rPr>
                        </w:pPr>
                        <w:r>
                          <w:rPr>
                            <w:rFonts w:hint="eastAsia"/>
                            <w:kern w:val="0"/>
                            <w:szCs w:val="20"/>
                          </w:rPr>
                          <w:t>三级</w:t>
                        </w:r>
                      </w:p>
                    </w:tc>
                    <w:tc>
                      <w:tcPr>
                        <w:tcW w:w="708" w:type="dxa"/>
                        <w:vAlign w:val="center"/>
                      </w:tcPr>
                      <w:p>
                        <w:pPr>
                          <w:pStyle w:val="45"/>
                          <w:rPr>
                            <w:kern w:val="0"/>
                            <w:szCs w:val="20"/>
                          </w:rPr>
                        </w:pPr>
                        <w:r>
                          <w:rPr>
                            <w:rFonts w:hint="eastAsia"/>
                            <w:kern w:val="0"/>
                            <w:szCs w:val="20"/>
                          </w:rPr>
                          <w:t>三级</w:t>
                        </w:r>
                      </w:p>
                    </w:tc>
                    <w:tc>
                      <w:tcPr>
                        <w:tcW w:w="722" w:type="dxa"/>
                        <w:vAlign w:val="center"/>
                      </w:tcPr>
                      <w:p>
                        <w:pPr>
                          <w:pStyle w:val="45"/>
                          <w:rPr>
                            <w:kern w:val="0"/>
                            <w:szCs w:val="20"/>
                          </w:rPr>
                        </w:pPr>
                        <w:r>
                          <w:rPr>
                            <w:rFonts w:hint="eastAsia"/>
                            <w:kern w:val="0"/>
                            <w:szCs w:val="20"/>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002" w:type="dxa"/>
                        <w:vAlign w:val="center"/>
                      </w:tcPr>
                      <w:p>
                        <w:pPr>
                          <w:pStyle w:val="45"/>
                          <w:rPr>
                            <w:kern w:val="0"/>
                            <w:szCs w:val="20"/>
                          </w:rPr>
                        </w:pPr>
                        <w:r>
                          <w:rPr>
                            <w:rFonts w:hint="eastAsia"/>
                            <w:kern w:val="0"/>
                            <w:szCs w:val="20"/>
                          </w:rPr>
                          <w:t>较敏感</w:t>
                        </w:r>
                      </w:p>
                    </w:tc>
                    <w:tc>
                      <w:tcPr>
                        <w:tcW w:w="709"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8"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8" w:type="dxa"/>
                        <w:vAlign w:val="center"/>
                      </w:tcPr>
                      <w:p>
                        <w:pPr>
                          <w:pStyle w:val="45"/>
                          <w:rPr>
                            <w:kern w:val="0"/>
                            <w:szCs w:val="20"/>
                          </w:rPr>
                        </w:pPr>
                      </w:p>
                    </w:tc>
                    <w:tc>
                      <w:tcPr>
                        <w:tcW w:w="722" w:type="dxa"/>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2002" w:type="dxa"/>
                        <w:vAlign w:val="center"/>
                      </w:tcPr>
                      <w:p>
                        <w:pPr>
                          <w:pStyle w:val="45"/>
                          <w:rPr>
                            <w:kern w:val="0"/>
                            <w:szCs w:val="20"/>
                          </w:rPr>
                        </w:pPr>
                        <w:r>
                          <w:rPr>
                            <w:rFonts w:hint="eastAsia"/>
                            <w:kern w:val="0"/>
                            <w:szCs w:val="20"/>
                          </w:rPr>
                          <w:t>不敏感</w:t>
                        </w:r>
                      </w:p>
                    </w:tc>
                    <w:tc>
                      <w:tcPr>
                        <w:tcW w:w="709"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8"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9" w:type="dxa"/>
                        <w:vAlign w:val="center"/>
                      </w:tcPr>
                      <w:p>
                        <w:pPr>
                          <w:pStyle w:val="45"/>
                          <w:rPr>
                            <w:kern w:val="0"/>
                            <w:szCs w:val="20"/>
                          </w:rPr>
                        </w:pPr>
                      </w:p>
                    </w:tc>
                    <w:tc>
                      <w:tcPr>
                        <w:tcW w:w="708" w:type="dxa"/>
                        <w:vAlign w:val="center"/>
                      </w:tcPr>
                      <w:p>
                        <w:pPr>
                          <w:pStyle w:val="45"/>
                          <w:rPr>
                            <w:kern w:val="0"/>
                            <w:szCs w:val="20"/>
                          </w:rPr>
                        </w:pPr>
                      </w:p>
                    </w:tc>
                    <w:tc>
                      <w:tcPr>
                        <w:tcW w:w="722" w:type="dxa"/>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8394" w:type="dxa"/>
                        <w:gridSpan w:val="10"/>
                        <w:vAlign w:val="center"/>
                      </w:tcPr>
                      <w:p>
                        <w:pPr>
                          <w:pStyle w:val="45"/>
                          <w:jc w:val="left"/>
                          <w:rPr>
                            <w:kern w:val="0"/>
                            <w:szCs w:val="20"/>
                          </w:rPr>
                        </w:pPr>
                        <w:r>
                          <w:rPr>
                            <w:rFonts w:hint="eastAsia"/>
                            <w:kern w:val="0"/>
                            <w:szCs w:val="20"/>
                          </w:rPr>
                          <w:t>注：“-”表示可不开展土壤环境评价工作。</w:t>
                        </w:r>
                      </w:p>
                    </w:tc>
                  </w:tr>
                </w:tbl>
                <w:p>
                  <w:pPr>
                    <w:adjustRightInd w:val="0"/>
                    <w:snapToGrid w:val="0"/>
                    <w:spacing w:line="240" w:lineRule="auto"/>
                    <w:ind w:firstLine="0" w:firstLineChars="0"/>
                    <w:rPr>
                      <w:rFonts w:cs="Times New Roman"/>
                      <w:color w:val="FF0000"/>
                      <w:sz w:val="21"/>
                      <w:lang w:val="zh-CN"/>
                    </w:rPr>
                  </w:pPr>
                </w:p>
              </w:tc>
            </w:tr>
          </w:tbl>
          <w:p>
            <w:pPr>
              <w:adjustRightInd w:val="0"/>
              <w:snapToGrid w:val="0"/>
              <w:ind w:firstLine="480"/>
              <w:rPr>
                <w:rFonts w:cs="Times New Roman"/>
                <w:color w:val="000000"/>
              </w:rPr>
            </w:pPr>
            <w:r>
              <w:rPr>
                <w:rFonts w:hint="eastAsia" w:cs="Times New Roman"/>
                <w:color w:val="000000"/>
              </w:rPr>
              <w:t>根据《环境影响评价技术导则土壤环境（试行）》（HJ964-2018）中的附录A土壤环境评价项目类别得出本项目属于“制造业-金属制品行业”中“有金属制品表面处理及热处理加工的”，建设项目类别为Ⅰ类，占地面积1687.5m</w:t>
            </w:r>
            <w:r>
              <w:rPr>
                <w:rFonts w:hint="eastAsia" w:cs="Times New Roman"/>
                <w:color w:val="000000"/>
                <w:vertAlign w:val="superscript"/>
              </w:rPr>
              <w:t>2</w:t>
            </w:r>
            <w:r>
              <w:rPr>
                <w:rFonts w:hint="eastAsia" w:cs="Times New Roman"/>
                <w:color w:val="000000"/>
              </w:rPr>
              <w:t>≤5hm</w:t>
            </w:r>
            <w:r>
              <w:rPr>
                <w:rFonts w:hint="eastAsia" w:cs="Times New Roman"/>
                <w:color w:val="000000"/>
                <w:vertAlign w:val="superscript"/>
              </w:rPr>
              <w:t>2</w:t>
            </w:r>
            <w:r>
              <w:rPr>
                <w:rFonts w:hint="eastAsia" w:cs="Times New Roman"/>
                <w:color w:val="000000"/>
              </w:rPr>
              <w:t>，属于小型项目。项目厂址位于工业园区，土壤环境不敏感，评价等级为二级，占地范围及周边均为混凝土硬化场地，因此，不开展土壤环境影响评价。</w:t>
            </w:r>
          </w:p>
          <w:p>
            <w:pPr>
              <w:pStyle w:val="20"/>
              <w:ind w:firstLine="0" w:firstLineChars="0"/>
              <w:rPr>
                <w:lang w:val="zh-CN"/>
              </w:rPr>
            </w:pPr>
            <w:r>
              <w:rPr>
                <w:lang w:val="zh-CN"/>
              </w:rPr>
              <w:t>7.3环境风险分析</w:t>
            </w:r>
          </w:p>
          <w:p>
            <w:pPr>
              <w:adjustRightInd w:val="0"/>
              <w:snapToGrid w:val="0"/>
              <w:ind w:firstLine="480"/>
              <w:rPr>
                <w:rFonts w:cs="Times New Roman"/>
                <w:color w:val="000000"/>
                <w:szCs w:val="24"/>
              </w:rPr>
            </w:pPr>
            <w:r>
              <w:rPr>
                <w:rFonts w:cs="Times New Roman"/>
                <w:color w:val="000000"/>
                <w:szCs w:val="24"/>
              </w:rPr>
              <w:t>本项目所用原辅材料主要为铜棒</w:t>
            </w:r>
            <w:r>
              <w:rPr>
                <w:rFonts w:hint="eastAsia" w:cs="Times New Roman"/>
                <w:color w:val="000000"/>
                <w:szCs w:val="24"/>
              </w:rPr>
              <w:t>、棕油和煤油</w:t>
            </w:r>
            <w:r>
              <w:rPr>
                <w:rFonts w:cs="Times New Roman"/>
                <w:color w:val="000000"/>
                <w:szCs w:val="24"/>
              </w:rPr>
              <w:t>，根据《建设项目环境风险评价技术导则》（HJ169-2018）附录B</w:t>
            </w:r>
            <w:r>
              <w:rPr>
                <w:rFonts w:hint="eastAsia" w:cs="Times New Roman"/>
                <w:color w:val="000000"/>
                <w:szCs w:val="24"/>
              </w:rPr>
              <w:t>、化学品分类和标签规范（G</w:t>
            </w:r>
            <w:r>
              <w:rPr>
                <w:rFonts w:cs="Times New Roman"/>
                <w:color w:val="000000"/>
                <w:szCs w:val="24"/>
              </w:rPr>
              <w:t>B30000-2013</w:t>
            </w:r>
            <w:r>
              <w:rPr>
                <w:rFonts w:hint="eastAsia" w:cs="Times New Roman"/>
                <w:color w:val="000000"/>
                <w:szCs w:val="24"/>
              </w:rPr>
              <w:t>）第七部分：易燃液体以及</w:t>
            </w:r>
            <w:r>
              <w:rPr>
                <w:rFonts w:cs="Times New Roman"/>
                <w:color w:val="000000"/>
                <w:szCs w:val="24"/>
              </w:rPr>
              <w:t>《重大危险源辨识标准》（GB18218-2018）中有毒物质名称及临界量目录，可知本项目使用</w:t>
            </w:r>
            <w:r>
              <w:rPr>
                <w:rFonts w:hint="eastAsia" w:cs="Times New Roman"/>
                <w:color w:val="000000"/>
                <w:szCs w:val="24"/>
              </w:rPr>
              <w:t>的煤油属于易燃液体，是危险物质</w:t>
            </w:r>
            <w:r>
              <w:rPr>
                <w:rFonts w:cs="Times New Roman"/>
                <w:color w:val="000000"/>
                <w:szCs w:val="24"/>
              </w:rPr>
              <w:t>。</w:t>
            </w:r>
          </w:p>
          <w:p>
            <w:pPr>
              <w:pStyle w:val="4"/>
              <w:rPr>
                <w:rFonts w:ascii="Times New Roman" w:hAnsi="Times New Roman" w:cs="Times New Roman"/>
              </w:rPr>
            </w:pPr>
            <w:r>
              <w:rPr>
                <w:rFonts w:ascii="Times New Roman" w:hAnsi="Times New Roman" w:cs="Times New Roman"/>
              </w:rPr>
              <w:t>7.3.1评价等级和主要环境风险</w:t>
            </w:r>
          </w:p>
          <w:p>
            <w:pPr>
              <w:ind w:firstLine="0" w:firstLineChars="0"/>
              <w:rPr>
                <w:rFonts w:cs="Times New Roman"/>
                <w:b/>
                <w:bCs/>
              </w:rPr>
            </w:pPr>
            <w:r>
              <w:rPr>
                <w:rFonts w:cs="Times New Roman"/>
                <w:b/>
                <w:bCs/>
              </w:rPr>
              <w:t>7.3.1.1</w:t>
            </w:r>
            <w:r>
              <w:rPr>
                <w:rFonts w:hint="eastAsia" w:cs="Times New Roman"/>
                <w:b/>
                <w:bCs/>
              </w:rPr>
              <w:t>风险识别</w:t>
            </w:r>
          </w:p>
          <w:p>
            <w:pPr>
              <w:ind w:firstLine="480" w:firstLineChars="0"/>
              <w:rPr>
                <w:rFonts w:cs="Times New Roman"/>
              </w:rPr>
            </w:pPr>
            <w:r>
              <w:rPr>
                <w:rFonts w:hint="eastAsia" w:cs="Times New Roman"/>
              </w:rPr>
              <w:t>根据《建设项目环境风险评价技术导则》（H</w:t>
            </w:r>
            <w:r>
              <w:rPr>
                <w:rFonts w:cs="Times New Roman"/>
              </w:rPr>
              <w:t>J169-2018</w:t>
            </w:r>
            <w:r>
              <w:rPr>
                <w:rFonts w:hint="eastAsia" w:cs="Times New Roman"/>
              </w:rPr>
              <w:t>）、</w:t>
            </w:r>
            <w:r>
              <w:rPr>
                <w:rFonts w:hint="eastAsia" w:cs="Times New Roman"/>
                <w:color w:val="000000"/>
                <w:szCs w:val="24"/>
              </w:rPr>
              <w:t>化学品分类和标签规范（G</w:t>
            </w:r>
            <w:r>
              <w:rPr>
                <w:rFonts w:cs="Times New Roman"/>
                <w:color w:val="000000"/>
                <w:szCs w:val="24"/>
              </w:rPr>
              <w:t>B30000-2013</w:t>
            </w:r>
            <w:r>
              <w:rPr>
                <w:rFonts w:hint="eastAsia" w:cs="Times New Roman"/>
                <w:color w:val="000000"/>
                <w:szCs w:val="24"/>
              </w:rPr>
              <w:t>）第七部分：易燃液体</w:t>
            </w:r>
            <w:r>
              <w:rPr>
                <w:rFonts w:hint="eastAsia" w:cs="Times New Roman"/>
              </w:rPr>
              <w:t>和《重大危险源辨识标准》（G</w:t>
            </w:r>
            <w:r>
              <w:rPr>
                <w:rFonts w:cs="Times New Roman"/>
              </w:rPr>
              <w:t>B18218-2018</w:t>
            </w:r>
            <w:r>
              <w:rPr>
                <w:rFonts w:hint="eastAsia" w:cs="Times New Roman"/>
              </w:rPr>
              <w:t>），本项目危险化学品类别及其临界量的辨识依据分别见表7</w:t>
            </w:r>
            <w:r>
              <w:rPr>
                <w:rFonts w:cs="Times New Roman"/>
              </w:rPr>
              <w:t>-10</w:t>
            </w:r>
            <w:r>
              <w:rPr>
                <w:rFonts w:hint="eastAsia" w:cs="Times New Roman"/>
              </w:rPr>
              <w:t>和表7</w:t>
            </w:r>
            <w:r>
              <w:rPr>
                <w:rFonts w:cs="Times New Roman"/>
              </w:rPr>
              <w:t>-11</w:t>
            </w:r>
            <w:r>
              <w:rPr>
                <w:rFonts w:hint="eastAsia" w:cs="Times New Roman"/>
              </w:rPr>
              <w:t>。</w:t>
            </w:r>
          </w:p>
          <w:p>
            <w:pPr>
              <w:pStyle w:val="45"/>
              <w:rPr>
                <w:b/>
                <w:bCs/>
                <w:lang w:val="en-US"/>
              </w:rPr>
            </w:pPr>
            <w:r>
              <w:rPr>
                <w:rFonts w:hint="eastAsia"/>
                <w:b/>
                <w:bCs/>
                <w:lang w:val="en-US"/>
              </w:rPr>
              <w:t>表7</w:t>
            </w:r>
            <w:r>
              <w:rPr>
                <w:b/>
                <w:bCs/>
                <w:lang w:val="en-US"/>
              </w:rPr>
              <w:t xml:space="preserve">.10 </w:t>
            </w:r>
            <w:r>
              <w:rPr>
                <w:rFonts w:hint="eastAsia"/>
                <w:b/>
                <w:bCs/>
                <w:lang w:val="en-US"/>
              </w:rPr>
              <w:t>易燃液体液体的分类</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57"/>
              <w:gridCol w:w="57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57" w:type="dxa"/>
                  <w:vAlign w:val="center"/>
                </w:tcPr>
                <w:p>
                  <w:pPr>
                    <w:pStyle w:val="45"/>
                    <w:rPr>
                      <w:kern w:val="0"/>
                      <w:szCs w:val="20"/>
                    </w:rPr>
                  </w:pPr>
                  <w:r>
                    <w:rPr>
                      <w:rFonts w:hint="eastAsia"/>
                      <w:kern w:val="0"/>
                      <w:szCs w:val="20"/>
                    </w:rPr>
                    <w:t>类别</w:t>
                  </w:r>
                </w:p>
              </w:tc>
              <w:tc>
                <w:tcPr>
                  <w:tcW w:w="5701" w:type="dxa"/>
                  <w:vAlign w:val="center"/>
                </w:tcPr>
                <w:p>
                  <w:pPr>
                    <w:pStyle w:val="45"/>
                    <w:rPr>
                      <w:kern w:val="0"/>
                      <w:szCs w:val="20"/>
                    </w:rPr>
                  </w:pPr>
                  <w:r>
                    <w:rPr>
                      <w:rFonts w:hint="eastAsia"/>
                      <w:kern w:val="0"/>
                      <w:szCs w:val="20"/>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857" w:type="dxa"/>
                  <w:vAlign w:val="center"/>
                </w:tcPr>
                <w:p>
                  <w:pPr>
                    <w:pStyle w:val="45"/>
                    <w:rPr>
                      <w:kern w:val="0"/>
                      <w:szCs w:val="20"/>
                    </w:rPr>
                  </w:pPr>
                  <w:r>
                    <w:rPr>
                      <w:rFonts w:hint="eastAsia"/>
                      <w:kern w:val="0"/>
                      <w:szCs w:val="20"/>
                    </w:rPr>
                    <w:t>1</w:t>
                  </w:r>
                </w:p>
              </w:tc>
              <w:tc>
                <w:tcPr>
                  <w:tcW w:w="5701" w:type="dxa"/>
                  <w:vAlign w:val="center"/>
                </w:tcPr>
                <w:p>
                  <w:pPr>
                    <w:pStyle w:val="45"/>
                    <w:rPr>
                      <w:kern w:val="0"/>
                      <w:szCs w:val="20"/>
                    </w:rPr>
                  </w:pPr>
                  <w:r>
                    <w:rPr>
                      <w:rFonts w:hint="eastAsia"/>
                      <w:kern w:val="0"/>
                      <w:szCs w:val="20"/>
                    </w:rPr>
                    <w:t>闪点小于2</w:t>
                  </w:r>
                  <w:r>
                    <w:rPr>
                      <w:kern w:val="0"/>
                      <w:szCs w:val="20"/>
                    </w:rPr>
                    <w:t>3</w:t>
                  </w:r>
                  <w:r>
                    <w:rPr>
                      <w:rFonts w:hint="eastAsia"/>
                      <w:color w:val="000000"/>
                      <w:kern w:val="0"/>
                      <w:szCs w:val="20"/>
                    </w:rPr>
                    <w:t>℃且初沸点不大于3</w:t>
                  </w:r>
                  <w:r>
                    <w:rPr>
                      <w:color w:val="000000"/>
                      <w:kern w:val="0"/>
                      <w:szCs w:val="20"/>
                    </w:rPr>
                    <w:t>5</w:t>
                  </w:r>
                  <w:r>
                    <w:rPr>
                      <w:rFonts w:hint="eastAsia"/>
                      <w:color w:val="000000"/>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57" w:type="dxa"/>
                  <w:vAlign w:val="center"/>
                </w:tcPr>
                <w:p>
                  <w:pPr>
                    <w:pStyle w:val="45"/>
                    <w:rPr>
                      <w:kern w:val="0"/>
                      <w:szCs w:val="20"/>
                    </w:rPr>
                  </w:pPr>
                  <w:r>
                    <w:rPr>
                      <w:rFonts w:hint="eastAsia"/>
                      <w:kern w:val="0"/>
                      <w:szCs w:val="20"/>
                    </w:rPr>
                    <w:t>2</w:t>
                  </w:r>
                </w:p>
              </w:tc>
              <w:tc>
                <w:tcPr>
                  <w:tcW w:w="5701" w:type="dxa"/>
                  <w:vAlign w:val="center"/>
                </w:tcPr>
                <w:p>
                  <w:pPr>
                    <w:pStyle w:val="45"/>
                    <w:rPr>
                      <w:kern w:val="0"/>
                      <w:szCs w:val="20"/>
                    </w:rPr>
                  </w:pPr>
                  <w:r>
                    <w:rPr>
                      <w:rFonts w:hint="eastAsia"/>
                      <w:kern w:val="0"/>
                      <w:szCs w:val="20"/>
                    </w:rPr>
                    <w:t>闪点小于2</w:t>
                  </w:r>
                  <w:r>
                    <w:rPr>
                      <w:kern w:val="0"/>
                      <w:szCs w:val="20"/>
                    </w:rPr>
                    <w:t>3</w:t>
                  </w:r>
                  <w:r>
                    <w:rPr>
                      <w:rFonts w:hint="eastAsia"/>
                      <w:color w:val="000000"/>
                      <w:kern w:val="0"/>
                      <w:szCs w:val="20"/>
                    </w:rPr>
                    <w:t>℃且初沸点大于3</w:t>
                  </w:r>
                  <w:r>
                    <w:rPr>
                      <w:color w:val="000000"/>
                      <w:kern w:val="0"/>
                      <w:szCs w:val="20"/>
                    </w:rPr>
                    <w:t>5</w:t>
                  </w:r>
                  <w:r>
                    <w:rPr>
                      <w:rFonts w:hint="eastAsia"/>
                      <w:color w:val="000000"/>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857" w:type="dxa"/>
                  <w:vAlign w:val="center"/>
                </w:tcPr>
                <w:p>
                  <w:pPr>
                    <w:pStyle w:val="45"/>
                    <w:rPr>
                      <w:kern w:val="0"/>
                      <w:szCs w:val="20"/>
                    </w:rPr>
                  </w:pPr>
                  <w:r>
                    <w:rPr>
                      <w:rFonts w:hint="eastAsia"/>
                      <w:kern w:val="0"/>
                      <w:szCs w:val="20"/>
                    </w:rPr>
                    <w:t>3</w:t>
                  </w:r>
                </w:p>
              </w:tc>
              <w:tc>
                <w:tcPr>
                  <w:tcW w:w="5701" w:type="dxa"/>
                  <w:vAlign w:val="center"/>
                </w:tcPr>
                <w:p>
                  <w:pPr>
                    <w:pStyle w:val="45"/>
                    <w:rPr>
                      <w:b/>
                      <w:bCs/>
                      <w:kern w:val="0"/>
                      <w:szCs w:val="20"/>
                    </w:rPr>
                  </w:pPr>
                  <w:r>
                    <w:rPr>
                      <w:rFonts w:hint="eastAsia"/>
                      <w:kern w:val="0"/>
                      <w:szCs w:val="20"/>
                    </w:rPr>
                    <w:t>闪点不小于2</w:t>
                  </w:r>
                  <w:r>
                    <w:rPr>
                      <w:kern w:val="0"/>
                      <w:szCs w:val="20"/>
                    </w:rPr>
                    <w:t>3</w:t>
                  </w:r>
                  <w:r>
                    <w:rPr>
                      <w:rFonts w:hint="eastAsia"/>
                      <w:color w:val="000000"/>
                      <w:kern w:val="0"/>
                      <w:szCs w:val="20"/>
                    </w:rPr>
                    <w:t>℃且不大于6</w:t>
                  </w:r>
                  <w:r>
                    <w:rPr>
                      <w:color w:val="000000"/>
                      <w:kern w:val="0"/>
                      <w:szCs w:val="20"/>
                    </w:rPr>
                    <w:t>0</w:t>
                  </w:r>
                  <w:r>
                    <w:rPr>
                      <w:rFonts w:hint="eastAsia"/>
                      <w:color w:val="000000"/>
                      <w:kern w:val="0"/>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57" w:type="dxa"/>
                  <w:vAlign w:val="center"/>
                </w:tcPr>
                <w:p>
                  <w:pPr>
                    <w:pStyle w:val="45"/>
                    <w:rPr>
                      <w:kern w:val="0"/>
                      <w:szCs w:val="20"/>
                    </w:rPr>
                  </w:pPr>
                  <w:r>
                    <w:rPr>
                      <w:rFonts w:hint="eastAsia"/>
                      <w:kern w:val="0"/>
                      <w:szCs w:val="20"/>
                    </w:rPr>
                    <w:t>4</w:t>
                  </w:r>
                </w:p>
              </w:tc>
              <w:tc>
                <w:tcPr>
                  <w:tcW w:w="5701" w:type="dxa"/>
                  <w:vAlign w:val="center"/>
                </w:tcPr>
                <w:p>
                  <w:pPr>
                    <w:pStyle w:val="45"/>
                    <w:rPr>
                      <w:kern w:val="0"/>
                      <w:szCs w:val="20"/>
                    </w:rPr>
                  </w:pPr>
                  <w:r>
                    <w:rPr>
                      <w:rFonts w:hint="eastAsia"/>
                      <w:kern w:val="0"/>
                      <w:szCs w:val="20"/>
                    </w:rPr>
                    <w:t>闪点大于6</w:t>
                  </w:r>
                  <w:r>
                    <w:rPr>
                      <w:kern w:val="0"/>
                      <w:szCs w:val="20"/>
                    </w:rPr>
                    <w:t>0</w:t>
                  </w:r>
                  <w:r>
                    <w:rPr>
                      <w:rFonts w:hint="eastAsia"/>
                      <w:color w:val="000000"/>
                      <w:kern w:val="0"/>
                      <w:szCs w:val="20"/>
                    </w:rPr>
                    <w:t>℃且不大于9</w:t>
                  </w:r>
                  <w:r>
                    <w:rPr>
                      <w:color w:val="000000"/>
                      <w:kern w:val="0"/>
                      <w:szCs w:val="20"/>
                    </w:rPr>
                    <w:t>0</w:t>
                  </w:r>
                  <w:r>
                    <w:rPr>
                      <w:rFonts w:hint="eastAsia"/>
                      <w:color w:val="000000"/>
                      <w:kern w:val="0"/>
                      <w:szCs w:val="20"/>
                    </w:rPr>
                    <w:t>℃</w:t>
                  </w:r>
                </w:p>
              </w:tc>
            </w:tr>
          </w:tbl>
          <w:p>
            <w:pPr>
              <w:pStyle w:val="45"/>
              <w:rPr>
                <w:b/>
                <w:bCs/>
              </w:rPr>
            </w:pPr>
            <w:r>
              <w:rPr>
                <w:rFonts w:hint="eastAsia"/>
                <w:b/>
                <w:bCs/>
              </w:rPr>
              <w:t>表7</w:t>
            </w:r>
            <w:r>
              <w:rPr>
                <w:b/>
                <w:bCs/>
              </w:rPr>
              <w:t xml:space="preserve">-11 </w:t>
            </w:r>
            <w:r>
              <w:rPr>
                <w:rFonts w:hint="eastAsia"/>
                <w:b/>
                <w:bCs/>
              </w:rPr>
              <w:t>危险品类别及临界量</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8"/>
              <w:gridCol w:w="850"/>
              <w:gridCol w:w="5528"/>
              <w:gridCol w:w="13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8" w:type="dxa"/>
                  <w:vAlign w:val="center"/>
                </w:tcPr>
                <w:p>
                  <w:pPr>
                    <w:pStyle w:val="45"/>
                    <w:rPr>
                      <w:kern w:val="0"/>
                      <w:szCs w:val="20"/>
                    </w:rPr>
                  </w:pPr>
                  <w:r>
                    <w:rPr>
                      <w:rFonts w:hint="eastAsia"/>
                      <w:kern w:val="0"/>
                      <w:szCs w:val="20"/>
                    </w:rPr>
                    <w:t>类别</w:t>
                  </w:r>
                </w:p>
              </w:tc>
              <w:tc>
                <w:tcPr>
                  <w:tcW w:w="850" w:type="dxa"/>
                  <w:vAlign w:val="center"/>
                </w:tcPr>
                <w:p>
                  <w:pPr>
                    <w:pStyle w:val="45"/>
                    <w:rPr>
                      <w:kern w:val="0"/>
                      <w:szCs w:val="20"/>
                    </w:rPr>
                  </w:pPr>
                  <w:r>
                    <w:rPr>
                      <w:rFonts w:hint="eastAsia"/>
                      <w:kern w:val="0"/>
                      <w:szCs w:val="20"/>
                    </w:rPr>
                    <w:t>符号</w:t>
                  </w:r>
                </w:p>
              </w:tc>
              <w:tc>
                <w:tcPr>
                  <w:tcW w:w="5528" w:type="dxa"/>
                  <w:vAlign w:val="center"/>
                </w:tcPr>
                <w:p>
                  <w:pPr>
                    <w:pStyle w:val="45"/>
                    <w:rPr>
                      <w:kern w:val="0"/>
                      <w:szCs w:val="20"/>
                    </w:rPr>
                  </w:pPr>
                  <w:r>
                    <w:rPr>
                      <w:rFonts w:hint="eastAsia"/>
                      <w:kern w:val="0"/>
                      <w:szCs w:val="20"/>
                    </w:rPr>
                    <w:t>危险性分类及说明</w:t>
                  </w:r>
                </w:p>
              </w:tc>
              <w:tc>
                <w:tcPr>
                  <w:tcW w:w="1312" w:type="dxa"/>
                  <w:vAlign w:val="center"/>
                </w:tcPr>
                <w:p>
                  <w:pPr>
                    <w:pStyle w:val="45"/>
                    <w:rPr>
                      <w:kern w:val="0"/>
                      <w:szCs w:val="20"/>
                    </w:rPr>
                  </w:pPr>
                  <w:r>
                    <w:rPr>
                      <w:rFonts w:hint="eastAsia"/>
                      <w:kern w:val="0"/>
                      <w:szCs w:val="20"/>
                    </w:rPr>
                    <w:t>临界量/</w:t>
                  </w:r>
                  <w:r>
                    <w:rPr>
                      <w:kern w:val="0"/>
                      <w:szCs w:val="20"/>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8" w:type="dxa"/>
                  <w:vMerge w:val="restart"/>
                  <w:vAlign w:val="center"/>
                </w:tcPr>
                <w:p>
                  <w:pPr>
                    <w:pStyle w:val="45"/>
                    <w:rPr>
                      <w:kern w:val="0"/>
                      <w:szCs w:val="20"/>
                    </w:rPr>
                  </w:pPr>
                  <w:r>
                    <w:rPr>
                      <w:rFonts w:hint="eastAsia"/>
                      <w:kern w:val="0"/>
                      <w:szCs w:val="20"/>
                    </w:rPr>
                    <w:t>易燃</w:t>
                  </w:r>
                </w:p>
                <w:p>
                  <w:pPr>
                    <w:pStyle w:val="45"/>
                    <w:rPr>
                      <w:kern w:val="0"/>
                      <w:szCs w:val="20"/>
                    </w:rPr>
                  </w:pPr>
                  <w:r>
                    <w:rPr>
                      <w:rFonts w:hint="eastAsia"/>
                      <w:kern w:val="0"/>
                      <w:szCs w:val="20"/>
                    </w:rPr>
                    <w:t>液体</w:t>
                  </w:r>
                </w:p>
              </w:tc>
              <w:tc>
                <w:tcPr>
                  <w:tcW w:w="850" w:type="dxa"/>
                  <w:vAlign w:val="center"/>
                </w:tcPr>
                <w:p>
                  <w:pPr>
                    <w:pStyle w:val="45"/>
                    <w:rPr>
                      <w:kern w:val="0"/>
                      <w:szCs w:val="20"/>
                    </w:rPr>
                  </w:pPr>
                  <w:r>
                    <w:rPr>
                      <w:rFonts w:hint="eastAsia"/>
                      <w:kern w:val="0"/>
                      <w:szCs w:val="20"/>
                    </w:rPr>
                    <w:t>W</w:t>
                  </w:r>
                  <w:r>
                    <w:rPr>
                      <w:kern w:val="0"/>
                      <w:szCs w:val="20"/>
                    </w:rPr>
                    <w:t>5.1</w:t>
                  </w:r>
                </w:p>
              </w:tc>
              <w:tc>
                <w:tcPr>
                  <w:tcW w:w="5528" w:type="dxa"/>
                  <w:vAlign w:val="center"/>
                </w:tcPr>
                <w:p>
                  <w:pPr>
                    <w:pStyle w:val="45"/>
                    <w:jc w:val="left"/>
                    <w:rPr>
                      <w:kern w:val="0"/>
                      <w:szCs w:val="20"/>
                    </w:rPr>
                  </w:pPr>
                  <w:r>
                    <w:rPr>
                      <w:rFonts w:hint="eastAsia" w:ascii="宋体" w:hAnsi="宋体"/>
                      <w:kern w:val="0"/>
                      <w:szCs w:val="20"/>
                    </w:rPr>
                    <w:t>—</w:t>
                  </w:r>
                  <w:r>
                    <w:rPr>
                      <w:rFonts w:hint="eastAsia"/>
                      <w:kern w:val="0"/>
                      <w:szCs w:val="20"/>
                    </w:rPr>
                    <w:t>类别1</w:t>
                  </w:r>
                </w:p>
                <w:p>
                  <w:pPr>
                    <w:pStyle w:val="45"/>
                    <w:jc w:val="left"/>
                    <w:rPr>
                      <w:kern w:val="0"/>
                      <w:szCs w:val="20"/>
                    </w:rPr>
                  </w:pPr>
                  <w:r>
                    <w:rPr>
                      <w:rFonts w:hint="eastAsia" w:ascii="宋体" w:hAnsi="宋体"/>
                      <w:kern w:val="0"/>
                      <w:szCs w:val="20"/>
                    </w:rPr>
                    <w:t>—</w:t>
                  </w:r>
                  <w:r>
                    <w:rPr>
                      <w:rFonts w:hint="eastAsia"/>
                      <w:kern w:val="0"/>
                      <w:szCs w:val="20"/>
                    </w:rPr>
                    <w:t>类别2和3，工作温度高于沸点</w:t>
                  </w:r>
                </w:p>
              </w:tc>
              <w:tc>
                <w:tcPr>
                  <w:tcW w:w="1312" w:type="dxa"/>
                  <w:vAlign w:val="center"/>
                </w:tcPr>
                <w:p>
                  <w:pPr>
                    <w:pStyle w:val="45"/>
                    <w:rPr>
                      <w:kern w:val="0"/>
                      <w:szCs w:val="20"/>
                    </w:rPr>
                  </w:pPr>
                  <w:r>
                    <w:rPr>
                      <w:rFonts w:hint="eastAsia"/>
                      <w:kern w:val="0"/>
                      <w:szCs w:val="20"/>
                    </w:rPr>
                    <w:t>1</w:t>
                  </w:r>
                  <w:r>
                    <w:rPr>
                      <w:kern w:val="0"/>
                      <w:szCs w:val="20"/>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8" w:type="dxa"/>
                  <w:vMerge w:val="continue"/>
                  <w:vAlign w:val="center"/>
                </w:tcPr>
                <w:p>
                  <w:pPr>
                    <w:pStyle w:val="45"/>
                    <w:rPr>
                      <w:kern w:val="0"/>
                      <w:szCs w:val="20"/>
                    </w:rPr>
                  </w:pPr>
                </w:p>
              </w:tc>
              <w:tc>
                <w:tcPr>
                  <w:tcW w:w="850" w:type="dxa"/>
                  <w:vAlign w:val="center"/>
                </w:tcPr>
                <w:p>
                  <w:pPr>
                    <w:pStyle w:val="45"/>
                    <w:rPr>
                      <w:kern w:val="0"/>
                      <w:szCs w:val="20"/>
                    </w:rPr>
                  </w:pPr>
                  <w:r>
                    <w:rPr>
                      <w:rFonts w:hint="eastAsia"/>
                      <w:kern w:val="0"/>
                      <w:szCs w:val="20"/>
                    </w:rPr>
                    <w:t>W</w:t>
                  </w:r>
                  <w:r>
                    <w:rPr>
                      <w:kern w:val="0"/>
                      <w:szCs w:val="20"/>
                    </w:rPr>
                    <w:t>5.2</w:t>
                  </w:r>
                </w:p>
              </w:tc>
              <w:tc>
                <w:tcPr>
                  <w:tcW w:w="5528" w:type="dxa"/>
                  <w:vAlign w:val="center"/>
                </w:tcPr>
                <w:p>
                  <w:pPr>
                    <w:pStyle w:val="45"/>
                    <w:jc w:val="left"/>
                    <w:rPr>
                      <w:kern w:val="0"/>
                      <w:szCs w:val="20"/>
                    </w:rPr>
                  </w:pPr>
                  <w:r>
                    <w:rPr>
                      <w:rFonts w:hint="eastAsia" w:ascii="宋体" w:hAnsi="宋体"/>
                      <w:kern w:val="0"/>
                      <w:szCs w:val="20"/>
                    </w:rPr>
                    <w:t>—</w:t>
                  </w:r>
                  <w:r>
                    <w:rPr>
                      <w:rFonts w:hint="eastAsia"/>
                      <w:kern w:val="0"/>
                      <w:szCs w:val="20"/>
                    </w:rPr>
                    <w:t>类别2和3，，具有引发重大事故的特殊工艺条件，包括危险化工工艺、爆炸极限范围或附近操作、操作压力大于1</w:t>
                  </w:r>
                  <w:r>
                    <w:rPr>
                      <w:kern w:val="0"/>
                      <w:szCs w:val="20"/>
                    </w:rPr>
                    <w:t>.6MPa</w:t>
                  </w:r>
                  <w:r>
                    <w:rPr>
                      <w:rFonts w:hint="eastAsia"/>
                      <w:kern w:val="0"/>
                      <w:szCs w:val="20"/>
                    </w:rPr>
                    <w:t>等</w:t>
                  </w:r>
                </w:p>
              </w:tc>
              <w:tc>
                <w:tcPr>
                  <w:tcW w:w="1312" w:type="dxa"/>
                  <w:vAlign w:val="center"/>
                </w:tcPr>
                <w:p>
                  <w:pPr>
                    <w:pStyle w:val="45"/>
                    <w:rPr>
                      <w:kern w:val="0"/>
                      <w:szCs w:val="20"/>
                    </w:rPr>
                  </w:pPr>
                  <w:r>
                    <w:rPr>
                      <w:kern w:val="0"/>
                      <w:szCs w:val="20"/>
                    </w:rPr>
                    <w:t>50</w:t>
                  </w:r>
                </w:p>
              </w:tc>
            </w:tr>
            <w:tr>
              <w:tblPrEx>
                <w:tblCellMar>
                  <w:top w:w="0" w:type="dxa"/>
                  <w:left w:w="108" w:type="dxa"/>
                  <w:bottom w:w="0" w:type="dxa"/>
                  <w:right w:w="108" w:type="dxa"/>
                </w:tblCellMar>
              </w:tblPrEx>
              <w:trPr>
                <w:jc w:val="center"/>
              </w:trPr>
              <w:tc>
                <w:tcPr>
                  <w:tcW w:w="868" w:type="dxa"/>
                  <w:vMerge w:val="continue"/>
                  <w:vAlign w:val="center"/>
                </w:tcPr>
                <w:p>
                  <w:pPr>
                    <w:pStyle w:val="45"/>
                    <w:rPr>
                      <w:kern w:val="0"/>
                      <w:szCs w:val="20"/>
                    </w:rPr>
                  </w:pPr>
                </w:p>
              </w:tc>
              <w:tc>
                <w:tcPr>
                  <w:tcW w:w="850" w:type="dxa"/>
                  <w:vAlign w:val="center"/>
                </w:tcPr>
                <w:p>
                  <w:pPr>
                    <w:pStyle w:val="45"/>
                    <w:rPr>
                      <w:kern w:val="0"/>
                      <w:szCs w:val="20"/>
                    </w:rPr>
                  </w:pPr>
                  <w:r>
                    <w:rPr>
                      <w:rFonts w:hint="eastAsia"/>
                      <w:kern w:val="0"/>
                      <w:szCs w:val="20"/>
                    </w:rPr>
                    <w:t>W</w:t>
                  </w:r>
                  <w:r>
                    <w:rPr>
                      <w:kern w:val="0"/>
                      <w:szCs w:val="20"/>
                    </w:rPr>
                    <w:t>5.3</w:t>
                  </w:r>
                </w:p>
              </w:tc>
              <w:tc>
                <w:tcPr>
                  <w:tcW w:w="5528" w:type="dxa"/>
                  <w:vAlign w:val="center"/>
                </w:tcPr>
                <w:p>
                  <w:pPr>
                    <w:pStyle w:val="45"/>
                    <w:jc w:val="left"/>
                    <w:rPr>
                      <w:kern w:val="0"/>
                      <w:szCs w:val="20"/>
                    </w:rPr>
                  </w:pPr>
                  <w:r>
                    <w:rPr>
                      <w:rFonts w:hint="eastAsia" w:ascii="宋体" w:hAnsi="宋体"/>
                      <w:kern w:val="0"/>
                      <w:szCs w:val="20"/>
                    </w:rPr>
                    <w:t>—不属于W</w:t>
                  </w:r>
                  <w:r>
                    <w:rPr>
                      <w:rFonts w:ascii="宋体" w:hAnsi="宋体"/>
                      <w:kern w:val="0"/>
                      <w:szCs w:val="20"/>
                    </w:rPr>
                    <w:t>5.1</w:t>
                  </w:r>
                  <w:r>
                    <w:rPr>
                      <w:rFonts w:hint="eastAsia" w:ascii="宋体" w:hAnsi="宋体"/>
                      <w:kern w:val="0"/>
                      <w:szCs w:val="20"/>
                    </w:rPr>
                    <w:t>或W</w:t>
                  </w:r>
                  <w:r>
                    <w:rPr>
                      <w:rFonts w:ascii="宋体" w:hAnsi="宋体"/>
                      <w:kern w:val="0"/>
                      <w:szCs w:val="20"/>
                    </w:rPr>
                    <w:t>5.2</w:t>
                  </w:r>
                  <w:r>
                    <w:rPr>
                      <w:rFonts w:hint="eastAsia" w:ascii="宋体" w:hAnsi="宋体"/>
                      <w:kern w:val="0"/>
                      <w:szCs w:val="20"/>
                    </w:rPr>
                    <w:t>的其他类别2</w:t>
                  </w:r>
                </w:p>
              </w:tc>
              <w:tc>
                <w:tcPr>
                  <w:tcW w:w="1312" w:type="dxa"/>
                  <w:vAlign w:val="center"/>
                </w:tcPr>
                <w:p>
                  <w:pPr>
                    <w:pStyle w:val="45"/>
                    <w:rPr>
                      <w:kern w:val="0"/>
                      <w:szCs w:val="20"/>
                    </w:rPr>
                  </w:pPr>
                  <w:r>
                    <w:rPr>
                      <w:rFonts w:hint="eastAsia"/>
                      <w:kern w:val="0"/>
                      <w:szCs w:val="20"/>
                    </w:rPr>
                    <w:t>1</w:t>
                  </w:r>
                  <w:r>
                    <w:rPr>
                      <w:kern w:val="0"/>
                      <w:szCs w:val="20"/>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8" w:type="dxa"/>
                  <w:vMerge w:val="continue"/>
                  <w:vAlign w:val="center"/>
                </w:tcPr>
                <w:p>
                  <w:pPr>
                    <w:pStyle w:val="45"/>
                    <w:rPr>
                      <w:kern w:val="0"/>
                      <w:szCs w:val="20"/>
                    </w:rPr>
                  </w:pPr>
                </w:p>
              </w:tc>
              <w:tc>
                <w:tcPr>
                  <w:tcW w:w="850" w:type="dxa"/>
                  <w:vAlign w:val="center"/>
                </w:tcPr>
                <w:p>
                  <w:pPr>
                    <w:pStyle w:val="45"/>
                    <w:rPr>
                      <w:kern w:val="0"/>
                      <w:szCs w:val="20"/>
                    </w:rPr>
                  </w:pPr>
                  <w:r>
                    <w:rPr>
                      <w:rFonts w:hint="eastAsia"/>
                      <w:kern w:val="0"/>
                      <w:szCs w:val="20"/>
                    </w:rPr>
                    <w:t>W</w:t>
                  </w:r>
                  <w:r>
                    <w:rPr>
                      <w:kern w:val="0"/>
                      <w:szCs w:val="20"/>
                    </w:rPr>
                    <w:t>5.4</w:t>
                  </w:r>
                </w:p>
              </w:tc>
              <w:tc>
                <w:tcPr>
                  <w:tcW w:w="5528" w:type="dxa"/>
                  <w:vAlign w:val="center"/>
                </w:tcPr>
                <w:p>
                  <w:pPr>
                    <w:pStyle w:val="45"/>
                    <w:jc w:val="left"/>
                    <w:rPr>
                      <w:kern w:val="0"/>
                      <w:szCs w:val="20"/>
                    </w:rPr>
                  </w:pPr>
                  <w:r>
                    <w:rPr>
                      <w:rFonts w:hint="eastAsia" w:ascii="宋体" w:hAnsi="宋体"/>
                      <w:kern w:val="0"/>
                      <w:szCs w:val="20"/>
                    </w:rPr>
                    <w:t>—不属于W</w:t>
                  </w:r>
                  <w:r>
                    <w:rPr>
                      <w:rFonts w:ascii="宋体" w:hAnsi="宋体"/>
                      <w:kern w:val="0"/>
                      <w:szCs w:val="20"/>
                    </w:rPr>
                    <w:t>5.1</w:t>
                  </w:r>
                  <w:r>
                    <w:rPr>
                      <w:rFonts w:hint="eastAsia" w:ascii="宋体" w:hAnsi="宋体"/>
                      <w:kern w:val="0"/>
                      <w:szCs w:val="20"/>
                    </w:rPr>
                    <w:t>或W</w:t>
                  </w:r>
                  <w:r>
                    <w:rPr>
                      <w:rFonts w:ascii="宋体" w:hAnsi="宋体"/>
                      <w:kern w:val="0"/>
                      <w:szCs w:val="20"/>
                    </w:rPr>
                    <w:t>5.2</w:t>
                  </w:r>
                  <w:r>
                    <w:rPr>
                      <w:rFonts w:hint="eastAsia" w:ascii="宋体" w:hAnsi="宋体"/>
                      <w:kern w:val="0"/>
                      <w:szCs w:val="20"/>
                    </w:rPr>
                    <w:t>的其他类别3</w:t>
                  </w:r>
                </w:p>
              </w:tc>
              <w:tc>
                <w:tcPr>
                  <w:tcW w:w="1312" w:type="dxa"/>
                  <w:vAlign w:val="center"/>
                </w:tcPr>
                <w:p>
                  <w:pPr>
                    <w:pStyle w:val="45"/>
                    <w:rPr>
                      <w:kern w:val="0"/>
                      <w:szCs w:val="20"/>
                    </w:rPr>
                  </w:pPr>
                  <w:r>
                    <w:rPr>
                      <w:rFonts w:hint="eastAsia"/>
                      <w:kern w:val="0"/>
                      <w:szCs w:val="20"/>
                    </w:rPr>
                    <w:t>5</w:t>
                  </w:r>
                  <w:r>
                    <w:rPr>
                      <w:kern w:val="0"/>
                      <w:szCs w:val="20"/>
                    </w:rPr>
                    <w:t>000</w:t>
                  </w:r>
                </w:p>
              </w:tc>
            </w:tr>
          </w:tbl>
          <w:p>
            <w:pPr>
              <w:ind w:firstLine="0" w:firstLineChars="0"/>
              <w:rPr>
                <w:rFonts w:cs="Times New Roman"/>
              </w:rPr>
            </w:pPr>
            <w:r>
              <w:rPr>
                <w:rFonts w:hint="eastAsia" w:cs="Times New Roman"/>
                <w:b/>
                <w:bCs/>
              </w:rPr>
              <w:t xml:space="preserve"> </w:t>
            </w:r>
            <w:r>
              <w:rPr>
                <w:rFonts w:cs="Times New Roman"/>
                <w:b/>
                <w:bCs/>
              </w:rPr>
              <w:t xml:space="preserve">   </w:t>
            </w:r>
            <w:r>
              <w:rPr>
                <w:rFonts w:hint="eastAsia" w:cs="Times New Roman"/>
              </w:rPr>
              <w:t>由上表及煤油的物理性质可知，煤油属于3类易燃液体，物理危险性符号为W</w:t>
            </w:r>
            <w:r>
              <w:rPr>
                <w:rFonts w:cs="Times New Roman"/>
              </w:rPr>
              <w:t>5.4</w:t>
            </w:r>
            <w:r>
              <w:rPr>
                <w:rFonts w:hint="eastAsia" w:cs="Times New Roman"/>
              </w:rPr>
              <w:t>，临界量为5</w:t>
            </w:r>
            <w:r>
              <w:rPr>
                <w:rFonts w:cs="Times New Roman"/>
              </w:rPr>
              <w:t>000t</w:t>
            </w:r>
            <w:r>
              <w:rPr>
                <w:rFonts w:hint="eastAsia" w:cs="Times New Roman"/>
              </w:rPr>
              <w:t>。</w:t>
            </w:r>
          </w:p>
          <w:p>
            <w:pPr>
              <w:ind w:firstLine="0" w:firstLineChars="0"/>
              <w:rPr>
                <w:rFonts w:cs="Times New Roman"/>
                <w:b/>
                <w:bCs/>
              </w:rPr>
            </w:pPr>
            <w:r>
              <w:rPr>
                <w:rFonts w:hint="eastAsia" w:cs="Times New Roman"/>
                <w:b/>
                <w:bCs/>
              </w:rPr>
              <w:t>7</w:t>
            </w:r>
            <w:r>
              <w:rPr>
                <w:rFonts w:cs="Times New Roman"/>
                <w:b/>
                <w:bCs/>
              </w:rPr>
              <w:t>.3.1.2风险潜势判定</w:t>
            </w:r>
          </w:p>
          <w:p>
            <w:pPr>
              <w:ind w:firstLine="480"/>
              <w:rPr>
                <w:rFonts w:cs="Times New Roman"/>
              </w:rPr>
            </w:pPr>
            <w:r>
              <w:rPr>
                <w:rFonts w:cs="Times New Roman"/>
              </w:rPr>
              <w:t>根据《建设项目环境风险评价技术导则》（HJ169-2018），建设项目环境风险潜势划分为</w:t>
            </w:r>
            <w:r>
              <w:rPr>
                <w:rFonts w:hint="eastAsia" w:ascii="宋体" w:hAnsi="宋体" w:cs="宋体"/>
              </w:rPr>
              <w:t>Ⅰ</w:t>
            </w:r>
            <w:r>
              <w:rPr>
                <w:rFonts w:cs="Times New Roman"/>
              </w:rPr>
              <w:t>、</w:t>
            </w:r>
            <w:r>
              <w:rPr>
                <w:rFonts w:hint="eastAsia" w:ascii="宋体" w:hAnsi="宋体" w:cs="宋体"/>
              </w:rPr>
              <w:t>Ⅱ</w:t>
            </w:r>
            <w:r>
              <w:rPr>
                <w:rFonts w:cs="Times New Roman"/>
              </w:rPr>
              <w:t>、</w:t>
            </w:r>
            <w:r>
              <w:rPr>
                <w:rFonts w:hint="eastAsia" w:ascii="宋体" w:hAnsi="宋体" w:cs="宋体"/>
              </w:rPr>
              <w:t>Ⅲ</w:t>
            </w:r>
            <w:r>
              <w:rPr>
                <w:rFonts w:cs="Times New Roman"/>
              </w:rPr>
              <w:t>、</w:t>
            </w:r>
            <w:r>
              <w:rPr>
                <w:rFonts w:hint="eastAsia" w:ascii="宋体" w:hAnsi="宋体" w:cs="宋体"/>
              </w:rPr>
              <w:t>Ⅳ</w:t>
            </w:r>
            <w:r>
              <w:rPr>
                <w:rFonts w:cs="Times New Roman"/>
              </w:rPr>
              <w:t>/</w:t>
            </w:r>
            <w:r>
              <w:rPr>
                <w:rFonts w:hint="eastAsia" w:ascii="宋体" w:hAnsi="宋体" w:cs="宋体"/>
              </w:rPr>
              <w:t>Ⅳ</w:t>
            </w:r>
            <w:r>
              <w:rPr>
                <w:rFonts w:cs="Times New Roman"/>
              </w:rPr>
              <w:t xml:space="preserve">+级。根据建设项目涉及的物质和工艺系统的危险性及其所在地的环境敏感程度，结合事故情形下环境影响途径，对建设项目潜在环境危害程度进行概化分析，按照表7.11确定环境风险潜势。 </w:t>
            </w:r>
          </w:p>
          <w:p>
            <w:pPr>
              <w:ind w:firstLine="0" w:firstLineChars="0"/>
              <w:jc w:val="center"/>
              <w:rPr>
                <w:rFonts w:cs="Times New Roman"/>
                <w:b/>
                <w:bCs/>
                <w:sz w:val="21"/>
                <w:szCs w:val="21"/>
              </w:rPr>
            </w:pPr>
            <w:r>
              <w:rPr>
                <w:rFonts w:cs="Times New Roman"/>
                <w:b/>
                <w:bCs/>
                <w:sz w:val="21"/>
                <w:szCs w:val="21"/>
              </w:rPr>
              <w:t>表7.12 建设项目环境风险潜势划分</w:t>
            </w:r>
          </w:p>
          <w:tbl>
            <w:tblPr>
              <w:tblStyle w:val="50"/>
              <w:tblW w:w="869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40"/>
              <w:gridCol w:w="1538"/>
              <w:gridCol w:w="1739"/>
              <w:gridCol w:w="1739"/>
              <w:gridCol w:w="1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940" w:type="dxa"/>
                  <w:vMerge w:val="restart"/>
                  <w:vAlign w:val="center"/>
                </w:tcPr>
                <w:p>
                  <w:pPr>
                    <w:pStyle w:val="45"/>
                    <w:rPr>
                      <w:kern w:val="0"/>
                      <w:szCs w:val="20"/>
                    </w:rPr>
                  </w:pPr>
                  <w:r>
                    <w:rPr>
                      <w:kern w:val="0"/>
                      <w:szCs w:val="20"/>
                    </w:rPr>
                    <w:t>环境敏感程度（E）</w:t>
                  </w:r>
                </w:p>
              </w:tc>
              <w:tc>
                <w:tcPr>
                  <w:tcW w:w="6755" w:type="dxa"/>
                  <w:gridSpan w:val="4"/>
                  <w:vAlign w:val="center"/>
                </w:tcPr>
                <w:p>
                  <w:pPr>
                    <w:pStyle w:val="45"/>
                    <w:rPr>
                      <w:kern w:val="0"/>
                      <w:szCs w:val="20"/>
                    </w:rPr>
                  </w:pPr>
                  <w:r>
                    <w:rPr>
                      <w:kern w:val="0"/>
                      <w:szCs w:val="20"/>
                    </w:rPr>
                    <w:t>危险物质及工艺系统危害性（P）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940" w:type="dxa"/>
                  <w:vMerge w:val="continue"/>
                  <w:vAlign w:val="center"/>
                </w:tcPr>
                <w:p>
                  <w:pPr>
                    <w:pStyle w:val="45"/>
                    <w:rPr>
                      <w:kern w:val="0"/>
                      <w:szCs w:val="20"/>
                    </w:rPr>
                  </w:pPr>
                </w:p>
              </w:tc>
              <w:tc>
                <w:tcPr>
                  <w:tcW w:w="1538" w:type="dxa"/>
                  <w:vAlign w:val="center"/>
                </w:tcPr>
                <w:p>
                  <w:pPr>
                    <w:pStyle w:val="45"/>
                    <w:rPr>
                      <w:kern w:val="0"/>
                      <w:szCs w:val="20"/>
                    </w:rPr>
                  </w:pPr>
                  <w:r>
                    <w:rPr>
                      <w:kern w:val="0"/>
                      <w:szCs w:val="20"/>
                    </w:rPr>
                    <w:t>极高危害（P1）</w:t>
                  </w:r>
                </w:p>
              </w:tc>
              <w:tc>
                <w:tcPr>
                  <w:tcW w:w="1739" w:type="dxa"/>
                  <w:vAlign w:val="center"/>
                </w:tcPr>
                <w:p>
                  <w:pPr>
                    <w:pStyle w:val="45"/>
                    <w:rPr>
                      <w:kern w:val="0"/>
                      <w:szCs w:val="20"/>
                    </w:rPr>
                  </w:pPr>
                  <w:r>
                    <w:rPr>
                      <w:kern w:val="0"/>
                      <w:szCs w:val="20"/>
                    </w:rPr>
                    <w:t>高度危害（P2）</w:t>
                  </w:r>
                </w:p>
              </w:tc>
              <w:tc>
                <w:tcPr>
                  <w:tcW w:w="1739" w:type="dxa"/>
                  <w:vAlign w:val="center"/>
                </w:tcPr>
                <w:p>
                  <w:pPr>
                    <w:pStyle w:val="45"/>
                    <w:rPr>
                      <w:kern w:val="0"/>
                      <w:szCs w:val="20"/>
                    </w:rPr>
                  </w:pPr>
                  <w:r>
                    <w:rPr>
                      <w:kern w:val="0"/>
                      <w:szCs w:val="20"/>
                    </w:rPr>
                    <w:t>中度危害（P3）</w:t>
                  </w:r>
                </w:p>
              </w:tc>
              <w:tc>
                <w:tcPr>
                  <w:tcW w:w="1739" w:type="dxa"/>
                  <w:vAlign w:val="center"/>
                </w:tcPr>
                <w:p>
                  <w:pPr>
                    <w:pStyle w:val="45"/>
                    <w:rPr>
                      <w:kern w:val="0"/>
                      <w:szCs w:val="20"/>
                    </w:rPr>
                  </w:pPr>
                  <w:r>
                    <w:rPr>
                      <w:kern w:val="0"/>
                      <w:szCs w:val="20"/>
                    </w:rPr>
                    <w:t>轻度危害（P4）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40" w:type="dxa"/>
                  <w:vAlign w:val="center"/>
                </w:tcPr>
                <w:p>
                  <w:pPr>
                    <w:pStyle w:val="45"/>
                    <w:rPr>
                      <w:kern w:val="0"/>
                      <w:szCs w:val="20"/>
                    </w:rPr>
                  </w:pPr>
                  <w:r>
                    <w:rPr>
                      <w:kern w:val="0"/>
                      <w:szCs w:val="20"/>
                    </w:rPr>
                    <w:t>环境高度敏感区（E1）</w:t>
                  </w:r>
                </w:p>
              </w:tc>
              <w:tc>
                <w:tcPr>
                  <w:tcW w:w="1538" w:type="dxa"/>
                  <w:vAlign w:val="center"/>
                </w:tcPr>
                <w:p>
                  <w:pPr>
                    <w:pStyle w:val="45"/>
                    <w:rPr>
                      <w:kern w:val="0"/>
                      <w:szCs w:val="20"/>
                    </w:rPr>
                  </w:pPr>
                  <w:r>
                    <w:rPr>
                      <w:rFonts w:hint="eastAsia" w:ascii="宋体" w:hAnsi="宋体" w:cs="宋体"/>
                      <w:kern w:val="0"/>
                      <w:szCs w:val="20"/>
                    </w:rPr>
                    <w:t>Ⅳ</w:t>
                  </w:r>
                  <w:r>
                    <w:rPr>
                      <w:kern w:val="0"/>
                      <w:szCs w:val="20"/>
                      <w:vertAlign w:val="superscript"/>
                    </w:rPr>
                    <w:t>+</w:t>
                  </w:r>
                </w:p>
              </w:tc>
              <w:tc>
                <w:tcPr>
                  <w:tcW w:w="1739" w:type="dxa"/>
                  <w:vAlign w:val="center"/>
                </w:tcPr>
                <w:p>
                  <w:pPr>
                    <w:pStyle w:val="45"/>
                    <w:rPr>
                      <w:kern w:val="0"/>
                      <w:szCs w:val="20"/>
                    </w:rPr>
                  </w:pPr>
                  <w:r>
                    <w:rPr>
                      <w:rFonts w:hint="eastAsia" w:ascii="宋体" w:hAnsi="宋体" w:cs="宋体"/>
                      <w:kern w:val="0"/>
                      <w:szCs w:val="20"/>
                    </w:rPr>
                    <w:t>Ⅳ</w:t>
                  </w:r>
                </w:p>
              </w:tc>
              <w:tc>
                <w:tcPr>
                  <w:tcW w:w="1739" w:type="dxa"/>
                  <w:vAlign w:val="center"/>
                </w:tcPr>
                <w:p>
                  <w:pPr>
                    <w:pStyle w:val="45"/>
                    <w:rPr>
                      <w:kern w:val="0"/>
                      <w:szCs w:val="20"/>
                    </w:rPr>
                  </w:pPr>
                  <w:r>
                    <w:rPr>
                      <w:rFonts w:hint="eastAsia" w:ascii="宋体" w:hAnsi="宋体" w:cs="宋体"/>
                      <w:kern w:val="0"/>
                      <w:szCs w:val="20"/>
                    </w:rPr>
                    <w:t>Ⅲ</w:t>
                  </w:r>
                </w:p>
              </w:tc>
              <w:tc>
                <w:tcPr>
                  <w:tcW w:w="1739" w:type="dxa"/>
                  <w:vAlign w:val="center"/>
                </w:tcPr>
                <w:p>
                  <w:pPr>
                    <w:pStyle w:val="45"/>
                    <w:rPr>
                      <w:kern w:val="0"/>
                      <w:szCs w:val="20"/>
                    </w:rPr>
                  </w:pPr>
                  <w:r>
                    <w:rPr>
                      <w:rFonts w:hint="eastAsia" w:ascii="宋体" w:hAnsi="宋体" w:cs="宋体"/>
                      <w:kern w:val="0"/>
                      <w:szCs w:val="20"/>
                    </w:rPr>
                    <w:t>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940" w:type="dxa"/>
                  <w:vAlign w:val="center"/>
                </w:tcPr>
                <w:p>
                  <w:pPr>
                    <w:pStyle w:val="45"/>
                    <w:rPr>
                      <w:kern w:val="0"/>
                      <w:szCs w:val="20"/>
                    </w:rPr>
                  </w:pPr>
                  <w:r>
                    <w:rPr>
                      <w:kern w:val="0"/>
                      <w:szCs w:val="20"/>
                    </w:rPr>
                    <w:t>环境中度敏感区（E2）</w:t>
                  </w:r>
                </w:p>
              </w:tc>
              <w:tc>
                <w:tcPr>
                  <w:tcW w:w="1538" w:type="dxa"/>
                  <w:vAlign w:val="center"/>
                </w:tcPr>
                <w:p>
                  <w:pPr>
                    <w:pStyle w:val="45"/>
                    <w:rPr>
                      <w:kern w:val="0"/>
                      <w:szCs w:val="20"/>
                    </w:rPr>
                  </w:pPr>
                  <w:r>
                    <w:rPr>
                      <w:rFonts w:hint="eastAsia" w:ascii="宋体" w:hAnsi="宋体" w:cs="宋体"/>
                      <w:kern w:val="0"/>
                      <w:szCs w:val="20"/>
                    </w:rPr>
                    <w:t>Ⅳ</w:t>
                  </w:r>
                </w:p>
              </w:tc>
              <w:tc>
                <w:tcPr>
                  <w:tcW w:w="1739" w:type="dxa"/>
                  <w:vAlign w:val="center"/>
                </w:tcPr>
                <w:p>
                  <w:pPr>
                    <w:pStyle w:val="45"/>
                    <w:rPr>
                      <w:kern w:val="0"/>
                      <w:szCs w:val="20"/>
                    </w:rPr>
                  </w:pPr>
                  <w:r>
                    <w:rPr>
                      <w:rFonts w:hint="eastAsia" w:ascii="宋体" w:hAnsi="宋体" w:cs="宋体"/>
                      <w:kern w:val="0"/>
                      <w:szCs w:val="20"/>
                    </w:rPr>
                    <w:t>Ⅲ</w:t>
                  </w:r>
                </w:p>
              </w:tc>
              <w:tc>
                <w:tcPr>
                  <w:tcW w:w="1739" w:type="dxa"/>
                  <w:vAlign w:val="center"/>
                </w:tcPr>
                <w:p>
                  <w:pPr>
                    <w:pStyle w:val="45"/>
                    <w:rPr>
                      <w:kern w:val="0"/>
                      <w:szCs w:val="20"/>
                    </w:rPr>
                  </w:pPr>
                  <w:r>
                    <w:rPr>
                      <w:rFonts w:hint="eastAsia" w:ascii="宋体" w:hAnsi="宋体" w:cs="宋体"/>
                      <w:kern w:val="0"/>
                      <w:szCs w:val="20"/>
                    </w:rPr>
                    <w:t>Ⅲ</w:t>
                  </w:r>
                </w:p>
              </w:tc>
              <w:tc>
                <w:tcPr>
                  <w:tcW w:w="1739" w:type="dxa"/>
                  <w:vAlign w:val="center"/>
                </w:tcPr>
                <w:p>
                  <w:pPr>
                    <w:pStyle w:val="45"/>
                    <w:rPr>
                      <w:kern w:val="0"/>
                      <w:szCs w:val="20"/>
                    </w:rPr>
                  </w:pPr>
                  <w:r>
                    <w:rPr>
                      <w:rFonts w:hint="eastAsia" w:ascii="宋体" w:hAnsi="宋体" w:cs="宋体"/>
                      <w:kern w:val="0"/>
                      <w:szCs w:val="20"/>
                    </w:rPr>
                    <w:t>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1940" w:type="dxa"/>
                  <w:vAlign w:val="center"/>
                </w:tcPr>
                <w:p>
                  <w:pPr>
                    <w:pStyle w:val="45"/>
                    <w:rPr>
                      <w:kern w:val="0"/>
                      <w:szCs w:val="20"/>
                    </w:rPr>
                  </w:pPr>
                  <w:r>
                    <w:rPr>
                      <w:kern w:val="0"/>
                      <w:szCs w:val="20"/>
                    </w:rPr>
                    <w:t>环境低度敏感区（E3）</w:t>
                  </w:r>
                </w:p>
              </w:tc>
              <w:tc>
                <w:tcPr>
                  <w:tcW w:w="1538" w:type="dxa"/>
                  <w:vAlign w:val="center"/>
                </w:tcPr>
                <w:p>
                  <w:pPr>
                    <w:pStyle w:val="45"/>
                    <w:rPr>
                      <w:kern w:val="0"/>
                      <w:szCs w:val="20"/>
                    </w:rPr>
                  </w:pPr>
                  <w:r>
                    <w:rPr>
                      <w:rFonts w:hint="eastAsia" w:ascii="宋体" w:hAnsi="宋体" w:cs="宋体"/>
                      <w:kern w:val="0"/>
                      <w:szCs w:val="20"/>
                    </w:rPr>
                    <w:t>Ⅲ</w:t>
                  </w:r>
                </w:p>
              </w:tc>
              <w:tc>
                <w:tcPr>
                  <w:tcW w:w="1739" w:type="dxa"/>
                  <w:vAlign w:val="center"/>
                </w:tcPr>
                <w:p>
                  <w:pPr>
                    <w:pStyle w:val="45"/>
                    <w:rPr>
                      <w:kern w:val="0"/>
                      <w:szCs w:val="20"/>
                    </w:rPr>
                  </w:pPr>
                  <w:r>
                    <w:rPr>
                      <w:rFonts w:hint="eastAsia" w:ascii="宋体" w:hAnsi="宋体" w:cs="宋体"/>
                      <w:kern w:val="0"/>
                      <w:szCs w:val="20"/>
                    </w:rPr>
                    <w:t>Ⅲ</w:t>
                  </w:r>
                </w:p>
              </w:tc>
              <w:tc>
                <w:tcPr>
                  <w:tcW w:w="1739" w:type="dxa"/>
                  <w:vAlign w:val="center"/>
                </w:tcPr>
                <w:p>
                  <w:pPr>
                    <w:pStyle w:val="45"/>
                    <w:rPr>
                      <w:kern w:val="0"/>
                      <w:szCs w:val="20"/>
                    </w:rPr>
                  </w:pPr>
                  <w:r>
                    <w:rPr>
                      <w:rFonts w:hint="eastAsia" w:ascii="宋体" w:hAnsi="宋体" w:cs="宋体"/>
                      <w:kern w:val="0"/>
                      <w:szCs w:val="20"/>
                    </w:rPr>
                    <w:t>Ⅱ</w:t>
                  </w:r>
                </w:p>
              </w:tc>
              <w:tc>
                <w:tcPr>
                  <w:tcW w:w="1739" w:type="dxa"/>
                  <w:vAlign w:val="center"/>
                </w:tcPr>
                <w:p>
                  <w:pPr>
                    <w:pStyle w:val="45"/>
                    <w:rPr>
                      <w:kern w:val="0"/>
                      <w:szCs w:val="20"/>
                    </w:rPr>
                  </w:pPr>
                  <w:r>
                    <w:rPr>
                      <w:rFonts w:hint="eastAsia" w:ascii="宋体" w:hAnsi="宋体" w:cs="宋体"/>
                      <w:kern w:val="0"/>
                      <w:szCs w:val="20"/>
                    </w:rPr>
                    <w:t>Ⅰ</w:t>
                  </w:r>
                </w:p>
              </w:tc>
            </w:tr>
          </w:tbl>
          <w:p>
            <w:pPr>
              <w:ind w:firstLine="420"/>
              <w:rPr>
                <w:rFonts w:cs="Times New Roman"/>
                <w:sz w:val="21"/>
                <w:szCs w:val="21"/>
              </w:rPr>
            </w:pPr>
            <w:r>
              <w:rPr>
                <w:rFonts w:cs="Times New Roman"/>
                <w:sz w:val="21"/>
                <w:szCs w:val="21"/>
              </w:rPr>
              <w:t>注：</w:t>
            </w:r>
            <w:r>
              <w:rPr>
                <w:rFonts w:hint="eastAsia" w:ascii="宋体" w:hAnsi="宋体" w:cs="宋体"/>
                <w:sz w:val="21"/>
                <w:szCs w:val="21"/>
              </w:rPr>
              <w:t>Ⅳ</w:t>
            </w:r>
            <w:r>
              <w:rPr>
                <w:rFonts w:cs="Times New Roman"/>
                <w:sz w:val="21"/>
                <w:szCs w:val="21"/>
                <w:vertAlign w:val="superscript"/>
              </w:rPr>
              <w:t>+</w:t>
            </w:r>
            <w:r>
              <w:rPr>
                <w:rFonts w:cs="Times New Roman"/>
                <w:sz w:val="21"/>
                <w:szCs w:val="21"/>
              </w:rPr>
              <w:t>为极高环境风险。</w:t>
            </w:r>
          </w:p>
          <w:p>
            <w:pPr>
              <w:ind w:firstLine="480"/>
              <w:rPr>
                <w:rFonts w:cs="Times New Roman"/>
                <w:szCs w:val="24"/>
              </w:rPr>
            </w:pPr>
            <w:r>
              <w:rPr>
                <w:rFonts w:cs="Times New Roman"/>
                <w:szCs w:val="24"/>
              </w:rPr>
              <w:t>根据上表可知，风险潜势由危险物质及工艺系统危险性（P）与环境敏感程度（E）共同确定，而 P 的分级由危险物质数量与临界量的比值（Q）和所属行业及生产工艺特点（M） 共同确定。危险物质数量与临界量比值（Q）为每种危险物质在厂界内的最大存在总量与其在《建设 项目环境风险评价技术导则》（HJ169-2018）附录B中对应临界量的比值Q，当只涉及一 种危险物质时，计算该物质的总量与其临界量比值，即为Q；当存在多种危险物质时，则按照下式计算物质总量与其临界量比值（Q）：</w:t>
            </w:r>
          </w:p>
          <w:p>
            <w:pPr>
              <w:ind w:firstLine="0" w:firstLineChars="0"/>
              <w:jc w:val="center"/>
              <w:rPr>
                <w:rFonts w:cs="Times New Roman"/>
                <w:szCs w:val="24"/>
              </w:rPr>
            </w:pPr>
            <w:r>
              <w:rPr>
                <w:rFonts w:cs="Times New Roman"/>
                <w:szCs w:val="24"/>
              </w:rPr>
              <w:t>Q=</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1</m:t>
                      </m:r>
                      <m:ctrlPr>
                        <w:rPr>
                          <w:rFonts w:ascii="Cambria Math" w:hAnsi="Cambria Math" w:cs="Times New Roman"/>
                          <w:i/>
                          <w:sz w:val="36"/>
                          <w:szCs w:val="36"/>
                        </w:rPr>
                      </m:ctrlPr>
                    </m:sub>
                  </m:sSub>
                  <m:ctrlPr>
                    <w:rPr>
                      <w:rFonts w:ascii="Cambria Math" w:hAnsi="Cambria Math" w:cs="Times New Roman"/>
                      <w:i/>
                      <w:sz w:val="36"/>
                      <w:szCs w:val="36"/>
                    </w:rPr>
                  </m:ctrlPr>
                </m:num>
                <m:den>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1</m:t>
                      </m:r>
                      <m:ctrlPr>
                        <w:rPr>
                          <w:rFonts w:ascii="Cambria Math" w:hAnsi="Cambria Math" w:cs="Times New Roman"/>
                          <w:i/>
                          <w:sz w:val="36"/>
                          <w:szCs w:val="36"/>
                        </w:rPr>
                      </m:ctrlPr>
                    </m:sub>
                  </m:sSub>
                  <m:ctrlPr>
                    <w:rPr>
                      <w:rFonts w:ascii="Cambria Math" w:hAnsi="Cambria Math" w:cs="Times New Roman"/>
                      <w:i/>
                      <w:sz w:val="36"/>
                      <w:szCs w:val="36"/>
                    </w:rPr>
                  </m:ctrlPr>
                </m:den>
              </m:f>
            </m:oMath>
            <w:r>
              <w:rPr>
                <w:rFonts w:cs="Times New Roman"/>
                <w:sz w:val="36"/>
                <w:szCs w:val="36"/>
              </w:rPr>
              <w:t>+</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2</m:t>
                      </m:r>
                      <m:ctrlPr>
                        <w:rPr>
                          <w:rFonts w:ascii="Cambria Math" w:hAnsi="Cambria Math" w:cs="Times New Roman"/>
                          <w:i/>
                          <w:sz w:val="36"/>
                          <w:szCs w:val="36"/>
                        </w:rPr>
                      </m:ctrlPr>
                    </m:sub>
                  </m:sSub>
                  <m:ctrlPr>
                    <w:rPr>
                      <w:rFonts w:ascii="Cambria Math" w:hAnsi="Cambria Math" w:cs="Times New Roman"/>
                      <w:i/>
                      <w:sz w:val="36"/>
                      <w:szCs w:val="36"/>
                    </w:rPr>
                  </m:ctrlPr>
                </m:num>
                <m:den>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2</m:t>
                      </m:r>
                      <m:ctrlPr>
                        <w:rPr>
                          <w:rFonts w:ascii="Cambria Math" w:hAnsi="Cambria Math" w:cs="Times New Roman"/>
                          <w:i/>
                          <w:sz w:val="36"/>
                          <w:szCs w:val="36"/>
                        </w:rPr>
                      </m:ctrlPr>
                    </m:sub>
                  </m:sSub>
                  <m:ctrlPr>
                    <w:rPr>
                      <w:rFonts w:ascii="Cambria Math" w:hAnsi="Cambria Math" w:cs="Times New Roman"/>
                      <w:i/>
                      <w:sz w:val="36"/>
                      <w:szCs w:val="36"/>
                    </w:rPr>
                  </m:ctrlPr>
                </m:den>
              </m:f>
            </m:oMath>
            <w:r>
              <w:rPr>
                <w:rFonts w:cs="Times New Roman"/>
                <w:sz w:val="36"/>
                <w:szCs w:val="36"/>
              </w:rPr>
              <w:t>+…</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n</m:t>
                      </m:r>
                      <m:ctrlPr>
                        <w:rPr>
                          <w:rFonts w:ascii="Cambria Math" w:hAnsi="Cambria Math" w:cs="Times New Roman"/>
                          <w:i/>
                          <w:sz w:val="36"/>
                          <w:szCs w:val="36"/>
                        </w:rPr>
                      </m:ctrlPr>
                    </m:sub>
                  </m:sSub>
                  <m:ctrlPr>
                    <w:rPr>
                      <w:rFonts w:ascii="Cambria Math" w:hAnsi="Cambria Math" w:cs="Times New Roman"/>
                      <w:i/>
                      <w:sz w:val="36"/>
                      <w:szCs w:val="36"/>
                    </w:rPr>
                  </m:ctrlPr>
                </m:num>
                <m:den>
                  <m:sSub>
                    <m:sSubPr>
                      <m:ctrlPr>
                        <w:rPr>
                          <w:rFonts w:ascii="Cambria Math" w:hAnsi="Cambria Math" w:cs="Times New Roman"/>
                          <w:i/>
                          <w:sz w:val="36"/>
                          <w:szCs w:val="36"/>
                        </w:rPr>
                      </m:ctrlPr>
                    </m:sSubPr>
                    <m:e>
                      <m:r>
                        <w:rPr>
                          <w:rFonts w:ascii="Cambria Math" w:hAnsi="Cambria Math" w:cs="Times New Roman"/>
                          <w:sz w:val="36"/>
                          <w:szCs w:val="36"/>
                        </w:rPr>
                        <m:t>Q</m:t>
                      </m:r>
                      <m:ctrlPr>
                        <w:rPr>
                          <w:rFonts w:ascii="Cambria Math" w:hAnsi="Cambria Math" w:cs="Times New Roman"/>
                          <w:i/>
                          <w:sz w:val="36"/>
                          <w:szCs w:val="36"/>
                        </w:rPr>
                      </m:ctrlPr>
                    </m:e>
                    <m:sub>
                      <m:r>
                        <w:rPr>
                          <w:rFonts w:ascii="Cambria Math" w:hAnsi="Cambria Math" w:cs="Times New Roman"/>
                          <w:sz w:val="36"/>
                          <w:szCs w:val="36"/>
                        </w:rPr>
                        <m:t>n</m:t>
                      </m:r>
                      <m:ctrlPr>
                        <w:rPr>
                          <w:rFonts w:ascii="Cambria Math" w:hAnsi="Cambria Math" w:cs="Times New Roman"/>
                          <w:i/>
                          <w:sz w:val="36"/>
                          <w:szCs w:val="36"/>
                        </w:rPr>
                      </m:ctrlPr>
                    </m:sub>
                  </m:sSub>
                  <m:ctrlPr>
                    <w:rPr>
                      <w:rFonts w:ascii="Cambria Math" w:hAnsi="Cambria Math" w:cs="Times New Roman"/>
                      <w:i/>
                      <w:sz w:val="36"/>
                      <w:szCs w:val="36"/>
                    </w:rPr>
                  </m:ctrlPr>
                </m:den>
              </m:f>
            </m:oMath>
          </w:p>
          <w:p>
            <w:pPr>
              <w:adjustRightInd w:val="0"/>
              <w:snapToGrid w:val="0"/>
              <w:ind w:firstLine="480"/>
              <w:rPr>
                <w:rFonts w:cs="Times New Roman"/>
                <w:color w:val="000000"/>
                <w:szCs w:val="24"/>
              </w:rPr>
            </w:pPr>
            <w:r>
              <w:rPr>
                <w:rFonts w:cs="Times New Roman"/>
                <w:color w:val="000000"/>
                <w:szCs w:val="24"/>
              </w:rPr>
              <w:t>式中：q</w:t>
            </w:r>
            <w:r>
              <w:rPr>
                <w:rFonts w:cs="Times New Roman"/>
                <w:color w:val="000000"/>
                <w:szCs w:val="24"/>
                <w:vertAlign w:val="subscript"/>
              </w:rPr>
              <w:t>1，</w:t>
            </w:r>
            <w:r>
              <w:rPr>
                <w:rFonts w:cs="Times New Roman"/>
                <w:color w:val="000000"/>
                <w:szCs w:val="24"/>
              </w:rPr>
              <w:t>q</w:t>
            </w:r>
            <w:r>
              <w:rPr>
                <w:rFonts w:cs="Times New Roman"/>
                <w:color w:val="000000"/>
                <w:szCs w:val="24"/>
                <w:vertAlign w:val="subscript"/>
              </w:rPr>
              <w:t>2</w:t>
            </w:r>
            <w:r>
              <w:rPr>
                <w:rFonts w:cs="Times New Roman"/>
                <w:color w:val="000000"/>
                <w:szCs w:val="24"/>
              </w:rPr>
              <w:t>…q</w:t>
            </w:r>
            <w:r>
              <w:rPr>
                <w:rFonts w:cs="Times New Roman"/>
                <w:color w:val="000000"/>
                <w:szCs w:val="24"/>
                <w:vertAlign w:val="subscript"/>
              </w:rPr>
              <w:t>n</w:t>
            </w:r>
            <w:r>
              <w:rPr>
                <w:rFonts w:cs="Times New Roman"/>
                <w:color w:val="000000"/>
                <w:szCs w:val="24"/>
              </w:rPr>
              <w:t>——每种危险化学品实际存在量，t；</w:t>
            </w:r>
          </w:p>
          <w:p>
            <w:pPr>
              <w:adjustRightInd w:val="0"/>
              <w:snapToGrid w:val="0"/>
              <w:ind w:firstLine="480"/>
              <w:rPr>
                <w:rFonts w:cs="Times New Roman"/>
                <w:color w:val="000000"/>
                <w:szCs w:val="24"/>
              </w:rPr>
            </w:pPr>
            <w:r>
              <w:rPr>
                <w:rFonts w:cs="Times New Roman"/>
                <w:color w:val="000000"/>
                <w:szCs w:val="24"/>
              </w:rPr>
              <w:t>Q</w:t>
            </w:r>
            <w:r>
              <w:rPr>
                <w:rFonts w:cs="Times New Roman"/>
                <w:color w:val="000000"/>
                <w:szCs w:val="24"/>
                <w:vertAlign w:val="subscript"/>
              </w:rPr>
              <w:t>1</w:t>
            </w:r>
            <w:r>
              <w:rPr>
                <w:rFonts w:cs="Times New Roman"/>
                <w:color w:val="000000"/>
                <w:szCs w:val="24"/>
              </w:rPr>
              <w:t>，Q</w:t>
            </w:r>
            <w:r>
              <w:rPr>
                <w:rFonts w:cs="Times New Roman"/>
                <w:color w:val="000000"/>
                <w:szCs w:val="24"/>
                <w:vertAlign w:val="subscript"/>
              </w:rPr>
              <w:t>2</w:t>
            </w:r>
            <w:r>
              <w:rPr>
                <w:rFonts w:cs="Times New Roman"/>
                <w:color w:val="000000"/>
                <w:szCs w:val="24"/>
              </w:rPr>
              <w:t>…Qn——与个危险化学品的临界量，t。</w:t>
            </w:r>
          </w:p>
          <w:p>
            <w:pPr>
              <w:adjustRightInd w:val="0"/>
              <w:snapToGrid w:val="0"/>
              <w:ind w:firstLine="480"/>
              <w:rPr>
                <w:rFonts w:cs="Times New Roman"/>
                <w:color w:val="000000"/>
                <w:szCs w:val="24"/>
              </w:rPr>
            </w:pPr>
            <w:r>
              <w:rPr>
                <w:rFonts w:cs="Times New Roman"/>
                <w:color w:val="000000"/>
                <w:szCs w:val="24"/>
              </w:rPr>
              <w:t>当Q＜1时，该项目风险潜势为</w:t>
            </w:r>
            <w:r>
              <w:rPr>
                <w:rFonts w:hint="eastAsia" w:ascii="宋体" w:hAnsi="宋体" w:cs="宋体"/>
                <w:color w:val="000000"/>
                <w:szCs w:val="24"/>
              </w:rPr>
              <w:t>Ⅰ</w:t>
            </w:r>
            <w:r>
              <w:rPr>
                <w:rFonts w:cs="Times New Roman"/>
                <w:color w:val="000000"/>
                <w:szCs w:val="24"/>
              </w:rPr>
              <w:t>；</w:t>
            </w:r>
          </w:p>
          <w:p>
            <w:pPr>
              <w:adjustRightInd w:val="0"/>
              <w:snapToGrid w:val="0"/>
              <w:ind w:firstLine="480"/>
              <w:rPr>
                <w:rFonts w:cs="Times New Roman"/>
                <w:color w:val="000000"/>
                <w:szCs w:val="24"/>
              </w:rPr>
            </w:pPr>
            <w:r>
              <w:rPr>
                <w:rFonts w:cs="Times New Roman"/>
                <w:color w:val="000000"/>
                <w:szCs w:val="24"/>
              </w:rPr>
              <w:t>当Q≥1时，将Q值划分为：（1）1≤Q＜10；（2）10≤Q＜100；（3）Q≥100。</w:t>
            </w:r>
          </w:p>
          <w:p>
            <w:pPr>
              <w:adjustRightInd w:val="0"/>
              <w:snapToGrid w:val="0"/>
              <w:ind w:firstLine="480"/>
              <w:rPr>
                <w:rFonts w:cs="Times New Roman"/>
                <w:color w:val="000000"/>
                <w:szCs w:val="24"/>
              </w:rPr>
            </w:pPr>
            <w:r>
              <w:rPr>
                <w:rFonts w:hint="eastAsia" w:cs="Times New Roman"/>
                <w:color w:val="000000"/>
                <w:szCs w:val="24"/>
              </w:rPr>
              <w:t>本项目煤油的实际贮存量为2</w:t>
            </w:r>
            <w:r>
              <w:rPr>
                <w:rFonts w:cs="Times New Roman"/>
                <w:color w:val="000000"/>
                <w:szCs w:val="24"/>
              </w:rPr>
              <w:t>t</w:t>
            </w:r>
            <w:r>
              <w:rPr>
                <w:rFonts w:hint="eastAsia" w:cs="Times New Roman"/>
                <w:color w:val="000000"/>
                <w:szCs w:val="24"/>
              </w:rPr>
              <w:t>，临界量为5</w:t>
            </w:r>
            <w:r>
              <w:rPr>
                <w:rFonts w:cs="Times New Roman"/>
                <w:color w:val="000000"/>
                <w:szCs w:val="24"/>
              </w:rPr>
              <w:t>000t，所以本项目危险物质数量与临界量比值Q=0.0004＜1， 风险潜势为</w:t>
            </w:r>
            <w:r>
              <w:rPr>
                <w:rFonts w:hint="eastAsia" w:ascii="宋体" w:hAnsi="宋体" w:cs="宋体"/>
                <w:color w:val="000000"/>
                <w:szCs w:val="24"/>
              </w:rPr>
              <w:t>Ⅰ</w:t>
            </w:r>
            <w:r>
              <w:rPr>
                <w:rFonts w:cs="Times New Roman"/>
                <w:color w:val="000000"/>
                <w:szCs w:val="24"/>
              </w:rPr>
              <w:t>。</w:t>
            </w:r>
          </w:p>
          <w:p>
            <w:pPr>
              <w:adjustRightInd w:val="0"/>
              <w:snapToGrid w:val="0"/>
              <w:ind w:firstLine="0" w:firstLineChars="0"/>
              <w:rPr>
                <w:rFonts w:cs="Times New Roman"/>
                <w:b/>
                <w:bCs/>
                <w:color w:val="000000"/>
                <w:szCs w:val="24"/>
              </w:rPr>
            </w:pPr>
            <w:r>
              <w:rPr>
                <w:rFonts w:cs="Times New Roman"/>
                <w:b/>
                <w:bCs/>
                <w:color w:val="000000"/>
                <w:szCs w:val="24"/>
              </w:rPr>
              <w:t>7.3.1.2评价等级判定</w:t>
            </w:r>
          </w:p>
          <w:p>
            <w:pPr>
              <w:adjustRightInd w:val="0"/>
              <w:snapToGrid w:val="0"/>
              <w:ind w:firstLine="480"/>
              <w:rPr>
                <w:rFonts w:cs="Times New Roman"/>
                <w:color w:val="000000"/>
                <w:szCs w:val="24"/>
              </w:rPr>
            </w:pPr>
            <w:r>
              <w:rPr>
                <w:rFonts w:cs="Times New Roman"/>
                <w:color w:val="000000"/>
                <w:szCs w:val="24"/>
              </w:rPr>
              <w:t>项目评价等级划分见表7-12。</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表7-13 评价工作等级划分</w:t>
            </w:r>
          </w:p>
          <w:tbl>
            <w:tblPr>
              <w:tblStyle w:val="50"/>
              <w:tblW w:w="860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721"/>
              <w:gridCol w:w="1721"/>
              <w:gridCol w:w="1721"/>
              <w:gridCol w:w="17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1721" w:type="dxa"/>
                  <w:vAlign w:val="center"/>
                </w:tcPr>
                <w:p>
                  <w:pPr>
                    <w:pStyle w:val="45"/>
                    <w:rPr>
                      <w:kern w:val="0"/>
                      <w:szCs w:val="20"/>
                    </w:rPr>
                  </w:pPr>
                  <w:bookmarkStart w:id="17" w:name="_Hlk22653279"/>
                  <w:r>
                    <w:rPr>
                      <w:kern w:val="0"/>
                      <w:szCs w:val="20"/>
                    </w:rPr>
                    <w:t>环境风险潜势</w:t>
                  </w:r>
                </w:p>
              </w:tc>
              <w:tc>
                <w:tcPr>
                  <w:tcW w:w="1721" w:type="dxa"/>
                  <w:vAlign w:val="center"/>
                </w:tcPr>
                <w:p>
                  <w:pPr>
                    <w:pStyle w:val="45"/>
                    <w:rPr>
                      <w:kern w:val="0"/>
                      <w:szCs w:val="20"/>
                    </w:rPr>
                  </w:pPr>
                  <w:r>
                    <w:rPr>
                      <w:rFonts w:hint="eastAsia" w:ascii="宋体" w:hAnsi="宋体" w:cs="宋体"/>
                      <w:kern w:val="0"/>
                      <w:szCs w:val="20"/>
                    </w:rPr>
                    <w:t>Ⅳ</w:t>
                  </w:r>
                  <w:r>
                    <w:rPr>
                      <w:kern w:val="0"/>
                      <w:szCs w:val="20"/>
                    </w:rPr>
                    <w:t>、</w:t>
                  </w:r>
                  <w:r>
                    <w:rPr>
                      <w:rFonts w:hint="eastAsia" w:ascii="宋体" w:hAnsi="宋体" w:cs="宋体"/>
                      <w:kern w:val="0"/>
                      <w:szCs w:val="20"/>
                    </w:rPr>
                    <w:t>Ⅳ</w:t>
                  </w:r>
                  <w:r>
                    <w:rPr>
                      <w:kern w:val="0"/>
                      <w:szCs w:val="20"/>
                    </w:rPr>
                    <w:t>+</w:t>
                  </w:r>
                </w:p>
              </w:tc>
              <w:tc>
                <w:tcPr>
                  <w:tcW w:w="1721" w:type="dxa"/>
                  <w:vAlign w:val="center"/>
                </w:tcPr>
                <w:p>
                  <w:pPr>
                    <w:pStyle w:val="45"/>
                    <w:rPr>
                      <w:kern w:val="0"/>
                      <w:szCs w:val="20"/>
                    </w:rPr>
                  </w:pPr>
                  <w:r>
                    <w:rPr>
                      <w:rFonts w:hint="eastAsia" w:ascii="宋体" w:hAnsi="宋体" w:cs="宋体"/>
                      <w:kern w:val="0"/>
                      <w:szCs w:val="20"/>
                    </w:rPr>
                    <w:t>Ⅲ</w:t>
                  </w:r>
                </w:p>
              </w:tc>
              <w:tc>
                <w:tcPr>
                  <w:tcW w:w="1721" w:type="dxa"/>
                  <w:vAlign w:val="center"/>
                </w:tcPr>
                <w:p>
                  <w:pPr>
                    <w:pStyle w:val="45"/>
                    <w:rPr>
                      <w:kern w:val="0"/>
                      <w:szCs w:val="20"/>
                    </w:rPr>
                  </w:pPr>
                  <w:r>
                    <w:rPr>
                      <w:rFonts w:hint="eastAsia" w:ascii="宋体" w:hAnsi="宋体" w:cs="宋体"/>
                      <w:kern w:val="0"/>
                      <w:szCs w:val="20"/>
                    </w:rPr>
                    <w:t>Ⅱ</w:t>
                  </w:r>
                </w:p>
              </w:tc>
              <w:tc>
                <w:tcPr>
                  <w:tcW w:w="1721" w:type="dxa"/>
                  <w:vAlign w:val="center"/>
                </w:tcPr>
                <w:p>
                  <w:pPr>
                    <w:pStyle w:val="45"/>
                    <w:rPr>
                      <w:kern w:val="0"/>
                      <w:szCs w:val="20"/>
                    </w:rPr>
                  </w:pPr>
                  <w:r>
                    <w:rPr>
                      <w:rFonts w:hint="eastAsia" w:ascii="宋体" w:hAnsi="宋体" w:cs="宋体"/>
                      <w:kern w:val="0"/>
                      <w:szCs w:val="20"/>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1721" w:type="dxa"/>
                  <w:vAlign w:val="center"/>
                </w:tcPr>
                <w:p>
                  <w:pPr>
                    <w:pStyle w:val="45"/>
                    <w:rPr>
                      <w:kern w:val="0"/>
                      <w:szCs w:val="20"/>
                    </w:rPr>
                  </w:pPr>
                  <w:r>
                    <w:rPr>
                      <w:kern w:val="0"/>
                      <w:szCs w:val="20"/>
                    </w:rPr>
                    <w:t>评价工作等级</w:t>
                  </w:r>
                </w:p>
              </w:tc>
              <w:tc>
                <w:tcPr>
                  <w:tcW w:w="1721" w:type="dxa"/>
                  <w:vAlign w:val="center"/>
                </w:tcPr>
                <w:p>
                  <w:pPr>
                    <w:pStyle w:val="45"/>
                    <w:rPr>
                      <w:kern w:val="0"/>
                      <w:szCs w:val="20"/>
                    </w:rPr>
                  </w:pPr>
                  <w:r>
                    <w:rPr>
                      <w:kern w:val="0"/>
                      <w:szCs w:val="20"/>
                    </w:rPr>
                    <w:t>一</w:t>
                  </w:r>
                </w:p>
              </w:tc>
              <w:tc>
                <w:tcPr>
                  <w:tcW w:w="1721" w:type="dxa"/>
                  <w:vAlign w:val="center"/>
                </w:tcPr>
                <w:p>
                  <w:pPr>
                    <w:pStyle w:val="45"/>
                    <w:rPr>
                      <w:kern w:val="0"/>
                      <w:szCs w:val="20"/>
                    </w:rPr>
                  </w:pPr>
                  <w:r>
                    <w:rPr>
                      <w:kern w:val="0"/>
                      <w:szCs w:val="20"/>
                    </w:rPr>
                    <w:t>二</w:t>
                  </w:r>
                </w:p>
              </w:tc>
              <w:tc>
                <w:tcPr>
                  <w:tcW w:w="1721" w:type="dxa"/>
                  <w:vAlign w:val="center"/>
                </w:tcPr>
                <w:p>
                  <w:pPr>
                    <w:pStyle w:val="45"/>
                    <w:rPr>
                      <w:kern w:val="0"/>
                      <w:szCs w:val="20"/>
                    </w:rPr>
                  </w:pPr>
                  <w:r>
                    <w:rPr>
                      <w:kern w:val="0"/>
                      <w:szCs w:val="20"/>
                    </w:rPr>
                    <w:t>三</w:t>
                  </w:r>
                </w:p>
              </w:tc>
              <w:tc>
                <w:tcPr>
                  <w:tcW w:w="1721" w:type="dxa"/>
                  <w:vAlign w:val="center"/>
                </w:tcPr>
                <w:p>
                  <w:pPr>
                    <w:pStyle w:val="45"/>
                    <w:rPr>
                      <w:kern w:val="0"/>
                      <w:szCs w:val="20"/>
                    </w:rPr>
                  </w:pPr>
                  <w:r>
                    <w:rPr>
                      <w:kern w:val="0"/>
                      <w:szCs w:val="20"/>
                    </w:rPr>
                    <w:t>简单分析</w:t>
                  </w:r>
                </w:p>
              </w:tc>
            </w:tr>
            <w:bookmarkEnd w:id="17"/>
          </w:tbl>
          <w:p>
            <w:pPr>
              <w:adjustRightInd w:val="0"/>
              <w:snapToGrid w:val="0"/>
              <w:ind w:firstLine="480"/>
              <w:rPr>
                <w:rFonts w:cs="Times New Roman"/>
                <w:color w:val="000000"/>
              </w:rPr>
            </w:pPr>
            <w:r>
              <w:rPr>
                <w:rFonts w:cs="Times New Roman"/>
                <w:color w:val="000000"/>
              </w:rPr>
              <w:t>根据风险潜势分析，本项目风险潜势为</w:t>
            </w:r>
            <w:r>
              <w:rPr>
                <w:rFonts w:hint="eastAsia" w:ascii="宋体" w:hAnsi="宋体" w:cs="宋体"/>
                <w:color w:val="000000"/>
              </w:rPr>
              <w:t>Ⅰ</w:t>
            </w:r>
            <w:r>
              <w:rPr>
                <w:rFonts w:cs="Times New Roman"/>
                <w:color w:val="000000"/>
              </w:rPr>
              <w:t>，评价工作等级低于三级，仅需要进行简单分析。</w:t>
            </w:r>
          </w:p>
          <w:p>
            <w:pPr>
              <w:adjustRightInd w:val="0"/>
              <w:snapToGrid w:val="0"/>
              <w:ind w:firstLine="0" w:firstLineChars="0"/>
              <w:rPr>
                <w:rFonts w:cs="Times New Roman"/>
                <w:b/>
                <w:bCs/>
                <w:color w:val="000000"/>
              </w:rPr>
            </w:pPr>
            <w:r>
              <w:rPr>
                <w:rFonts w:cs="Times New Roman"/>
                <w:b/>
                <w:bCs/>
                <w:color w:val="000000"/>
              </w:rPr>
              <w:t>7.3.1.3环境风险分析</w:t>
            </w:r>
          </w:p>
          <w:p>
            <w:pPr>
              <w:adjustRightInd w:val="0"/>
              <w:snapToGrid w:val="0"/>
              <w:ind w:firstLine="480"/>
              <w:rPr>
                <w:rFonts w:cs="Times New Roman"/>
                <w:color w:val="000000"/>
              </w:rPr>
            </w:pPr>
            <w:r>
              <w:rPr>
                <w:rFonts w:cs="Times New Roman"/>
                <w:color w:val="000000"/>
              </w:rPr>
              <w:t>1、</w:t>
            </w:r>
            <w:r>
              <w:rPr>
                <w:rFonts w:hint="eastAsia" w:cs="Times New Roman"/>
                <w:color w:val="000000"/>
              </w:rPr>
              <w:t>危险物质运输过程危险性分析</w:t>
            </w:r>
          </w:p>
          <w:p>
            <w:pPr>
              <w:adjustRightInd w:val="0"/>
              <w:snapToGrid w:val="0"/>
              <w:ind w:firstLine="480"/>
              <w:rPr>
                <w:rFonts w:cs="Times New Roman"/>
                <w:color w:val="000000"/>
              </w:rPr>
            </w:pPr>
            <w:r>
              <w:rPr>
                <w:rFonts w:hint="eastAsia" w:cs="Times New Roman"/>
                <w:color w:val="000000"/>
              </w:rPr>
              <w:t>项目主要物料采用汽车运输，如未委托危化品运输资质的单位进行运输或运输人员没有驾驶证、押运证等均有可能引发车辆伤害事故甚至引发火灾爆炸、人员中毒窒息或灼伤。</w:t>
            </w:r>
          </w:p>
          <w:p>
            <w:pPr>
              <w:adjustRightInd w:val="0"/>
              <w:snapToGrid w:val="0"/>
              <w:ind w:firstLine="480"/>
              <w:rPr>
                <w:rFonts w:cs="Times New Roman"/>
                <w:color w:val="000000"/>
              </w:rPr>
            </w:pPr>
            <w:r>
              <w:rPr>
                <w:rFonts w:hint="eastAsia" w:cs="Times New Roman"/>
                <w:color w:val="000000"/>
              </w:rPr>
              <w:t>2、危险物质装卸过程危险性分析</w:t>
            </w:r>
          </w:p>
          <w:p>
            <w:pPr>
              <w:adjustRightInd w:val="0"/>
              <w:snapToGrid w:val="0"/>
              <w:ind w:firstLine="480"/>
              <w:rPr>
                <w:rFonts w:cs="Times New Roman"/>
                <w:color w:val="000000"/>
              </w:rPr>
            </w:pPr>
            <w:r>
              <w:rPr>
                <w:rFonts w:hint="eastAsia" w:cs="Times New Roman"/>
                <w:color w:val="000000"/>
              </w:rPr>
              <w:t>在物料装卸过程中，如作业人员违反装卸规定，原料的泄露对导致人员的中毒事故等。</w:t>
            </w:r>
          </w:p>
          <w:p>
            <w:pPr>
              <w:adjustRightInd w:val="0"/>
              <w:snapToGrid w:val="0"/>
              <w:ind w:firstLine="480"/>
              <w:rPr>
                <w:rFonts w:cs="Times New Roman"/>
                <w:color w:val="000000"/>
              </w:rPr>
            </w:pPr>
            <w:r>
              <w:rPr>
                <w:rFonts w:hint="eastAsia" w:cs="Times New Roman"/>
                <w:color w:val="000000"/>
              </w:rPr>
              <w:t>3、危险物质贮存过程危险性分析</w:t>
            </w:r>
          </w:p>
          <w:p>
            <w:pPr>
              <w:adjustRightInd w:val="0"/>
              <w:snapToGrid w:val="0"/>
              <w:ind w:firstLine="480"/>
              <w:rPr>
                <w:rFonts w:cs="Times New Roman"/>
                <w:color w:val="000000"/>
              </w:rPr>
            </w:pPr>
            <w:r>
              <w:rPr>
                <w:rFonts w:hint="eastAsia" w:cs="Times New Roman"/>
                <w:color w:val="000000"/>
              </w:rPr>
              <w:t>本项目煤油为桶装储存，主要危险为有毒有害物料泄漏引发的中毒窒息事故和火灾爆炸事故，可能造成物料泄漏的常见原因有：储存设施（包括容器）等的设计、制造、使用、管理、维护不到位，储存管理欠缺。因设计不合理，材质不当，产生腐蚀，造成物料泄漏。</w:t>
            </w:r>
          </w:p>
          <w:p>
            <w:pPr>
              <w:adjustRightInd w:val="0"/>
              <w:snapToGrid w:val="0"/>
              <w:ind w:firstLine="480"/>
              <w:rPr>
                <w:rFonts w:cs="Times New Roman"/>
                <w:color w:val="000000"/>
              </w:rPr>
            </w:pPr>
            <w:r>
              <w:rPr>
                <w:rFonts w:hint="eastAsia" w:cs="Times New Roman"/>
                <w:color w:val="000000"/>
              </w:rPr>
              <w:t>4、其它风险</w:t>
            </w:r>
          </w:p>
          <w:p>
            <w:pPr>
              <w:adjustRightInd w:val="0"/>
              <w:snapToGrid w:val="0"/>
              <w:ind w:firstLine="480"/>
              <w:rPr>
                <w:rFonts w:cs="Times New Roman"/>
                <w:color w:val="000000"/>
              </w:rPr>
            </w:pPr>
            <w:r>
              <w:rPr>
                <w:rFonts w:hint="eastAsia" w:cs="Times New Roman"/>
                <w:color w:val="000000"/>
              </w:rPr>
              <w:t>除危险物质存在环境风险外，项目还存在以下环境风险，包括：</w:t>
            </w:r>
          </w:p>
          <w:p>
            <w:pPr>
              <w:adjustRightInd w:val="0"/>
              <w:snapToGrid w:val="0"/>
              <w:ind w:firstLine="480"/>
              <w:rPr>
                <w:rFonts w:cs="Times New Roman"/>
                <w:color w:val="000000"/>
              </w:rPr>
            </w:pPr>
            <w:r>
              <w:rPr>
                <w:rFonts w:hint="eastAsia" w:ascii="宋体" w:hAnsi="宋体" w:cs="宋体"/>
                <w:color w:val="000000"/>
              </w:rPr>
              <w:t>①</w:t>
            </w:r>
            <w:r>
              <w:rPr>
                <w:rFonts w:cs="Times New Roman"/>
                <w:color w:val="000000"/>
              </w:rPr>
              <w:t>厂房火灾造成的二次污染。</w:t>
            </w:r>
          </w:p>
          <w:p>
            <w:pPr>
              <w:adjustRightInd w:val="0"/>
              <w:snapToGrid w:val="0"/>
              <w:ind w:firstLine="480"/>
              <w:rPr>
                <w:rFonts w:cs="Times New Roman"/>
                <w:color w:val="000000"/>
              </w:rPr>
            </w:pPr>
            <w:r>
              <w:rPr>
                <w:rFonts w:hint="eastAsia" w:ascii="宋体" w:hAnsi="宋体" w:cs="宋体"/>
                <w:color w:val="000000"/>
              </w:rPr>
              <w:t>②</w:t>
            </w:r>
            <w:r>
              <w:rPr>
                <w:rFonts w:cs="Times New Roman"/>
                <w:color w:val="000000"/>
              </w:rPr>
              <w:t>废气处理设施故障导致项目废气事故排放。</w:t>
            </w:r>
          </w:p>
          <w:p>
            <w:pPr>
              <w:adjustRightInd w:val="0"/>
              <w:snapToGrid w:val="0"/>
              <w:ind w:firstLine="480"/>
              <w:rPr>
                <w:rFonts w:cs="Times New Roman"/>
                <w:color w:val="000000"/>
              </w:rPr>
            </w:pPr>
            <w:r>
              <w:rPr>
                <w:rFonts w:hint="eastAsia" w:ascii="宋体" w:hAnsi="宋体" w:cs="宋体"/>
                <w:color w:val="000000"/>
              </w:rPr>
              <w:t>③</w:t>
            </w:r>
            <w:r>
              <w:rPr>
                <w:rFonts w:cs="Times New Roman"/>
                <w:color w:val="000000"/>
              </w:rPr>
              <w:t>危险废物在厂区内暂存存在泄漏环境风险事故可能性。</w:t>
            </w:r>
          </w:p>
          <w:p>
            <w:pPr>
              <w:adjustRightInd w:val="0"/>
              <w:snapToGrid w:val="0"/>
              <w:ind w:firstLine="480"/>
              <w:rPr>
                <w:rFonts w:cs="Times New Roman"/>
                <w:color w:val="000000"/>
              </w:rPr>
            </w:pPr>
            <w:r>
              <w:rPr>
                <w:rFonts w:hint="eastAsia" w:cs="Times New Roman"/>
                <w:color w:val="000000"/>
              </w:rPr>
              <w:t>以上风险可能会造成</w:t>
            </w:r>
            <w:r>
              <w:rPr>
                <w:rFonts w:cs="Times New Roman"/>
                <w:color w:val="000000"/>
              </w:rPr>
              <w:t>大气环境短时超标</w:t>
            </w:r>
            <w:r>
              <w:rPr>
                <w:rFonts w:hint="eastAsia" w:cs="Times New Roman"/>
                <w:color w:val="000000"/>
              </w:rPr>
              <w:t>，</w:t>
            </w:r>
            <w:r>
              <w:rPr>
                <w:rFonts w:cs="Times New Roman"/>
                <w:color w:val="000000"/>
              </w:rPr>
              <w:t>若项目危险废物在厂区内暂存过程中发生泄露，会造成土壤或水体污染</w:t>
            </w:r>
            <w:r>
              <w:rPr>
                <w:rFonts w:hint="eastAsia" w:cs="Times New Roman"/>
                <w:color w:val="000000"/>
              </w:rPr>
              <w:t>等</w:t>
            </w:r>
            <w:r>
              <w:rPr>
                <w:rFonts w:cs="Times New Roman"/>
                <w:color w:val="000000"/>
              </w:rPr>
              <w:t>。</w:t>
            </w:r>
          </w:p>
          <w:p>
            <w:pPr>
              <w:adjustRightInd w:val="0"/>
              <w:snapToGrid w:val="0"/>
              <w:ind w:firstLine="0" w:firstLineChars="0"/>
              <w:rPr>
                <w:rFonts w:cs="Times New Roman"/>
                <w:b/>
                <w:bCs/>
                <w:color w:val="000000"/>
              </w:rPr>
            </w:pPr>
            <w:r>
              <w:rPr>
                <w:rFonts w:cs="Times New Roman"/>
                <w:b/>
                <w:bCs/>
                <w:color w:val="000000"/>
              </w:rPr>
              <w:t>7.3.1.4风险</w:t>
            </w:r>
            <w:r>
              <w:rPr>
                <w:rFonts w:hint="eastAsia" w:cs="Times New Roman"/>
                <w:b/>
                <w:bCs/>
                <w:color w:val="000000"/>
              </w:rPr>
              <w:t>管理</w:t>
            </w:r>
          </w:p>
          <w:p>
            <w:pPr>
              <w:adjustRightInd w:val="0"/>
              <w:snapToGrid w:val="0"/>
              <w:ind w:firstLine="480"/>
              <w:rPr>
                <w:rFonts w:cs="Times New Roman"/>
                <w:color w:val="000000"/>
              </w:rPr>
            </w:pPr>
            <w:r>
              <w:rPr>
                <w:rFonts w:hint="eastAsia" w:cs="Times New Roman"/>
                <w:color w:val="000000"/>
              </w:rPr>
              <w:t>1、项目所用煤油属于易燃易爆物质，为了减轻事故危害后果、频率和影响，达到同行业可接受风险水平，用做好以下工作：</w:t>
            </w:r>
          </w:p>
          <w:p>
            <w:pPr>
              <w:adjustRightInd w:val="0"/>
              <w:snapToGrid w:val="0"/>
              <w:ind w:firstLine="480"/>
              <w:rPr>
                <w:rFonts w:cs="Times New Roman"/>
                <w:color w:val="000000"/>
              </w:rPr>
            </w:pPr>
            <w:r>
              <w:rPr>
                <w:rFonts w:hint="eastAsia" w:cs="Times New Roman"/>
                <w:color w:val="000000"/>
              </w:rPr>
              <w:t>（1）减少贮存和工艺过程中存放的危险物质的贮存量，满足小周期内物料的使用量即可。危险物的数量是造成危害的首要因素之一，可通过减少贮存，以使危害见到尽可能小的程度。</w:t>
            </w:r>
          </w:p>
          <w:p>
            <w:pPr>
              <w:adjustRightInd w:val="0"/>
              <w:snapToGrid w:val="0"/>
              <w:ind w:firstLine="480"/>
              <w:rPr>
                <w:rFonts w:cs="Times New Roman"/>
                <w:color w:val="000000"/>
              </w:rPr>
            </w:pPr>
            <w:r>
              <w:rPr>
                <w:rFonts w:hint="eastAsia" w:cs="Times New Roman"/>
                <w:color w:val="000000"/>
              </w:rPr>
              <w:t>（2）贮存和运输采用多次小规模进行。</w:t>
            </w:r>
          </w:p>
          <w:p>
            <w:pPr>
              <w:adjustRightInd w:val="0"/>
              <w:snapToGrid w:val="0"/>
              <w:ind w:firstLine="480"/>
              <w:rPr>
                <w:rFonts w:cs="Times New Roman"/>
                <w:color w:val="000000"/>
              </w:rPr>
            </w:pPr>
            <w:r>
              <w:rPr>
                <w:rFonts w:hint="eastAsia" w:cs="Times New Roman"/>
                <w:color w:val="000000"/>
              </w:rPr>
              <w:t>（3）改进密封设备或采用自动密封系统，减少泄露和缩短缩放时间。</w:t>
            </w:r>
          </w:p>
          <w:p>
            <w:pPr>
              <w:adjustRightInd w:val="0"/>
              <w:snapToGrid w:val="0"/>
              <w:ind w:firstLine="480"/>
              <w:rPr>
                <w:rFonts w:cs="Times New Roman"/>
                <w:color w:val="000000"/>
              </w:rPr>
            </w:pPr>
            <w:r>
              <w:rPr>
                <w:rFonts w:hint="eastAsia" w:cs="Times New Roman"/>
                <w:color w:val="000000"/>
              </w:rPr>
              <w:t>（4）强化管理，提高操作人员业务素质。</w:t>
            </w:r>
          </w:p>
          <w:p>
            <w:pPr>
              <w:adjustRightInd w:val="0"/>
              <w:snapToGrid w:val="0"/>
              <w:ind w:firstLine="480"/>
              <w:rPr>
                <w:rFonts w:cs="Times New Roman"/>
                <w:color w:val="000000"/>
              </w:rPr>
            </w:pPr>
            <w:r>
              <w:rPr>
                <w:rFonts w:hint="eastAsia" w:cs="Times New Roman"/>
                <w:color w:val="000000"/>
              </w:rPr>
              <w:t>2、</w:t>
            </w:r>
            <w:r>
              <w:rPr>
                <w:rFonts w:cs="Times New Roman"/>
                <w:color w:val="000000"/>
              </w:rPr>
              <w:t>加强废气治理设施的日常管理和维护，安排专职或兼职人员负责，并建立台账管理制度，确保废气治理系统的正常稳定运行。</w:t>
            </w:r>
          </w:p>
          <w:p>
            <w:pPr>
              <w:adjustRightInd w:val="0"/>
              <w:snapToGrid w:val="0"/>
              <w:ind w:firstLine="480"/>
              <w:rPr>
                <w:rFonts w:cs="Times New Roman"/>
                <w:color w:val="000000"/>
              </w:rPr>
            </w:pPr>
            <w:r>
              <w:rPr>
                <w:rFonts w:hint="eastAsia" w:cs="Times New Roman"/>
                <w:color w:val="000000"/>
              </w:rPr>
              <w:t>3、</w:t>
            </w:r>
            <w:r>
              <w:rPr>
                <w:rFonts w:cs="Times New Roman"/>
                <w:color w:val="000000"/>
              </w:rPr>
              <w:t>建立废气治理系统操作规程，并严格执行，当废气治理系统出现故障时，应立即停止作业，待废气治理系统正常运行时，方可重新进行作业。</w:t>
            </w:r>
          </w:p>
          <w:p>
            <w:pPr>
              <w:adjustRightInd w:val="0"/>
              <w:snapToGrid w:val="0"/>
              <w:ind w:firstLine="480"/>
              <w:rPr>
                <w:rFonts w:cs="Times New Roman"/>
                <w:color w:val="000000"/>
              </w:rPr>
            </w:pPr>
            <w:r>
              <w:rPr>
                <w:rFonts w:hint="eastAsia" w:cs="Times New Roman"/>
                <w:color w:val="000000"/>
              </w:rPr>
              <w:t>4、</w:t>
            </w:r>
            <w:r>
              <w:rPr>
                <w:rFonts w:cs="Times New Roman"/>
                <w:color w:val="000000"/>
              </w:rPr>
              <w:t>配备一定数量的灭火器、消防沙、吸附棉等应急资源。</w:t>
            </w:r>
          </w:p>
          <w:p>
            <w:pPr>
              <w:adjustRightInd w:val="0"/>
              <w:snapToGrid w:val="0"/>
              <w:ind w:firstLine="480"/>
              <w:rPr>
                <w:rFonts w:cs="Times New Roman"/>
                <w:color w:val="000000"/>
              </w:rPr>
            </w:pPr>
            <w:r>
              <w:rPr>
                <w:rFonts w:hint="eastAsia" w:cs="Times New Roman"/>
                <w:color w:val="000000"/>
              </w:rPr>
              <w:t>5、</w:t>
            </w:r>
            <w:r>
              <w:rPr>
                <w:rFonts w:cs="Times New Roman"/>
                <w:color w:val="000000"/>
              </w:rPr>
              <w:t>对生产过程中产生的危险废物，分类收集，分别包装临时储存，定期交有相应类别处理资质的单位处理。</w:t>
            </w:r>
          </w:p>
          <w:p>
            <w:pPr>
              <w:adjustRightInd w:val="0"/>
              <w:snapToGrid w:val="0"/>
              <w:ind w:firstLine="480"/>
              <w:rPr>
                <w:rFonts w:cs="Times New Roman"/>
                <w:color w:val="000000"/>
              </w:rPr>
            </w:pPr>
            <w:r>
              <w:rPr>
                <w:rFonts w:hint="eastAsia" w:cs="Times New Roman"/>
                <w:color w:val="000000"/>
              </w:rPr>
              <w:t>6、</w:t>
            </w:r>
            <w:r>
              <w:rPr>
                <w:rFonts w:cs="Times New Roman"/>
                <w:color w:val="000000"/>
              </w:rPr>
              <w:t>环境事故应急培训与教育，加强员工的安全生产和环境风险防范意识，提高员工的岗位操作技能，定期组织员工进行应急培训教育。</w:t>
            </w:r>
          </w:p>
          <w:p>
            <w:pPr>
              <w:adjustRightInd w:val="0"/>
              <w:snapToGrid w:val="0"/>
              <w:ind w:firstLine="480"/>
              <w:rPr>
                <w:rFonts w:cs="Times New Roman"/>
                <w:color w:val="000000"/>
              </w:rPr>
            </w:pPr>
            <w:r>
              <w:rPr>
                <w:rFonts w:cs="Times New Roman"/>
                <w:color w:val="000000"/>
              </w:rPr>
              <w:t>综上所述，项目若采取以上风险防范措施的前提下，所产生的环境风险可以控制在可接受风险水平之内。</w:t>
            </w:r>
          </w:p>
          <w:p>
            <w:pPr>
              <w:pStyle w:val="20"/>
              <w:ind w:firstLine="0" w:firstLineChars="0"/>
              <w:rPr>
                <w:lang w:val="zh-CN"/>
              </w:rPr>
            </w:pPr>
            <w:r>
              <w:rPr>
                <w:lang w:val="zh-CN"/>
              </w:rPr>
              <w:t>7.4环境保护竣工验收“三同时”及环保投资一览表</w:t>
            </w:r>
          </w:p>
          <w:p>
            <w:pPr>
              <w:adjustRightInd w:val="0"/>
              <w:snapToGrid w:val="0"/>
              <w:ind w:firstLine="480"/>
              <w:rPr>
                <w:rFonts w:cs="Times New Roman"/>
                <w:color w:val="000000"/>
              </w:rPr>
            </w:pPr>
            <w:r>
              <w:rPr>
                <w:rFonts w:cs="Times New Roman"/>
                <w:color w:val="000000"/>
              </w:rPr>
              <w:t>本项目总投资100万元，环保投资35万元，占总投资35%。本项目环境保护竣工“三同时”验收见下表。</w:t>
            </w:r>
          </w:p>
          <w:p>
            <w:pPr>
              <w:adjustRightInd w:val="0"/>
              <w:snapToGrid w:val="0"/>
              <w:spacing w:line="240" w:lineRule="auto"/>
              <w:ind w:firstLine="422" w:firstLineChars="0"/>
              <w:jc w:val="center"/>
              <w:rPr>
                <w:rFonts w:cs="Times New Roman"/>
                <w:b/>
                <w:color w:val="000000"/>
                <w:sz w:val="21"/>
                <w:szCs w:val="28"/>
                <w:lang w:val="zh-CN"/>
              </w:rPr>
            </w:pPr>
            <w:r>
              <w:rPr>
                <w:rFonts w:cs="Times New Roman"/>
                <w:b/>
                <w:color w:val="000000"/>
                <w:sz w:val="21"/>
                <w:lang w:val="zh-CN"/>
              </w:rPr>
              <w:t>表7-14 项目环境保护竣工验收“三同时”及环保投资一览表</w:t>
            </w:r>
          </w:p>
          <w:tbl>
            <w:tblPr>
              <w:tblStyle w:val="50"/>
              <w:tblW w:w="865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6"/>
              <w:gridCol w:w="812"/>
              <w:gridCol w:w="380"/>
              <w:gridCol w:w="2325"/>
              <w:gridCol w:w="3260"/>
              <w:gridCol w:w="1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28" w:hRule="atLeast"/>
                <w:jc w:val="center"/>
              </w:trPr>
              <w:tc>
                <w:tcPr>
                  <w:tcW w:w="806" w:type="dxa"/>
                  <w:vAlign w:val="center"/>
                </w:tcPr>
                <w:p>
                  <w:pPr>
                    <w:pStyle w:val="45"/>
                    <w:rPr>
                      <w:kern w:val="0"/>
                      <w:szCs w:val="20"/>
                    </w:rPr>
                  </w:pPr>
                  <w:r>
                    <w:rPr>
                      <w:kern w:val="0"/>
                      <w:szCs w:val="20"/>
                    </w:rPr>
                    <w:t>类别</w:t>
                  </w:r>
                </w:p>
              </w:tc>
              <w:tc>
                <w:tcPr>
                  <w:tcW w:w="1192" w:type="dxa"/>
                  <w:gridSpan w:val="2"/>
                  <w:vAlign w:val="center"/>
                </w:tcPr>
                <w:p>
                  <w:pPr>
                    <w:pStyle w:val="45"/>
                    <w:rPr>
                      <w:kern w:val="0"/>
                      <w:szCs w:val="20"/>
                    </w:rPr>
                  </w:pPr>
                  <w:r>
                    <w:rPr>
                      <w:kern w:val="0"/>
                      <w:szCs w:val="20"/>
                    </w:rPr>
                    <w:t>污染物</w:t>
                  </w:r>
                </w:p>
              </w:tc>
              <w:tc>
                <w:tcPr>
                  <w:tcW w:w="2325" w:type="dxa"/>
                  <w:vAlign w:val="center"/>
                </w:tcPr>
                <w:p>
                  <w:pPr>
                    <w:pStyle w:val="45"/>
                    <w:rPr>
                      <w:kern w:val="0"/>
                      <w:szCs w:val="20"/>
                    </w:rPr>
                  </w:pPr>
                  <w:r>
                    <w:rPr>
                      <w:kern w:val="0"/>
                      <w:szCs w:val="20"/>
                    </w:rPr>
                    <w:t>环保设施内容</w:t>
                  </w:r>
                </w:p>
              </w:tc>
              <w:tc>
                <w:tcPr>
                  <w:tcW w:w="3260" w:type="dxa"/>
                  <w:vAlign w:val="center"/>
                </w:tcPr>
                <w:p>
                  <w:pPr>
                    <w:pStyle w:val="45"/>
                    <w:rPr>
                      <w:kern w:val="0"/>
                      <w:szCs w:val="20"/>
                    </w:rPr>
                  </w:pPr>
                  <w:r>
                    <w:rPr>
                      <w:kern w:val="0"/>
                      <w:szCs w:val="20"/>
                    </w:rPr>
                    <w:t>执行标准</w:t>
                  </w:r>
                </w:p>
              </w:tc>
              <w:tc>
                <w:tcPr>
                  <w:tcW w:w="1076" w:type="dxa"/>
                  <w:vAlign w:val="center"/>
                </w:tcPr>
                <w:p>
                  <w:pPr>
                    <w:pStyle w:val="45"/>
                    <w:rPr>
                      <w:kern w:val="0"/>
                      <w:szCs w:val="20"/>
                    </w:rPr>
                  </w:pPr>
                  <w:r>
                    <w:rPr>
                      <w:kern w:val="0"/>
                      <w:szCs w:val="20"/>
                    </w:rPr>
                    <w:t>环保投资</w:t>
                  </w:r>
                </w:p>
                <w:p>
                  <w:pPr>
                    <w:pStyle w:val="45"/>
                    <w:rPr>
                      <w:kern w:val="0"/>
                      <w:szCs w:val="20"/>
                    </w:rPr>
                  </w:pPr>
                  <w:r>
                    <w:rPr>
                      <w:kern w:val="0"/>
                      <w:szCs w:val="20"/>
                    </w:rPr>
                    <w:t>（万元）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72" w:hRule="atLeast"/>
                <w:jc w:val="center"/>
              </w:trPr>
              <w:tc>
                <w:tcPr>
                  <w:tcW w:w="806" w:type="dxa"/>
                  <w:vAlign w:val="center"/>
                </w:tcPr>
                <w:p>
                  <w:pPr>
                    <w:pStyle w:val="45"/>
                    <w:rPr>
                      <w:kern w:val="0"/>
                      <w:szCs w:val="20"/>
                    </w:rPr>
                  </w:pPr>
                  <w:r>
                    <w:rPr>
                      <w:kern w:val="0"/>
                      <w:szCs w:val="20"/>
                    </w:rPr>
                    <w:t>水污染物</w:t>
                  </w:r>
                </w:p>
              </w:tc>
              <w:tc>
                <w:tcPr>
                  <w:tcW w:w="1192" w:type="dxa"/>
                  <w:gridSpan w:val="2"/>
                  <w:vAlign w:val="center"/>
                </w:tcPr>
                <w:p>
                  <w:pPr>
                    <w:pStyle w:val="45"/>
                    <w:rPr>
                      <w:kern w:val="0"/>
                      <w:szCs w:val="20"/>
                    </w:rPr>
                  </w:pPr>
                  <w:r>
                    <w:rPr>
                      <w:kern w:val="0"/>
                      <w:szCs w:val="20"/>
                    </w:rPr>
                    <w:t>生活污水</w:t>
                  </w:r>
                </w:p>
              </w:tc>
              <w:tc>
                <w:tcPr>
                  <w:tcW w:w="2325" w:type="dxa"/>
                  <w:vAlign w:val="center"/>
                </w:tcPr>
                <w:p>
                  <w:pPr>
                    <w:pStyle w:val="45"/>
                    <w:rPr>
                      <w:kern w:val="0"/>
                      <w:szCs w:val="20"/>
                    </w:rPr>
                  </w:pPr>
                  <w:r>
                    <w:rPr>
                      <w:kern w:val="0"/>
                      <w:szCs w:val="20"/>
                    </w:rPr>
                    <w:t>三级化粪池</w:t>
                  </w:r>
                </w:p>
              </w:tc>
              <w:tc>
                <w:tcPr>
                  <w:tcW w:w="3260" w:type="dxa"/>
                  <w:vAlign w:val="center"/>
                </w:tcPr>
                <w:p>
                  <w:pPr>
                    <w:pStyle w:val="45"/>
                    <w:rPr>
                      <w:kern w:val="0"/>
                      <w:szCs w:val="20"/>
                    </w:rPr>
                  </w:pPr>
                  <w:r>
                    <w:rPr>
                      <w:rFonts w:hint="eastAsia"/>
                      <w:kern w:val="0"/>
                      <w:szCs w:val="20"/>
                    </w:rPr>
                    <w:t>执行</w:t>
                  </w:r>
                  <w:r>
                    <w:rPr>
                      <w:kern w:val="0"/>
                      <w:szCs w:val="20"/>
                    </w:rPr>
                    <w:t>广东省《水污染物排放限值》(DB44/26-2001)第二时段三级标准</w:t>
                  </w:r>
                </w:p>
              </w:tc>
              <w:tc>
                <w:tcPr>
                  <w:tcW w:w="1076" w:type="dxa"/>
                  <w:vAlign w:val="center"/>
                </w:tcPr>
                <w:p>
                  <w:pPr>
                    <w:pStyle w:val="45"/>
                    <w:rPr>
                      <w:kern w:val="0"/>
                      <w:szCs w:val="20"/>
                    </w:rPr>
                  </w:pPr>
                  <w:r>
                    <w:rPr>
                      <w:kern w:val="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806" w:type="dxa"/>
                  <w:vMerge w:val="restart"/>
                  <w:vAlign w:val="center"/>
                </w:tcPr>
                <w:p>
                  <w:pPr>
                    <w:pStyle w:val="45"/>
                    <w:rPr>
                      <w:kern w:val="0"/>
                      <w:szCs w:val="20"/>
                    </w:rPr>
                  </w:pPr>
                  <w:r>
                    <w:rPr>
                      <w:kern w:val="0"/>
                      <w:szCs w:val="20"/>
                    </w:rPr>
                    <w:t>大气污染物</w:t>
                  </w:r>
                </w:p>
              </w:tc>
              <w:tc>
                <w:tcPr>
                  <w:tcW w:w="1192" w:type="dxa"/>
                  <w:gridSpan w:val="2"/>
                  <w:vAlign w:val="center"/>
                </w:tcPr>
                <w:p>
                  <w:pPr>
                    <w:pStyle w:val="45"/>
                    <w:rPr>
                      <w:kern w:val="0"/>
                      <w:szCs w:val="20"/>
                    </w:rPr>
                  </w:pPr>
                  <w:r>
                    <w:rPr>
                      <w:kern w:val="0"/>
                      <w:szCs w:val="20"/>
                    </w:rPr>
                    <w:t>金属粉尘</w:t>
                  </w:r>
                </w:p>
              </w:tc>
              <w:tc>
                <w:tcPr>
                  <w:tcW w:w="2325" w:type="dxa"/>
                  <w:vAlign w:val="center"/>
                </w:tcPr>
                <w:p>
                  <w:pPr>
                    <w:pStyle w:val="45"/>
                    <w:rPr>
                      <w:kern w:val="0"/>
                      <w:szCs w:val="20"/>
                      <w:lang w:val="en-US"/>
                    </w:rPr>
                  </w:pPr>
                  <w:r>
                    <w:rPr>
                      <w:kern w:val="0"/>
                      <w:szCs w:val="20"/>
                      <w:lang w:val="en-US"/>
                    </w:rPr>
                    <w:t>定期清扫</w:t>
                  </w:r>
                </w:p>
              </w:tc>
              <w:tc>
                <w:tcPr>
                  <w:tcW w:w="3260" w:type="dxa"/>
                  <w:vAlign w:val="center"/>
                </w:tcPr>
                <w:p>
                  <w:pPr>
                    <w:pStyle w:val="45"/>
                    <w:rPr>
                      <w:kern w:val="0"/>
                      <w:szCs w:val="20"/>
                    </w:rPr>
                  </w:pPr>
                  <w:r>
                    <w:rPr>
                      <w:kern w:val="0"/>
                      <w:szCs w:val="20"/>
                    </w:rPr>
                    <w:t>无组织排放执行《大气污染物排放限值》（DB44/27-2001）无组织排放监控浓度限值</w:t>
                  </w:r>
                </w:p>
              </w:tc>
              <w:tc>
                <w:tcPr>
                  <w:tcW w:w="1076" w:type="dxa"/>
                  <w:vAlign w:val="center"/>
                </w:tcPr>
                <w:p>
                  <w:pPr>
                    <w:pStyle w:val="45"/>
                    <w:rPr>
                      <w:kern w:val="0"/>
                      <w:szCs w:val="20"/>
                    </w:rPr>
                  </w:pPr>
                  <w:r>
                    <w:rPr>
                      <w:kern w:val="0"/>
                      <w:szCs w:val="20"/>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806" w:type="dxa"/>
                  <w:vMerge w:val="continue"/>
                  <w:vAlign w:val="center"/>
                </w:tcPr>
                <w:p>
                  <w:pPr>
                    <w:pStyle w:val="45"/>
                    <w:rPr>
                      <w:kern w:val="0"/>
                      <w:szCs w:val="20"/>
                    </w:rPr>
                  </w:pPr>
                </w:p>
              </w:tc>
              <w:tc>
                <w:tcPr>
                  <w:tcW w:w="1192" w:type="dxa"/>
                  <w:gridSpan w:val="2"/>
                  <w:vAlign w:val="center"/>
                </w:tcPr>
                <w:p>
                  <w:pPr>
                    <w:pStyle w:val="45"/>
                    <w:rPr>
                      <w:kern w:val="0"/>
                      <w:szCs w:val="20"/>
                    </w:rPr>
                  </w:pPr>
                  <w:r>
                    <w:rPr>
                      <w:rFonts w:hint="eastAsia"/>
                      <w:kern w:val="0"/>
                      <w:szCs w:val="20"/>
                    </w:rPr>
                    <w:t>热冲</w:t>
                  </w:r>
                  <w:r>
                    <w:rPr>
                      <w:kern w:val="0"/>
                      <w:szCs w:val="20"/>
                    </w:rPr>
                    <w:t>油烟</w:t>
                  </w:r>
                </w:p>
              </w:tc>
              <w:tc>
                <w:tcPr>
                  <w:tcW w:w="2325" w:type="dxa"/>
                  <w:vAlign w:val="center"/>
                </w:tcPr>
                <w:p>
                  <w:pPr>
                    <w:pStyle w:val="45"/>
                    <w:rPr>
                      <w:kern w:val="0"/>
                      <w:szCs w:val="20"/>
                    </w:rPr>
                  </w:pPr>
                  <w:r>
                    <w:rPr>
                      <w:kern w:val="0"/>
                      <w:szCs w:val="20"/>
                      <w:lang w:val="en-US"/>
                    </w:rPr>
                    <w:t>集尘罩+</w:t>
                  </w:r>
                  <w:r>
                    <w:rPr>
                      <w:rFonts w:hint="eastAsia"/>
                      <w:kern w:val="0"/>
                      <w:szCs w:val="20"/>
                      <w:lang w:val="en-US"/>
                    </w:rPr>
                    <w:t>1套</w:t>
                  </w:r>
                  <w:r>
                    <w:rPr>
                      <w:kern w:val="0"/>
                      <w:szCs w:val="20"/>
                      <w:lang w:val="en-US"/>
                    </w:rPr>
                    <w:t>喷淋塔</w:t>
                  </w:r>
                  <w:r>
                    <w:rPr>
                      <w:rFonts w:hint="eastAsia"/>
                      <w:kern w:val="0"/>
                      <w:szCs w:val="20"/>
                      <w:lang w:val="en-US"/>
                    </w:rPr>
                    <w:t>A</w:t>
                  </w:r>
                  <w:r>
                    <w:rPr>
                      <w:kern w:val="0"/>
                      <w:szCs w:val="20"/>
                      <w:lang w:val="en-US"/>
                    </w:rPr>
                    <w:t>+1</w:t>
                  </w:r>
                  <w:r>
                    <w:rPr>
                      <w:rFonts w:hint="eastAsia"/>
                      <w:kern w:val="0"/>
                      <w:szCs w:val="20"/>
                      <w:lang w:val="en-US"/>
                    </w:rPr>
                    <w:t>套</w:t>
                  </w:r>
                  <w:r>
                    <w:rPr>
                      <w:kern w:val="0"/>
                      <w:szCs w:val="20"/>
                      <w:lang w:val="en-US"/>
                    </w:rPr>
                    <w:t>油烟净化器+15m G1排气筒</w:t>
                  </w:r>
                </w:p>
              </w:tc>
              <w:tc>
                <w:tcPr>
                  <w:tcW w:w="3260" w:type="dxa"/>
                  <w:vAlign w:val="center"/>
                </w:tcPr>
                <w:p>
                  <w:pPr>
                    <w:pStyle w:val="45"/>
                    <w:rPr>
                      <w:kern w:val="0"/>
                      <w:szCs w:val="20"/>
                    </w:rPr>
                  </w:pPr>
                  <w:r>
                    <w:rPr>
                      <w:rFonts w:hint="eastAsia"/>
                      <w:kern w:val="0"/>
                      <w:szCs w:val="20"/>
                    </w:rPr>
                    <w:t>执行</w:t>
                  </w:r>
                  <w:r>
                    <w:rPr>
                      <w:kern w:val="0"/>
                      <w:szCs w:val="20"/>
                    </w:rPr>
                    <w:t>《饮食业油烟排放标准》（GB18483-2001）油烟最高允许排放浓度限值要求</w:t>
                  </w:r>
                </w:p>
              </w:tc>
              <w:tc>
                <w:tcPr>
                  <w:tcW w:w="1076" w:type="dxa"/>
                  <w:vAlign w:val="center"/>
                </w:tcPr>
                <w:p>
                  <w:pPr>
                    <w:pStyle w:val="45"/>
                    <w:rPr>
                      <w:kern w:val="0"/>
                      <w:szCs w:val="20"/>
                    </w:rPr>
                  </w:pPr>
                  <w:r>
                    <w:rPr>
                      <w:kern w:val="0"/>
                      <w:szCs w:val="20"/>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806" w:type="dxa"/>
                  <w:vMerge w:val="continue"/>
                  <w:vAlign w:val="center"/>
                </w:tcPr>
                <w:p>
                  <w:pPr>
                    <w:pStyle w:val="45"/>
                    <w:rPr>
                      <w:kern w:val="0"/>
                      <w:szCs w:val="20"/>
                    </w:rPr>
                  </w:pPr>
                </w:p>
              </w:tc>
              <w:tc>
                <w:tcPr>
                  <w:tcW w:w="1192" w:type="dxa"/>
                  <w:gridSpan w:val="2"/>
                  <w:vAlign w:val="center"/>
                </w:tcPr>
                <w:p>
                  <w:pPr>
                    <w:pStyle w:val="45"/>
                    <w:rPr>
                      <w:kern w:val="0"/>
                      <w:szCs w:val="20"/>
                    </w:rPr>
                  </w:pPr>
                  <w:r>
                    <w:rPr>
                      <w:kern w:val="0"/>
                      <w:szCs w:val="20"/>
                    </w:rPr>
                    <w:t>抛光打磨粉尘</w:t>
                  </w:r>
                </w:p>
              </w:tc>
              <w:tc>
                <w:tcPr>
                  <w:tcW w:w="2325" w:type="dxa"/>
                  <w:vAlign w:val="center"/>
                </w:tcPr>
                <w:p>
                  <w:pPr>
                    <w:pStyle w:val="45"/>
                    <w:rPr>
                      <w:kern w:val="0"/>
                      <w:szCs w:val="20"/>
                    </w:rPr>
                  </w:pPr>
                  <w:r>
                    <w:rPr>
                      <w:kern w:val="0"/>
                      <w:szCs w:val="20"/>
                    </w:rPr>
                    <w:t>集尘罩+4</w:t>
                  </w:r>
                  <w:r>
                    <w:rPr>
                      <w:rFonts w:hint="eastAsia"/>
                      <w:kern w:val="0"/>
                      <w:szCs w:val="20"/>
                    </w:rPr>
                    <w:t>套（B、</w:t>
                  </w:r>
                  <w:r>
                    <w:rPr>
                      <w:kern w:val="0"/>
                      <w:szCs w:val="20"/>
                    </w:rPr>
                    <w:t>C</w:t>
                  </w:r>
                  <w:r>
                    <w:rPr>
                      <w:rFonts w:hint="eastAsia"/>
                      <w:kern w:val="0"/>
                      <w:szCs w:val="20"/>
                    </w:rPr>
                    <w:t>、</w:t>
                  </w:r>
                  <w:r>
                    <w:rPr>
                      <w:kern w:val="0"/>
                      <w:szCs w:val="20"/>
                    </w:rPr>
                    <w:t>D</w:t>
                  </w:r>
                  <w:r>
                    <w:rPr>
                      <w:rFonts w:hint="eastAsia"/>
                      <w:kern w:val="0"/>
                      <w:szCs w:val="20"/>
                    </w:rPr>
                    <w:t>、</w:t>
                  </w:r>
                  <w:r>
                    <w:rPr>
                      <w:kern w:val="0"/>
                      <w:szCs w:val="20"/>
                    </w:rPr>
                    <w:t>E</w:t>
                  </w:r>
                  <w:r>
                    <w:rPr>
                      <w:rFonts w:hint="eastAsia"/>
                      <w:kern w:val="0"/>
                      <w:szCs w:val="20"/>
                    </w:rPr>
                    <w:t>）</w:t>
                  </w:r>
                  <w:r>
                    <w:rPr>
                      <w:kern w:val="0"/>
                      <w:szCs w:val="20"/>
                    </w:rPr>
                    <w:t>喷淋塔+3</w:t>
                  </w:r>
                  <w:r>
                    <w:rPr>
                      <w:rFonts w:hint="eastAsia"/>
                      <w:kern w:val="0"/>
                      <w:szCs w:val="20"/>
                    </w:rPr>
                    <w:t>套</w:t>
                  </w:r>
                  <w:r>
                    <w:rPr>
                      <w:kern w:val="0"/>
                      <w:szCs w:val="20"/>
                    </w:rPr>
                    <w:t>15m 排气筒</w:t>
                  </w:r>
                  <w:r>
                    <w:rPr>
                      <w:rFonts w:hint="eastAsia"/>
                      <w:kern w:val="0"/>
                      <w:szCs w:val="20"/>
                    </w:rPr>
                    <w:t>，其中1号抛光车间和热冲车间共用G</w:t>
                  </w:r>
                  <w:r>
                    <w:rPr>
                      <w:kern w:val="0"/>
                      <w:szCs w:val="20"/>
                    </w:rPr>
                    <w:t>1</w:t>
                  </w:r>
                  <w:r>
                    <w:rPr>
                      <w:rFonts w:hint="eastAsia"/>
                      <w:kern w:val="0"/>
                      <w:szCs w:val="20"/>
                    </w:rPr>
                    <w:t>排气筒；2、3号抛光车间共用G</w:t>
                  </w:r>
                  <w:r>
                    <w:rPr>
                      <w:kern w:val="0"/>
                      <w:szCs w:val="20"/>
                    </w:rPr>
                    <w:t>2</w:t>
                  </w:r>
                  <w:r>
                    <w:rPr>
                      <w:rFonts w:hint="eastAsia"/>
                      <w:kern w:val="0"/>
                      <w:szCs w:val="20"/>
                    </w:rPr>
                    <w:t>排气筒；4号抛光车间使用G</w:t>
                  </w:r>
                  <w:r>
                    <w:rPr>
                      <w:kern w:val="0"/>
                      <w:szCs w:val="20"/>
                    </w:rPr>
                    <w:t>3</w:t>
                  </w:r>
                  <w:r>
                    <w:rPr>
                      <w:rFonts w:hint="eastAsia"/>
                      <w:kern w:val="0"/>
                      <w:szCs w:val="20"/>
                    </w:rPr>
                    <w:t>排气筒</w:t>
                  </w:r>
                </w:p>
              </w:tc>
              <w:tc>
                <w:tcPr>
                  <w:tcW w:w="3260" w:type="dxa"/>
                  <w:vAlign w:val="center"/>
                </w:tcPr>
                <w:p>
                  <w:pPr>
                    <w:pStyle w:val="45"/>
                    <w:jc w:val="left"/>
                    <w:rPr>
                      <w:kern w:val="0"/>
                      <w:szCs w:val="20"/>
                    </w:rPr>
                  </w:pPr>
                  <w:r>
                    <w:rPr>
                      <w:kern w:val="0"/>
                      <w:szCs w:val="20"/>
                    </w:rPr>
                    <w:t>有组织排放执行广东省地方标准《大气污染物排放限值》</w:t>
                  </w:r>
                </w:p>
                <w:p>
                  <w:pPr>
                    <w:pStyle w:val="45"/>
                    <w:jc w:val="left"/>
                    <w:rPr>
                      <w:kern w:val="0"/>
                      <w:szCs w:val="20"/>
                    </w:rPr>
                  </w:pPr>
                  <w:r>
                    <w:rPr>
                      <w:kern w:val="0"/>
                      <w:szCs w:val="20"/>
                    </w:rPr>
                    <w:t>（DB44/27-2001）第二时段二级标准；</w:t>
                  </w:r>
                </w:p>
                <w:p>
                  <w:pPr>
                    <w:pStyle w:val="45"/>
                    <w:jc w:val="left"/>
                    <w:rPr>
                      <w:color w:val="FF0000"/>
                      <w:kern w:val="0"/>
                      <w:szCs w:val="20"/>
                    </w:rPr>
                  </w:pPr>
                  <w:r>
                    <w:rPr>
                      <w:kern w:val="0"/>
                      <w:szCs w:val="20"/>
                    </w:rPr>
                    <w:t>无组织排放执行《大气污染物排</w:t>
                  </w:r>
                  <w:r>
                    <w:rPr>
                      <w:color w:val="FF0000"/>
                      <w:kern w:val="0"/>
                      <w:szCs w:val="20"/>
                    </w:rPr>
                    <w:t>放限</w:t>
                  </w:r>
                  <w:r>
                    <w:rPr>
                      <w:kern w:val="0"/>
                      <w:szCs w:val="20"/>
                    </w:rPr>
                    <w:t>值》（DB44/27-2001）无组织排放监控浓度</w:t>
                  </w:r>
                  <w:r>
                    <w:rPr>
                      <w:color w:val="000000" w:themeColor="text1"/>
                      <w:kern w:val="0"/>
                      <w:szCs w:val="20"/>
                    </w:rPr>
                    <w:t>限值</w:t>
                  </w:r>
                </w:p>
              </w:tc>
              <w:tc>
                <w:tcPr>
                  <w:tcW w:w="1076" w:type="dxa"/>
                  <w:vAlign w:val="center"/>
                </w:tcPr>
                <w:p>
                  <w:pPr>
                    <w:pStyle w:val="45"/>
                    <w:rPr>
                      <w:kern w:val="0"/>
                      <w:szCs w:val="20"/>
                    </w:rPr>
                  </w:pPr>
                  <w:r>
                    <w:rPr>
                      <w:kern w:val="0"/>
                      <w:szCs w:val="20"/>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806" w:type="dxa"/>
                  <w:vAlign w:val="center"/>
                </w:tcPr>
                <w:p>
                  <w:pPr>
                    <w:pStyle w:val="45"/>
                    <w:rPr>
                      <w:kern w:val="0"/>
                      <w:szCs w:val="20"/>
                    </w:rPr>
                  </w:pPr>
                  <w:r>
                    <w:rPr>
                      <w:kern w:val="0"/>
                      <w:szCs w:val="20"/>
                    </w:rPr>
                    <w:t>噪声</w:t>
                  </w:r>
                </w:p>
              </w:tc>
              <w:tc>
                <w:tcPr>
                  <w:tcW w:w="812" w:type="dxa"/>
                  <w:vAlign w:val="center"/>
                </w:tcPr>
                <w:p>
                  <w:pPr>
                    <w:pStyle w:val="45"/>
                    <w:rPr>
                      <w:kern w:val="0"/>
                      <w:szCs w:val="20"/>
                    </w:rPr>
                  </w:pPr>
                  <w:r>
                    <w:rPr>
                      <w:kern w:val="0"/>
                      <w:szCs w:val="20"/>
                    </w:rPr>
                    <w:t>生产</w:t>
                  </w:r>
                </w:p>
                <w:p>
                  <w:pPr>
                    <w:pStyle w:val="45"/>
                    <w:rPr>
                      <w:kern w:val="0"/>
                      <w:szCs w:val="20"/>
                    </w:rPr>
                  </w:pPr>
                  <w:r>
                    <w:rPr>
                      <w:kern w:val="0"/>
                      <w:szCs w:val="20"/>
                    </w:rPr>
                    <w:t>设备</w:t>
                  </w:r>
                </w:p>
              </w:tc>
              <w:tc>
                <w:tcPr>
                  <w:tcW w:w="380" w:type="dxa"/>
                  <w:vAlign w:val="center"/>
                </w:tcPr>
                <w:p>
                  <w:pPr>
                    <w:pStyle w:val="45"/>
                    <w:rPr>
                      <w:kern w:val="0"/>
                      <w:szCs w:val="20"/>
                    </w:rPr>
                  </w:pPr>
                  <w:r>
                    <w:rPr>
                      <w:kern w:val="0"/>
                      <w:szCs w:val="20"/>
                    </w:rPr>
                    <w:t>噪声</w:t>
                  </w:r>
                </w:p>
              </w:tc>
              <w:tc>
                <w:tcPr>
                  <w:tcW w:w="2325" w:type="dxa"/>
                  <w:vAlign w:val="center"/>
                </w:tcPr>
                <w:p>
                  <w:pPr>
                    <w:pStyle w:val="45"/>
                    <w:rPr>
                      <w:kern w:val="0"/>
                      <w:szCs w:val="20"/>
                    </w:rPr>
                  </w:pPr>
                  <w:r>
                    <w:rPr>
                      <w:kern w:val="0"/>
                      <w:szCs w:val="20"/>
                    </w:rPr>
                    <w:t>消声、减振、隔声等措施</w:t>
                  </w:r>
                </w:p>
              </w:tc>
              <w:tc>
                <w:tcPr>
                  <w:tcW w:w="3260" w:type="dxa"/>
                  <w:vAlign w:val="center"/>
                </w:tcPr>
                <w:p>
                  <w:pPr>
                    <w:pStyle w:val="45"/>
                    <w:rPr>
                      <w:kern w:val="0"/>
                      <w:szCs w:val="20"/>
                    </w:rPr>
                  </w:pPr>
                  <w:r>
                    <w:rPr>
                      <w:kern w:val="0"/>
                      <w:szCs w:val="20"/>
                    </w:rPr>
                    <w:t>《工业企业厂界环境噪声排放标准》(GB12348-2008)3类标准</w:t>
                  </w:r>
                </w:p>
              </w:tc>
              <w:tc>
                <w:tcPr>
                  <w:tcW w:w="1076" w:type="dxa"/>
                  <w:vAlign w:val="center"/>
                </w:tcPr>
                <w:p>
                  <w:pPr>
                    <w:pStyle w:val="45"/>
                    <w:rPr>
                      <w:kern w:val="0"/>
                      <w:szCs w:val="20"/>
                    </w:rPr>
                  </w:pPr>
                  <w:r>
                    <w:rPr>
                      <w:kern w:val="0"/>
                      <w:szCs w:val="20"/>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806" w:type="dxa"/>
                  <w:vMerge w:val="restart"/>
                  <w:vAlign w:val="center"/>
                </w:tcPr>
                <w:p>
                  <w:pPr>
                    <w:pStyle w:val="45"/>
                    <w:rPr>
                      <w:kern w:val="0"/>
                      <w:szCs w:val="20"/>
                    </w:rPr>
                  </w:pPr>
                  <w:r>
                    <w:rPr>
                      <w:kern w:val="0"/>
                      <w:szCs w:val="20"/>
                    </w:rPr>
                    <w:t>固体废物</w:t>
                  </w:r>
                </w:p>
              </w:tc>
              <w:tc>
                <w:tcPr>
                  <w:tcW w:w="1192" w:type="dxa"/>
                  <w:gridSpan w:val="2"/>
                  <w:vAlign w:val="center"/>
                </w:tcPr>
                <w:p>
                  <w:pPr>
                    <w:pStyle w:val="45"/>
                    <w:rPr>
                      <w:kern w:val="0"/>
                      <w:szCs w:val="20"/>
                    </w:rPr>
                  </w:pPr>
                  <w:r>
                    <w:rPr>
                      <w:kern w:val="0"/>
                      <w:szCs w:val="20"/>
                    </w:rPr>
                    <w:t>生活</w:t>
                  </w:r>
                </w:p>
                <w:p>
                  <w:pPr>
                    <w:pStyle w:val="45"/>
                    <w:rPr>
                      <w:kern w:val="0"/>
                      <w:szCs w:val="20"/>
                    </w:rPr>
                  </w:pPr>
                  <w:r>
                    <w:rPr>
                      <w:kern w:val="0"/>
                      <w:szCs w:val="20"/>
                    </w:rPr>
                    <w:t>垃圾</w:t>
                  </w:r>
                </w:p>
              </w:tc>
              <w:tc>
                <w:tcPr>
                  <w:tcW w:w="2325" w:type="dxa"/>
                  <w:vAlign w:val="center"/>
                </w:tcPr>
                <w:p>
                  <w:pPr>
                    <w:pStyle w:val="45"/>
                    <w:rPr>
                      <w:kern w:val="0"/>
                      <w:szCs w:val="20"/>
                    </w:rPr>
                  </w:pPr>
                  <w:r>
                    <w:rPr>
                      <w:kern w:val="0"/>
                      <w:szCs w:val="20"/>
                    </w:rPr>
                    <w:t>环卫部门定期清理</w:t>
                  </w:r>
                </w:p>
              </w:tc>
              <w:tc>
                <w:tcPr>
                  <w:tcW w:w="3260" w:type="dxa"/>
                  <w:vMerge w:val="restart"/>
                  <w:vAlign w:val="center"/>
                </w:tcPr>
                <w:p>
                  <w:pPr>
                    <w:pStyle w:val="45"/>
                    <w:rPr>
                      <w:kern w:val="0"/>
                      <w:szCs w:val="20"/>
                    </w:rPr>
                  </w:pPr>
                  <w:r>
                    <w:rPr>
                      <w:kern w:val="0"/>
                      <w:szCs w:val="20"/>
                    </w:rPr>
                    <w:t>不外排</w:t>
                  </w:r>
                </w:p>
              </w:tc>
              <w:tc>
                <w:tcPr>
                  <w:tcW w:w="1076" w:type="dxa"/>
                  <w:vMerge w:val="restart"/>
                  <w:vAlign w:val="center"/>
                </w:tcPr>
                <w:p>
                  <w:pPr>
                    <w:pStyle w:val="45"/>
                    <w:rPr>
                      <w:kern w:val="0"/>
                      <w:szCs w:val="20"/>
                    </w:rPr>
                  </w:pPr>
                  <w:r>
                    <w:rPr>
                      <w:kern w:val="0"/>
                      <w:szCs w:val="20"/>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806" w:type="dxa"/>
                  <w:vMerge w:val="continue"/>
                  <w:vAlign w:val="center"/>
                </w:tcPr>
                <w:p>
                  <w:pPr>
                    <w:pStyle w:val="45"/>
                    <w:rPr>
                      <w:kern w:val="0"/>
                      <w:szCs w:val="20"/>
                    </w:rPr>
                  </w:pPr>
                </w:p>
              </w:tc>
              <w:tc>
                <w:tcPr>
                  <w:tcW w:w="1192" w:type="dxa"/>
                  <w:gridSpan w:val="2"/>
                  <w:vAlign w:val="center"/>
                </w:tcPr>
                <w:p>
                  <w:pPr>
                    <w:pStyle w:val="45"/>
                    <w:rPr>
                      <w:kern w:val="0"/>
                      <w:szCs w:val="20"/>
                    </w:rPr>
                  </w:pPr>
                  <w:r>
                    <w:rPr>
                      <w:kern w:val="0"/>
                      <w:szCs w:val="20"/>
                    </w:rPr>
                    <w:t>一般工业固废</w:t>
                  </w:r>
                </w:p>
              </w:tc>
              <w:tc>
                <w:tcPr>
                  <w:tcW w:w="2325" w:type="dxa"/>
                  <w:vAlign w:val="center"/>
                </w:tcPr>
                <w:p>
                  <w:pPr>
                    <w:pStyle w:val="45"/>
                    <w:rPr>
                      <w:kern w:val="0"/>
                      <w:szCs w:val="20"/>
                    </w:rPr>
                  </w:pPr>
                  <w:r>
                    <w:rPr>
                      <w:rFonts w:hint="eastAsia"/>
                      <w:kern w:val="0"/>
                      <w:szCs w:val="20"/>
                    </w:rPr>
                    <w:t>回收利用、</w:t>
                  </w:r>
                  <w:r>
                    <w:rPr>
                      <w:kern w:val="0"/>
                      <w:szCs w:val="20"/>
                    </w:rPr>
                    <w:t>外售处理或专门公司回收</w:t>
                  </w:r>
                </w:p>
              </w:tc>
              <w:tc>
                <w:tcPr>
                  <w:tcW w:w="3260" w:type="dxa"/>
                  <w:vMerge w:val="continue"/>
                  <w:vAlign w:val="center"/>
                </w:tcPr>
                <w:p>
                  <w:pPr>
                    <w:pStyle w:val="45"/>
                    <w:rPr>
                      <w:kern w:val="0"/>
                      <w:szCs w:val="20"/>
                    </w:rPr>
                  </w:pPr>
                </w:p>
              </w:tc>
              <w:tc>
                <w:tcPr>
                  <w:tcW w:w="1076" w:type="dxa"/>
                  <w:vMerge w:val="continue"/>
                  <w:vAlign w:val="center"/>
                </w:tcPr>
                <w:p>
                  <w:pPr>
                    <w:pStyle w:val="45"/>
                    <w:rPr>
                      <w:kern w:val="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1" w:hRule="atLeast"/>
                <w:jc w:val="center"/>
              </w:trPr>
              <w:tc>
                <w:tcPr>
                  <w:tcW w:w="806" w:type="dxa"/>
                  <w:vMerge w:val="continue"/>
                  <w:vAlign w:val="center"/>
                </w:tcPr>
                <w:p>
                  <w:pPr>
                    <w:pStyle w:val="45"/>
                    <w:rPr>
                      <w:kern w:val="0"/>
                      <w:szCs w:val="20"/>
                    </w:rPr>
                  </w:pPr>
                </w:p>
              </w:tc>
              <w:tc>
                <w:tcPr>
                  <w:tcW w:w="1192" w:type="dxa"/>
                  <w:gridSpan w:val="2"/>
                  <w:vAlign w:val="center"/>
                </w:tcPr>
                <w:p>
                  <w:pPr>
                    <w:pStyle w:val="45"/>
                    <w:rPr>
                      <w:kern w:val="0"/>
                      <w:szCs w:val="20"/>
                    </w:rPr>
                  </w:pPr>
                  <w:r>
                    <w:rPr>
                      <w:kern w:val="0"/>
                      <w:szCs w:val="20"/>
                    </w:rPr>
                    <w:t>危险废物</w:t>
                  </w:r>
                </w:p>
              </w:tc>
              <w:tc>
                <w:tcPr>
                  <w:tcW w:w="2325" w:type="dxa"/>
                  <w:vAlign w:val="center"/>
                </w:tcPr>
                <w:p>
                  <w:pPr>
                    <w:pStyle w:val="45"/>
                    <w:rPr>
                      <w:kern w:val="0"/>
                      <w:szCs w:val="20"/>
                    </w:rPr>
                  </w:pPr>
                  <w:r>
                    <w:rPr>
                      <w:kern w:val="0"/>
                      <w:szCs w:val="20"/>
                    </w:rPr>
                    <w:t>含油抹布、手套</w:t>
                  </w:r>
                  <w:r>
                    <w:rPr>
                      <w:rFonts w:hint="eastAsia"/>
                      <w:kern w:val="0"/>
                      <w:szCs w:val="20"/>
                    </w:rPr>
                    <w:t>按危险废物豁免管理清单要求执行；</w:t>
                  </w:r>
                  <w:r>
                    <w:rPr>
                      <w:kern w:val="0"/>
                      <w:szCs w:val="20"/>
                    </w:rPr>
                    <w:t>既有包装桶由有资质的危废公司处理</w:t>
                  </w:r>
                </w:p>
              </w:tc>
              <w:tc>
                <w:tcPr>
                  <w:tcW w:w="3260" w:type="dxa"/>
                  <w:vAlign w:val="center"/>
                </w:tcPr>
                <w:p>
                  <w:pPr>
                    <w:pStyle w:val="45"/>
                    <w:rPr>
                      <w:kern w:val="0"/>
                      <w:szCs w:val="20"/>
                    </w:rPr>
                  </w:pPr>
                  <w:r>
                    <w:rPr>
                      <w:kern w:val="0"/>
                      <w:szCs w:val="20"/>
                    </w:rPr>
                    <w:t>不外排</w:t>
                  </w:r>
                </w:p>
              </w:tc>
              <w:tc>
                <w:tcPr>
                  <w:tcW w:w="1076" w:type="dxa"/>
                  <w:vAlign w:val="center"/>
                </w:tcPr>
                <w:p>
                  <w:pPr>
                    <w:pStyle w:val="45"/>
                    <w:rPr>
                      <w:kern w:val="0"/>
                      <w:szCs w:val="20"/>
                    </w:rPr>
                  </w:pPr>
                  <w:r>
                    <w:rPr>
                      <w:kern w:val="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1998" w:type="dxa"/>
                  <w:gridSpan w:val="3"/>
                  <w:vAlign w:val="center"/>
                </w:tcPr>
                <w:p>
                  <w:pPr>
                    <w:pStyle w:val="45"/>
                    <w:rPr>
                      <w:kern w:val="0"/>
                      <w:szCs w:val="20"/>
                    </w:rPr>
                  </w:pPr>
                  <w:r>
                    <w:rPr>
                      <w:kern w:val="0"/>
                      <w:szCs w:val="20"/>
                    </w:rPr>
                    <w:t>环境风险</w:t>
                  </w:r>
                </w:p>
              </w:tc>
              <w:tc>
                <w:tcPr>
                  <w:tcW w:w="2325" w:type="dxa"/>
                  <w:vAlign w:val="center"/>
                </w:tcPr>
                <w:p>
                  <w:pPr>
                    <w:pStyle w:val="45"/>
                    <w:rPr>
                      <w:kern w:val="0"/>
                      <w:szCs w:val="20"/>
                    </w:rPr>
                  </w:pPr>
                  <w:r>
                    <w:rPr>
                      <w:kern w:val="0"/>
                      <w:szCs w:val="20"/>
                    </w:rPr>
                    <w:t>应急措施</w:t>
                  </w:r>
                </w:p>
              </w:tc>
              <w:tc>
                <w:tcPr>
                  <w:tcW w:w="3260" w:type="dxa"/>
                  <w:vAlign w:val="center"/>
                </w:tcPr>
                <w:p>
                  <w:pPr>
                    <w:pStyle w:val="45"/>
                    <w:rPr>
                      <w:kern w:val="0"/>
                      <w:szCs w:val="20"/>
                    </w:rPr>
                  </w:pPr>
                  <w:r>
                    <w:rPr>
                      <w:kern w:val="0"/>
                      <w:szCs w:val="20"/>
                    </w:rPr>
                    <w:t>可控</w:t>
                  </w:r>
                </w:p>
              </w:tc>
              <w:tc>
                <w:tcPr>
                  <w:tcW w:w="1076" w:type="dxa"/>
                  <w:vAlign w:val="center"/>
                </w:tcPr>
                <w:p>
                  <w:pPr>
                    <w:pStyle w:val="45"/>
                    <w:rPr>
                      <w:kern w:val="0"/>
                      <w:szCs w:val="20"/>
                    </w:rPr>
                  </w:pPr>
                  <w:r>
                    <w:rPr>
                      <w:kern w:val="0"/>
                      <w:szCs w:val="20"/>
                    </w:rPr>
                    <w:t>3</w:t>
                  </w:r>
                </w:p>
              </w:tc>
            </w:tr>
          </w:tbl>
          <w:p>
            <w:pPr>
              <w:keepNext/>
              <w:keepLines/>
              <w:ind w:firstLine="0" w:firstLineChars="0"/>
              <w:outlineLvl w:val="2"/>
              <w:rPr>
                <w:rFonts w:cs="Times New Roman"/>
                <w:b/>
                <w:bCs/>
                <w:sz w:val="28"/>
                <w:szCs w:val="32"/>
                <w:lang w:val="zh-CN"/>
              </w:rPr>
            </w:pPr>
            <w:r>
              <w:rPr>
                <w:rFonts w:cs="Times New Roman"/>
                <w:b/>
                <w:bCs/>
                <w:sz w:val="28"/>
                <w:szCs w:val="32"/>
                <w:lang w:val="zh-CN"/>
              </w:rPr>
              <w:t>7.4.1建设项目环境管理和监测计划</w:t>
            </w:r>
          </w:p>
          <w:p>
            <w:pPr>
              <w:adjustRightInd w:val="0"/>
              <w:snapToGrid w:val="0"/>
              <w:ind w:firstLine="480"/>
              <w:rPr>
                <w:rFonts w:cs="Times New Roman"/>
                <w:color w:val="000000"/>
              </w:rPr>
            </w:pPr>
            <w:r>
              <w:rPr>
                <w:rFonts w:cs="Times New Roman"/>
                <w:color w:val="000000"/>
              </w:rPr>
              <w:t>（1）环境管理</w:t>
            </w:r>
          </w:p>
          <w:p>
            <w:pPr>
              <w:adjustRightInd w:val="0"/>
              <w:snapToGrid w:val="0"/>
              <w:ind w:firstLine="480"/>
              <w:rPr>
                <w:rFonts w:cs="Times New Roman"/>
                <w:color w:val="000000"/>
              </w:rPr>
            </w:pPr>
            <w:r>
              <w:rPr>
                <w:rFonts w:cs="Times New Roman"/>
                <w:color w:val="000000"/>
              </w:rPr>
              <w:t>建设单位应设置环境保护管理机构，负责组织、落实、监督本项目的环保工作、制定并实施本项目的一系列环境管理制度、接受生态环境部门的监督管理。 事中事后管理是指环保部门对本行政区域内的建设项目自办理环评手续到正式生产后进行监督管理。根据《关于强化建设项目环境影响评价事中事后监管的实施意见》（环环评[2018]11 号），建设单位须依法依规履行环评程序、开展公众参与情况；若建设单位存在未落实防治污染和生态破坏的措施、建设过程中未同时组织实施环境保护措 施、环境保护设施未经验收或者验收不合格即投入生产或使用、未公开环境保护设施验收报告、未依法开展环境影响后评价等违法行为，将被依法查处。</w:t>
            </w:r>
          </w:p>
          <w:p>
            <w:pPr>
              <w:adjustRightInd w:val="0"/>
              <w:snapToGrid w:val="0"/>
              <w:ind w:firstLine="480"/>
              <w:rPr>
                <w:rFonts w:cs="Times New Roman"/>
                <w:color w:val="000000"/>
              </w:rPr>
            </w:pPr>
            <w:r>
              <w:rPr>
                <w:rFonts w:cs="Times New Roman"/>
                <w:color w:val="000000"/>
              </w:rPr>
              <w:t xml:space="preserve">（2）监测计划 </w:t>
            </w:r>
          </w:p>
          <w:p>
            <w:pPr>
              <w:adjustRightInd w:val="0"/>
              <w:snapToGrid w:val="0"/>
              <w:ind w:firstLine="480"/>
              <w:rPr>
                <w:rFonts w:cs="Times New Roman"/>
                <w:color w:val="000000"/>
              </w:rPr>
            </w:pPr>
            <w:r>
              <w:rPr>
                <w:rFonts w:cs="Times New Roman"/>
                <w:color w:val="000000"/>
              </w:rPr>
              <w:t>为了掌握大气、水、固体废物等污染源的排放情况和噪声源的影响情况，控制项目所在位置与周围环境中主要污染物状况，保证周围人群的健康，有必要对工程进行运营期的定期监测，并制定切合工程实际的环境监测计划。根据《排污单位自行监测技术指南总则》（HJ819-2017），建设单位可根据自身条件和能力，利用自有人员、场所和设备自行监测；也可委托其它有资质的检（监）测机构代其开展自行监测，所有监测方法与分析方法采用现行国家或行业的有关标准或规范进行。本项目环境质量监测计划详见下表。</w:t>
            </w:r>
          </w:p>
          <w:p>
            <w:pPr>
              <w:adjustRightInd w:val="0"/>
              <w:snapToGrid w:val="0"/>
              <w:spacing w:line="240" w:lineRule="auto"/>
              <w:ind w:firstLine="422" w:firstLineChars="0"/>
              <w:jc w:val="center"/>
              <w:rPr>
                <w:rFonts w:cs="Times New Roman"/>
                <w:b/>
                <w:color w:val="000000"/>
                <w:sz w:val="21"/>
                <w:lang w:val="zh-CN"/>
              </w:rPr>
            </w:pPr>
            <w:r>
              <w:rPr>
                <w:rFonts w:cs="Times New Roman"/>
                <w:b/>
                <w:color w:val="000000"/>
                <w:sz w:val="21"/>
                <w:lang w:val="zh-CN"/>
              </w:rPr>
              <w:t>表7-15 建设项目监测计划表</w:t>
            </w:r>
          </w:p>
          <w:tbl>
            <w:tblPr>
              <w:tblStyle w:val="50"/>
              <w:tblW w:w="872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1134"/>
              <w:gridCol w:w="2148"/>
              <w:gridCol w:w="42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exact"/>
                <w:jc w:val="center"/>
              </w:trPr>
              <w:tc>
                <w:tcPr>
                  <w:tcW w:w="1241" w:type="dxa"/>
                  <w:vAlign w:val="center"/>
                </w:tcPr>
                <w:p>
                  <w:pPr>
                    <w:pStyle w:val="45"/>
                    <w:rPr>
                      <w:kern w:val="0"/>
                      <w:szCs w:val="20"/>
                    </w:rPr>
                  </w:pPr>
                  <w:r>
                    <w:rPr>
                      <w:kern w:val="0"/>
                      <w:szCs w:val="20"/>
                    </w:rPr>
                    <w:t>监测点位</w:t>
                  </w:r>
                </w:p>
              </w:tc>
              <w:tc>
                <w:tcPr>
                  <w:tcW w:w="1134" w:type="dxa"/>
                  <w:vAlign w:val="center"/>
                </w:tcPr>
                <w:p>
                  <w:pPr>
                    <w:pStyle w:val="45"/>
                    <w:rPr>
                      <w:kern w:val="0"/>
                      <w:szCs w:val="20"/>
                    </w:rPr>
                  </w:pPr>
                  <w:r>
                    <w:rPr>
                      <w:kern w:val="0"/>
                      <w:szCs w:val="20"/>
                    </w:rPr>
                    <w:t>监测指标</w:t>
                  </w:r>
                </w:p>
              </w:tc>
              <w:tc>
                <w:tcPr>
                  <w:tcW w:w="2148" w:type="dxa"/>
                  <w:vAlign w:val="center"/>
                </w:tcPr>
                <w:p>
                  <w:pPr>
                    <w:pStyle w:val="45"/>
                    <w:rPr>
                      <w:kern w:val="0"/>
                      <w:szCs w:val="20"/>
                    </w:rPr>
                  </w:pPr>
                  <w:r>
                    <w:rPr>
                      <w:kern w:val="0"/>
                      <w:szCs w:val="20"/>
                    </w:rPr>
                    <w:t>监测频次</w:t>
                  </w:r>
                </w:p>
              </w:tc>
              <w:tc>
                <w:tcPr>
                  <w:tcW w:w="4204" w:type="dxa"/>
                  <w:vAlign w:val="center"/>
                </w:tcPr>
                <w:p>
                  <w:pPr>
                    <w:pStyle w:val="45"/>
                    <w:rPr>
                      <w:kern w:val="0"/>
                      <w:szCs w:val="20"/>
                    </w:rPr>
                  </w:pPr>
                  <w:r>
                    <w:rPr>
                      <w:kern w:val="0"/>
                      <w:szCs w:val="20"/>
                    </w:rPr>
                    <w:t>执行环境质量标准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61" w:hRule="atLeast"/>
                <w:jc w:val="center"/>
              </w:trPr>
              <w:tc>
                <w:tcPr>
                  <w:tcW w:w="1241" w:type="dxa"/>
                  <w:vAlign w:val="center"/>
                </w:tcPr>
                <w:p>
                  <w:pPr>
                    <w:pStyle w:val="45"/>
                    <w:rPr>
                      <w:kern w:val="0"/>
                      <w:szCs w:val="20"/>
                    </w:rPr>
                  </w:pPr>
                  <w:r>
                    <w:rPr>
                      <w:kern w:val="0"/>
                      <w:szCs w:val="20"/>
                    </w:rPr>
                    <w:t>废水排放</w:t>
                  </w:r>
                </w:p>
                <w:p>
                  <w:pPr>
                    <w:pStyle w:val="45"/>
                    <w:rPr>
                      <w:kern w:val="0"/>
                      <w:szCs w:val="20"/>
                    </w:rPr>
                  </w:pPr>
                  <w:r>
                    <w:rPr>
                      <w:kern w:val="0"/>
                      <w:szCs w:val="20"/>
                    </w:rPr>
                    <w:t>口</w:t>
                  </w:r>
                </w:p>
              </w:tc>
              <w:tc>
                <w:tcPr>
                  <w:tcW w:w="1134" w:type="dxa"/>
                  <w:vAlign w:val="center"/>
                </w:tcPr>
                <w:p>
                  <w:pPr>
                    <w:pStyle w:val="45"/>
                    <w:rPr>
                      <w:kern w:val="0"/>
                      <w:szCs w:val="20"/>
                    </w:rPr>
                  </w:pPr>
                  <w:r>
                    <w:rPr>
                      <w:kern w:val="0"/>
                      <w:szCs w:val="20"/>
                    </w:rPr>
                    <w:t>COD、BOD5、</w:t>
                  </w:r>
                </w:p>
                <w:p>
                  <w:pPr>
                    <w:pStyle w:val="45"/>
                    <w:rPr>
                      <w:kern w:val="0"/>
                      <w:szCs w:val="20"/>
                    </w:rPr>
                  </w:pPr>
                  <w:r>
                    <w:rPr>
                      <w:kern w:val="0"/>
                      <w:szCs w:val="20"/>
                    </w:rPr>
                    <w:t>NH3-N、SS</w:t>
                  </w:r>
                </w:p>
              </w:tc>
              <w:tc>
                <w:tcPr>
                  <w:tcW w:w="2148" w:type="dxa"/>
                  <w:vAlign w:val="center"/>
                </w:tcPr>
                <w:p>
                  <w:pPr>
                    <w:pStyle w:val="45"/>
                    <w:rPr>
                      <w:kern w:val="0"/>
                      <w:szCs w:val="20"/>
                    </w:rPr>
                  </w:pPr>
                  <w:r>
                    <w:rPr>
                      <w:kern w:val="0"/>
                      <w:szCs w:val="20"/>
                    </w:rPr>
                    <w:t>每年至少 1次</w:t>
                  </w:r>
                </w:p>
              </w:tc>
              <w:tc>
                <w:tcPr>
                  <w:tcW w:w="4204" w:type="dxa"/>
                  <w:vAlign w:val="center"/>
                </w:tcPr>
                <w:p>
                  <w:pPr>
                    <w:pStyle w:val="45"/>
                    <w:rPr>
                      <w:kern w:val="0"/>
                      <w:szCs w:val="20"/>
                    </w:rPr>
                  </w:pPr>
                  <w:r>
                    <w:rPr>
                      <w:kern w:val="0"/>
                      <w:szCs w:val="20"/>
                    </w:rPr>
                    <w:t>达到广东省《水污染物排放限值》(DB44/26-2001)第二时段三级标准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8" w:hRule="exact"/>
                <w:jc w:val="center"/>
              </w:trPr>
              <w:tc>
                <w:tcPr>
                  <w:tcW w:w="1241" w:type="dxa"/>
                  <w:vAlign w:val="center"/>
                </w:tcPr>
                <w:p>
                  <w:pPr>
                    <w:pStyle w:val="45"/>
                    <w:rPr>
                      <w:kern w:val="0"/>
                      <w:szCs w:val="20"/>
                    </w:rPr>
                  </w:pPr>
                  <w:r>
                    <w:rPr>
                      <w:rFonts w:hint="eastAsia"/>
                      <w:kern w:val="0"/>
                      <w:szCs w:val="20"/>
                    </w:rPr>
                    <w:t>G</w:t>
                  </w:r>
                  <w:r>
                    <w:rPr>
                      <w:kern w:val="0"/>
                      <w:szCs w:val="20"/>
                    </w:rPr>
                    <w:t>1</w:t>
                  </w:r>
                  <w:r>
                    <w:rPr>
                      <w:rFonts w:hint="eastAsia"/>
                      <w:kern w:val="0"/>
                      <w:szCs w:val="20"/>
                    </w:rPr>
                    <w:t>排气筒</w:t>
                  </w:r>
                </w:p>
              </w:tc>
              <w:tc>
                <w:tcPr>
                  <w:tcW w:w="1134" w:type="dxa"/>
                  <w:vAlign w:val="center"/>
                </w:tcPr>
                <w:p>
                  <w:pPr>
                    <w:pStyle w:val="45"/>
                    <w:rPr>
                      <w:kern w:val="0"/>
                      <w:szCs w:val="20"/>
                    </w:rPr>
                  </w:pPr>
                  <w:r>
                    <w:rPr>
                      <w:rFonts w:hint="eastAsia"/>
                      <w:kern w:val="0"/>
                      <w:szCs w:val="20"/>
                    </w:rPr>
                    <w:t>油烟</w:t>
                  </w:r>
                </w:p>
              </w:tc>
              <w:tc>
                <w:tcPr>
                  <w:tcW w:w="2148" w:type="dxa"/>
                  <w:vAlign w:val="center"/>
                </w:tcPr>
                <w:p>
                  <w:pPr>
                    <w:pStyle w:val="45"/>
                    <w:rPr>
                      <w:kern w:val="0"/>
                      <w:szCs w:val="20"/>
                    </w:rPr>
                  </w:pPr>
                  <w:r>
                    <w:rPr>
                      <w:kern w:val="0"/>
                      <w:szCs w:val="20"/>
                    </w:rPr>
                    <w:t>每年至少监测一次</w:t>
                  </w:r>
                </w:p>
              </w:tc>
              <w:tc>
                <w:tcPr>
                  <w:tcW w:w="4204" w:type="dxa"/>
                  <w:vAlign w:val="center"/>
                </w:tcPr>
                <w:p>
                  <w:pPr>
                    <w:pStyle w:val="45"/>
                    <w:rPr>
                      <w:kern w:val="0"/>
                      <w:szCs w:val="20"/>
                    </w:rPr>
                  </w:pPr>
                  <w:r>
                    <w:rPr>
                      <w:kern w:val="0"/>
                      <w:szCs w:val="20"/>
                    </w:rPr>
                    <w:t>达到《饮食业油烟排放标准》（GB18483-2001）油烟最高允许排放浓度限值要求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27" w:hRule="exact"/>
                <w:jc w:val="center"/>
              </w:trPr>
              <w:tc>
                <w:tcPr>
                  <w:tcW w:w="1241" w:type="dxa"/>
                  <w:vAlign w:val="center"/>
                </w:tcPr>
                <w:p>
                  <w:pPr>
                    <w:pStyle w:val="45"/>
                    <w:rPr>
                      <w:kern w:val="0"/>
                      <w:szCs w:val="20"/>
                    </w:rPr>
                  </w:pPr>
                  <w:r>
                    <w:rPr>
                      <w:rFonts w:hint="eastAsia"/>
                      <w:kern w:val="0"/>
                      <w:szCs w:val="20"/>
                    </w:rPr>
                    <w:t>G1、G2、G3排气筒</w:t>
                  </w:r>
                </w:p>
              </w:tc>
              <w:tc>
                <w:tcPr>
                  <w:tcW w:w="1134" w:type="dxa"/>
                  <w:vAlign w:val="center"/>
                </w:tcPr>
                <w:p>
                  <w:pPr>
                    <w:pStyle w:val="45"/>
                    <w:rPr>
                      <w:kern w:val="0"/>
                      <w:szCs w:val="20"/>
                    </w:rPr>
                  </w:pPr>
                  <w:r>
                    <w:rPr>
                      <w:rFonts w:hint="eastAsia"/>
                      <w:kern w:val="0"/>
                      <w:szCs w:val="20"/>
                    </w:rPr>
                    <w:t>P</w:t>
                  </w:r>
                  <w:r>
                    <w:rPr>
                      <w:kern w:val="0"/>
                      <w:szCs w:val="20"/>
                    </w:rPr>
                    <w:t>M</w:t>
                  </w:r>
                  <w:r>
                    <w:rPr>
                      <w:kern w:val="0"/>
                      <w:szCs w:val="20"/>
                      <w:vertAlign w:val="subscript"/>
                    </w:rPr>
                    <w:t>10</w:t>
                  </w:r>
                </w:p>
              </w:tc>
              <w:tc>
                <w:tcPr>
                  <w:tcW w:w="2148" w:type="dxa"/>
                  <w:vAlign w:val="center"/>
                </w:tcPr>
                <w:p>
                  <w:pPr>
                    <w:pStyle w:val="45"/>
                    <w:rPr>
                      <w:kern w:val="0"/>
                      <w:szCs w:val="20"/>
                    </w:rPr>
                  </w:pPr>
                  <w:r>
                    <w:rPr>
                      <w:kern w:val="0"/>
                      <w:szCs w:val="20"/>
                    </w:rPr>
                    <w:t>每年至少监测1次</w:t>
                  </w:r>
                </w:p>
              </w:tc>
              <w:tc>
                <w:tcPr>
                  <w:tcW w:w="4204" w:type="dxa"/>
                  <w:vAlign w:val="center"/>
                </w:tcPr>
                <w:p>
                  <w:pPr>
                    <w:pStyle w:val="45"/>
                    <w:rPr>
                      <w:kern w:val="0"/>
                      <w:szCs w:val="20"/>
                    </w:rPr>
                  </w:pPr>
                  <w:r>
                    <w:rPr>
                      <w:kern w:val="0"/>
                      <w:szCs w:val="20"/>
                    </w:rPr>
                    <w:t>有组织粉尘排放浓度满足广东省地方标准《大气污染物排放限值》（DB44/27-2001）第二时段二级标准排放浓度限值120 mg/m</w:t>
                  </w:r>
                  <w:r>
                    <w:rPr>
                      <w:kern w:val="0"/>
                      <w:szCs w:val="20"/>
                      <w:vertAlign w:val="superscript"/>
                    </w:rPr>
                    <w:t>3</w:t>
                  </w:r>
                  <w:r>
                    <w:rPr>
                      <w:kern w:val="0"/>
                      <w:szCs w:val="20"/>
                    </w:rPr>
                    <w:t>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27" w:hRule="exact"/>
                <w:jc w:val="center"/>
              </w:trPr>
              <w:tc>
                <w:tcPr>
                  <w:tcW w:w="1241" w:type="dxa"/>
                  <w:vAlign w:val="center"/>
                </w:tcPr>
                <w:p>
                  <w:pPr>
                    <w:pStyle w:val="45"/>
                    <w:rPr>
                      <w:kern w:val="0"/>
                      <w:szCs w:val="20"/>
                    </w:rPr>
                  </w:pPr>
                  <w:r>
                    <w:rPr>
                      <w:rFonts w:hint="eastAsia"/>
                      <w:kern w:val="0"/>
                      <w:szCs w:val="20"/>
                    </w:rPr>
                    <w:t>厂界无组织监测点</w:t>
                  </w:r>
                </w:p>
              </w:tc>
              <w:tc>
                <w:tcPr>
                  <w:tcW w:w="1134" w:type="dxa"/>
                  <w:vAlign w:val="center"/>
                </w:tcPr>
                <w:p>
                  <w:pPr>
                    <w:pStyle w:val="45"/>
                    <w:rPr>
                      <w:kern w:val="0"/>
                      <w:szCs w:val="20"/>
                    </w:rPr>
                  </w:pPr>
                  <w:r>
                    <w:rPr>
                      <w:rFonts w:hint="eastAsia"/>
                      <w:kern w:val="0"/>
                      <w:szCs w:val="20"/>
                    </w:rPr>
                    <w:t>T</w:t>
                  </w:r>
                  <w:r>
                    <w:rPr>
                      <w:kern w:val="0"/>
                      <w:szCs w:val="20"/>
                    </w:rPr>
                    <w:t>SP</w:t>
                  </w:r>
                </w:p>
              </w:tc>
              <w:tc>
                <w:tcPr>
                  <w:tcW w:w="2148" w:type="dxa"/>
                  <w:vAlign w:val="center"/>
                </w:tcPr>
                <w:p>
                  <w:pPr>
                    <w:pStyle w:val="45"/>
                    <w:rPr>
                      <w:kern w:val="0"/>
                      <w:szCs w:val="20"/>
                    </w:rPr>
                  </w:pPr>
                  <w:r>
                    <w:rPr>
                      <w:kern w:val="0"/>
                      <w:szCs w:val="20"/>
                    </w:rPr>
                    <w:t>每年至少监测1次</w:t>
                  </w:r>
                </w:p>
              </w:tc>
              <w:tc>
                <w:tcPr>
                  <w:tcW w:w="4204" w:type="dxa"/>
                  <w:vAlign w:val="center"/>
                </w:tcPr>
                <w:p>
                  <w:pPr>
                    <w:pStyle w:val="45"/>
                    <w:rPr>
                      <w:kern w:val="0"/>
                      <w:szCs w:val="20"/>
                    </w:rPr>
                  </w:pPr>
                  <w:r>
                    <w:rPr>
                      <w:kern w:val="0"/>
                      <w:szCs w:val="20"/>
                    </w:rPr>
                    <w:t>无组织排放执行广东省地方标准《大气污染物排放限值》（DB44/27—2001）第二时段无组织排放监控浓度限值要求（1.0 mg/m3）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1" w:hRule="exact"/>
                <w:jc w:val="center"/>
              </w:trPr>
              <w:tc>
                <w:tcPr>
                  <w:tcW w:w="1241" w:type="dxa"/>
                  <w:vAlign w:val="center"/>
                </w:tcPr>
                <w:p>
                  <w:pPr>
                    <w:pStyle w:val="45"/>
                    <w:rPr>
                      <w:kern w:val="0"/>
                      <w:szCs w:val="20"/>
                    </w:rPr>
                  </w:pPr>
                  <w:r>
                    <w:rPr>
                      <w:kern w:val="0"/>
                      <w:szCs w:val="20"/>
                    </w:rPr>
                    <w:t>项目四周</w:t>
                  </w:r>
                </w:p>
                <w:p>
                  <w:pPr>
                    <w:pStyle w:val="45"/>
                    <w:rPr>
                      <w:kern w:val="0"/>
                      <w:szCs w:val="20"/>
                    </w:rPr>
                  </w:pPr>
                  <w:r>
                    <w:rPr>
                      <w:kern w:val="0"/>
                      <w:szCs w:val="20"/>
                    </w:rPr>
                    <w:t>边界</w:t>
                  </w:r>
                </w:p>
              </w:tc>
              <w:tc>
                <w:tcPr>
                  <w:tcW w:w="1134" w:type="dxa"/>
                  <w:vAlign w:val="center"/>
                </w:tcPr>
                <w:p>
                  <w:pPr>
                    <w:pStyle w:val="45"/>
                    <w:rPr>
                      <w:kern w:val="0"/>
                      <w:szCs w:val="20"/>
                    </w:rPr>
                  </w:pPr>
                  <w:r>
                    <w:rPr>
                      <w:kern w:val="0"/>
                      <w:szCs w:val="20"/>
                    </w:rPr>
                    <w:t>等效连续 A</w:t>
                  </w:r>
                </w:p>
                <w:p>
                  <w:pPr>
                    <w:pStyle w:val="45"/>
                    <w:rPr>
                      <w:kern w:val="0"/>
                      <w:szCs w:val="20"/>
                    </w:rPr>
                  </w:pPr>
                  <w:r>
                    <w:rPr>
                      <w:kern w:val="0"/>
                      <w:szCs w:val="20"/>
                    </w:rPr>
                    <w:t>声级</w:t>
                  </w:r>
                </w:p>
              </w:tc>
              <w:tc>
                <w:tcPr>
                  <w:tcW w:w="2148" w:type="dxa"/>
                  <w:vAlign w:val="center"/>
                </w:tcPr>
                <w:p>
                  <w:pPr>
                    <w:pStyle w:val="45"/>
                    <w:rPr>
                      <w:kern w:val="0"/>
                      <w:szCs w:val="20"/>
                    </w:rPr>
                  </w:pPr>
                  <w:r>
                    <w:rPr>
                      <w:kern w:val="0"/>
                      <w:szCs w:val="20"/>
                    </w:rPr>
                    <w:t>每季度1次</w:t>
                  </w:r>
                </w:p>
              </w:tc>
              <w:tc>
                <w:tcPr>
                  <w:tcW w:w="4204" w:type="dxa"/>
                  <w:vAlign w:val="center"/>
                </w:tcPr>
                <w:p>
                  <w:pPr>
                    <w:pStyle w:val="45"/>
                    <w:rPr>
                      <w:kern w:val="0"/>
                      <w:szCs w:val="20"/>
                    </w:rPr>
                  </w:pPr>
                  <w:r>
                    <w:rPr>
                      <w:kern w:val="0"/>
                      <w:szCs w:val="20"/>
                    </w:rPr>
                    <w:t>《工业企业厂界环境噪声排放标准》</w:t>
                  </w:r>
                </w:p>
                <w:p>
                  <w:pPr>
                    <w:pStyle w:val="45"/>
                    <w:rPr>
                      <w:kern w:val="0"/>
                      <w:szCs w:val="20"/>
                    </w:rPr>
                  </w:pPr>
                  <w:r>
                    <w:rPr>
                      <w:kern w:val="0"/>
                      <w:szCs w:val="20"/>
                    </w:rPr>
                    <w:t>（GB12348-2008）3类标准</w:t>
                  </w:r>
                </w:p>
              </w:tc>
            </w:tr>
          </w:tbl>
          <w:p>
            <w:pPr>
              <w:pStyle w:val="20"/>
              <w:ind w:firstLine="0" w:firstLineChars="0"/>
              <w:rPr>
                <w:lang w:val="zh-CN"/>
              </w:rPr>
            </w:pPr>
            <w:r>
              <w:rPr>
                <w:rFonts w:hint="eastAsia"/>
                <w:lang w:val="zh-CN"/>
              </w:rPr>
              <w:t>7</w:t>
            </w:r>
            <w:r>
              <w:rPr>
                <w:lang w:val="zh-CN"/>
              </w:rPr>
              <w:t>.5主要污染物排放清单</w:t>
            </w:r>
          </w:p>
          <w:p>
            <w:pPr>
              <w:adjustRightInd w:val="0"/>
              <w:snapToGrid w:val="0"/>
              <w:ind w:firstLine="480"/>
              <w:rPr>
                <w:rFonts w:cs="Times New Roman"/>
                <w:color w:val="000000" w:themeColor="text1"/>
              </w:rPr>
            </w:pPr>
            <w:r>
              <w:rPr>
                <w:rFonts w:cs="Times New Roman"/>
                <w:color w:val="000000" w:themeColor="text1"/>
              </w:rPr>
              <w:t>为便于当地行政主管部门管理，便于对社会公开项目信息，根据导则要求，制定项目污染物排放清单，明确污染物排放的管理要求。建设项目主要污染物排放清单见下表：</w:t>
            </w:r>
          </w:p>
          <w:p>
            <w:pPr>
              <w:tabs>
                <w:tab w:val="left" w:pos="3165"/>
                <w:tab w:val="center" w:pos="4535"/>
              </w:tabs>
              <w:adjustRightInd w:val="0"/>
              <w:snapToGrid w:val="0"/>
              <w:spacing w:line="240" w:lineRule="auto"/>
              <w:ind w:firstLine="0" w:firstLineChars="0"/>
              <w:jc w:val="center"/>
              <w:rPr>
                <w:rFonts w:cs="Times New Roman"/>
                <w:b/>
                <w:color w:val="000000" w:themeColor="text1"/>
                <w:sz w:val="21"/>
                <w:lang w:val="zh-CN"/>
              </w:rPr>
            </w:pPr>
            <w:r>
              <w:rPr>
                <w:rFonts w:cs="Times New Roman"/>
                <w:b/>
                <w:color w:val="000000" w:themeColor="text1"/>
                <w:sz w:val="21"/>
                <w:lang w:val="zh-CN"/>
              </w:rPr>
              <w:t>表7</w:t>
            </w:r>
            <w:r>
              <w:rPr>
                <w:rFonts w:hint="eastAsia" w:cs="Times New Roman"/>
                <w:b/>
                <w:color w:val="000000" w:themeColor="text1"/>
                <w:sz w:val="21"/>
                <w:lang w:val="zh-CN"/>
              </w:rPr>
              <w:t>-</w:t>
            </w:r>
            <w:r>
              <w:rPr>
                <w:rFonts w:cs="Times New Roman"/>
                <w:b/>
                <w:color w:val="000000" w:themeColor="text1"/>
                <w:sz w:val="21"/>
                <w:lang w:val="zh-CN"/>
              </w:rPr>
              <w:t>16主要污染物排放清单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402"/>
              <w:gridCol w:w="1350"/>
              <w:gridCol w:w="488"/>
              <w:gridCol w:w="277"/>
              <w:gridCol w:w="86"/>
              <w:gridCol w:w="935"/>
              <w:gridCol w:w="41"/>
              <w:gridCol w:w="1184"/>
              <w:gridCol w:w="923"/>
              <w:gridCol w:w="56"/>
              <w:gridCol w:w="438"/>
              <w:gridCol w:w="567"/>
              <w:gridCol w:w="87"/>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单位基本情况</w:t>
                  </w:r>
                </w:p>
              </w:tc>
              <w:tc>
                <w:tcPr>
                  <w:tcW w:w="1024" w:type="pct"/>
                  <w:gridSpan w:val="2"/>
                  <w:vAlign w:val="center"/>
                </w:tcPr>
                <w:p>
                  <w:pPr>
                    <w:adjustRightInd w:val="0"/>
                    <w:snapToGrid w:val="0"/>
                    <w:spacing w:line="240" w:lineRule="auto"/>
                    <w:ind w:firstLine="0" w:firstLineChars="0"/>
                    <w:jc w:val="center"/>
                    <w:rPr>
                      <w:rFonts w:cs="Times New Roman"/>
                      <w:b/>
                      <w:color w:val="000000" w:themeColor="text1"/>
                      <w:sz w:val="21"/>
                      <w:lang w:val="zh-CN"/>
                    </w:rPr>
                  </w:pPr>
                  <w:r>
                    <w:rPr>
                      <w:rFonts w:cs="Times New Roman"/>
                      <w:color w:val="000000" w:themeColor="text1"/>
                      <w:sz w:val="21"/>
                      <w:lang w:val="zh-CN"/>
                    </w:rPr>
                    <w:t>单位名称</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开平市水口镇新海洋五金水暖塑料厂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35" w:type="pct"/>
                  <w:vMerge w:val="continue"/>
                  <w:vAlign w:val="center"/>
                </w:tcPr>
                <w:p>
                  <w:pPr>
                    <w:adjustRightInd w:val="0"/>
                    <w:snapToGrid w:val="0"/>
                    <w:spacing w:line="240" w:lineRule="auto"/>
                    <w:ind w:firstLine="0" w:firstLineChars="0"/>
                    <w:jc w:val="center"/>
                    <w:rPr>
                      <w:rFonts w:cs="Times New Roman"/>
                      <w:b/>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通讯地址</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szCs w:val="21"/>
                      <w:lang w:val="zh-CN"/>
                    </w:rPr>
                  </w:pPr>
                  <w:r>
                    <w:rPr>
                      <w:rFonts w:cs="Times New Roman"/>
                      <w:bCs/>
                      <w:color w:val="000000"/>
                      <w:sz w:val="21"/>
                      <w:szCs w:val="21"/>
                      <w:lang w:val="zh-CN"/>
                    </w:rPr>
                    <w:t>开平市水口镇水暖城C2区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35" w:type="pct"/>
                  <w:vMerge w:val="continue"/>
                  <w:vAlign w:val="center"/>
                </w:tcPr>
                <w:p>
                  <w:pPr>
                    <w:adjustRightInd w:val="0"/>
                    <w:snapToGrid w:val="0"/>
                    <w:spacing w:line="240" w:lineRule="auto"/>
                    <w:ind w:firstLine="0" w:firstLineChars="0"/>
                    <w:jc w:val="center"/>
                    <w:rPr>
                      <w:rFonts w:cs="Times New Roman"/>
                      <w:b/>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建设地址</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开平市水口镇水暖城C2区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法定代表人</w:t>
                  </w:r>
                </w:p>
              </w:tc>
              <w:tc>
                <w:tcPr>
                  <w:tcW w:w="1759"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谭炳焕</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联系人</w:t>
                  </w:r>
                </w:p>
              </w:tc>
              <w:tc>
                <w:tcPr>
                  <w:tcW w:w="1154"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谭炳焕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联系电话</w:t>
                  </w:r>
                </w:p>
              </w:tc>
              <w:tc>
                <w:tcPr>
                  <w:tcW w:w="1759"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13794228488</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所属行业</w:t>
                  </w:r>
                </w:p>
              </w:tc>
              <w:tc>
                <w:tcPr>
                  <w:tcW w:w="1154"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C3383 金属制卫生器具制造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项目所在地所属环境功能区划</w:t>
                  </w:r>
                </w:p>
              </w:tc>
              <w:tc>
                <w:tcPr>
                  <w:tcW w:w="1759"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水环境功能区</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潭江属于II类标准，排污河涌III类标准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759"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大气环境功能区</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759"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环境噪声功能区</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3</w:t>
                  </w:r>
                  <w:r>
                    <w:rPr>
                      <w:rFonts w:cs="Times New Roman"/>
                      <w:color w:val="000000" w:themeColor="text1"/>
                      <w:sz w:val="21"/>
                      <w:lang w:val="zh-CN"/>
                    </w:rPr>
                    <w:t>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排放重点污染物及特征污染物种类</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油烟、</w:t>
                  </w:r>
                  <w:r>
                    <w:rPr>
                      <w:rFonts w:cs="Times New Roman"/>
                      <w:color w:val="000000" w:themeColor="text1"/>
                      <w:sz w:val="21"/>
                      <w:lang w:val="zh-CN"/>
                    </w:rPr>
                    <w:t>TSP</w:t>
                  </w:r>
                  <w:r>
                    <w:rPr>
                      <w:rFonts w:hint="eastAsia" w:cs="Times New Roman"/>
                      <w:color w:val="000000" w:themeColor="text1"/>
                      <w:sz w:val="21"/>
                      <w:lang w:val="zh-CN"/>
                    </w:rPr>
                    <w:t>、</w:t>
                  </w:r>
                  <w:r>
                    <w:rPr>
                      <w:rFonts w:cs="Times New Roman"/>
                      <w:color w:val="000000" w:themeColor="text1"/>
                      <w:sz w:val="21"/>
                      <w:lang w:val="zh-CN"/>
                    </w:rPr>
                    <w:t>P</w:t>
                  </w:r>
                  <w:r>
                    <w:rPr>
                      <w:rFonts w:cs="Times New Roman"/>
                      <w:color w:val="000000" w:themeColor="text1"/>
                      <w:sz w:val="21"/>
                      <w:vertAlign w:val="subscript"/>
                      <w:lang w:val="zh-CN"/>
                    </w:rPr>
                    <w:t>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项目建设内容概况</w:t>
                  </w: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工程概况</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 xml:space="preserve"> </w:t>
                  </w:r>
                  <w:r>
                    <w:rPr>
                      <w:rFonts w:cs="Times New Roman"/>
                      <w:color w:val="000000" w:themeColor="text1"/>
                      <w:sz w:val="21"/>
                      <w:lang w:val="zh-CN"/>
                    </w:rPr>
                    <w:t xml:space="preserve">   </w:t>
                  </w:r>
                  <w:r>
                    <w:rPr>
                      <w:rFonts w:hint="eastAsia" w:cs="Times New Roman"/>
                      <w:color w:val="000000" w:themeColor="text1"/>
                      <w:sz w:val="21"/>
                      <w:lang w:val="zh-CN"/>
                    </w:rPr>
                    <w:t>开平市水口镇新海洋五金水暖塑料厂位于开平市水口镇水暖城C2区（地理坐标：112.776614°E，22.457876°N）。项目占地面积1687.5平方米，建筑面积1687.5平方米，拟投资100万元，其中环保投资35万元，主要从事卫浴配件的生产，年产卫浴配件拟达到30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产品方案</w:t>
                  </w:r>
                </w:p>
              </w:tc>
              <w:tc>
                <w:tcPr>
                  <w:tcW w:w="3741" w:type="pct"/>
                  <w:gridSpan w:val="1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年产卫浴配件</w:t>
                  </w:r>
                  <w:r>
                    <w:rPr>
                      <w:rFonts w:cs="Times New Roman"/>
                      <w:color w:val="000000" w:themeColor="text1"/>
                      <w:sz w:val="21"/>
                      <w:lang w:val="zh-CN"/>
                    </w:rPr>
                    <w:t>30</w:t>
                  </w:r>
                  <w:r>
                    <w:rPr>
                      <w:rFonts w:hint="eastAsia" w:cs="Times New Roman"/>
                      <w:color w:val="000000" w:themeColor="text1"/>
                      <w:sz w:val="21"/>
                      <w:lang w:val="zh-CN"/>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污染物排放要求</w:t>
                  </w:r>
                </w:p>
              </w:tc>
              <w:tc>
                <w:tcPr>
                  <w:tcW w:w="4765" w:type="pct"/>
                  <w:gridSpan w:val="1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排污口/排放口设置情况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序号</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污染源</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排放口名称</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排放去向</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排放方式</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生活</w:t>
                  </w:r>
                  <w:r>
                    <w:rPr>
                      <w:rFonts w:cs="Times New Roman"/>
                      <w:color w:val="000000" w:themeColor="text1"/>
                      <w:sz w:val="21"/>
                      <w:lang w:val="zh-CN"/>
                    </w:rPr>
                    <w:t>污水</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水</w:t>
                  </w:r>
                  <w:r>
                    <w:rPr>
                      <w:rFonts w:cs="Times New Roman"/>
                      <w:color w:val="000000" w:themeColor="text1"/>
                      <w:sz w:val="21"/>
                    </w:rPr>
                    <w:t>-WS-01</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开平市水口镇污水处理厂</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间歇排放</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2</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有组织废气排气筒</w:t>
                  </w:r>
                  <w:r>
                    <w:rPr>
                      <w:rFonts w:cs="Times New Roman"/>
                      <w:color w:val="000000" w:themeColor="text1"/>
                      <w:sz w:val="21"/>
                      <w:lang w:val="zh-CN"/>
                    </w:rPr>
                    <w:t>G</w:t>
                  </w:r>
                  <w:r>
                    <w:rPr>
                      <w:rFonts w:hint="eastAsia" w:cs="Times New Roman"/>
                      <w:color w:val="000000" w:themeColor="text1"/>
                      <w:sz w:val="21"/>
                      <w:lang w:val="zh-CN"/>
                    </w:rPr>
                    <w:t>1</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气-</w:t>
                  </w:r>
                  <w:r>
                    <w:rPr>
                      <w:rFonts w:cs="Times New Roman"/>
                      <w:color w:val="000000" w:themeColor="text1"/>
                      <w:sz w:val="21"/>
                    </w:rPr>
                    <w:t>G</w:t>
                  </w:r>
                  <w:r>
                    <w:rPr>
                      <w:rFonts w:hint="eastAsia" w:cs="Times New Roman"/>
                      <w:color w:val="000000" w:themeColor="text1"/>
                      <w:sz w:val="21"/>
                    </w:rPr>
                    <w:t>1</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集尘罩+</w:t>
                  </w:r>
                  <w:r>
                    <w:rPr>
                      <w:rFonts w:cs="Times New Roman"/>
                      <w:color w:val="000000" w:themeColor="text1"/>
                      <w:sz w:val="21"/>
                      <w:lang w:val="zh-CN"/>
                    </w:rPr>
                    <w:t>2</w:t>
                  </w:r>
                  <w:r>
                    <w:rPr>
                      <w:rFonts w:hint="eastAsia" w:cs="Times New Roman"/>
                      <w:color w:val="000000" w:themeColor="text1"/>
                      <w:sz w:val="21"/>
                      <w:lang w:val="zh-CN"/>
                    </w:rPr>
                    <w:t>套水喷淋塔+1根15m排气筒</w:t>
                  </w:r>
                  <w:r>
                    <w:rPr>
                      <w:rFonts w:cs="Times New Roman"/>
                      <w:color w:val="000000" w:themeColor="text1"/>
                      <w:sz w:val="21"/>
                      <w:lang w:val="zh-CN"/>
                    </w:rPr>
                    <w:t>G1</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间歇排放</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3</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有组织废气排气筒</w:t>
                  </w:r>
                  <w:r>
                    <w:rPr>
                      <w:rFonts w:cs="Times New Roman"/>
                      <w:color w:val="000000" w:themeColor="text1"/>
                      <w:sz w:val="21"/>
                      <w:lang w:val="zh-CN"/>
                    </w:rPr>
                    <w:t>G</w:t>
                  </w:r>
                  <w:r>
                    <w:rPr>
                      <w:rFonts w:hint="eastAsia" w:cs="Times New Roman"/>
                      <w:color w:val="000000" w:themeColor="text1"/>
                      <w:sz w:val="21"/>
                      <w:lang w:val="zh-CN"/>
                    </w:rPr>
                    <w:t>2</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气</w:t>
                  </w:r>
                  <w:r>
                    <w:rPr>
                      <w:rFonts w:hint="eastAsia" w:cs="Times New Roman"/>
                      <w:color w:val="000000" w:themeColor="text1"/>
                      <w:sz w:val="21"/>
                    </w:rPr>
                    <w:t>-</w:t>
                  </w:r>
                  <w:r>
                    <w:rPr>
                      <w:rFonts w:cs="Times New Roman"/>
                      <w:color w:val="000000" w:themeColor="text1"/>
                      <w:sz w:val="21"/>
                    </w:rPr>
                    <w:t>G</w:t>
                  </w:r>
                  <w:r>
                    <w:rPr>
                      <w:rFonts w:hint="eastAsia" w:cs="Times New Roman"/>
                      <w:color w:val="000000" w:themeColor="text1"/>
                      <w:sz w:val="21"/>
                    </w:rPr>
                    <w:t>2</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lang w:val="zh-CN"/>
                    </w:rPr>
                    <w:t>集尘罩+</w:t>
                  </w:r>
                  <w:r>
                    <w:rPr>
                      <w:rFonts w:cs="Times New Roman"/>
                      <w:color w:val="000000" w:themeColor="text1"/>
                      <w:sz w:val="21"/>
                      <w:lang w:val="zh-CN"/>
                    </w:rPr>
                    <w:t>2</w:t>
                  </w:r>
                  <w:r>
                    <w:rPr>
                      <w:rFonts w:hint="eastAsia" w:cs="Times New Roman"/>
                      <w:color w:val="000000" w:themeColor="text1"/>
                      <w:sz w:val="21"/>
                      <w:lang w:val="zh-CN"/>
                    </w:rPr>
                    <w:t>套水喷淋塔+1根15m排气筒</w:t>
                  </w:r>
                  <w:r>
                    <w:rPr>
                      <w:rFonts w:cs="Times New Roman"/>
                      <w:color w:val="000000" w:themeColor="text1"/>
                      <w:sz w:val="21"/>
                      <w:lang w:val="zh-CN"/>
                    </w:rPr>
                    <w:t>G2</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间歇排放</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4</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有组织废气排气筒</w:t>
                  </w:r>
                  <w:r>
                    <w:rPr>
                      <w:rFonts w:cs="Times New Roman"/>
                      <w:color w:val="000000" w:themeColor="text1"/>
                      <w:sz w:val="21"/>
                      <w:lang w:val="zh-CN"/>
                    </w:rPr>
                    <w:t>G</w:t>
                  </w:r>
                  <w:r>
                    <w:rPr>
                      <w:rFonts w:hint="eastAsia" w:cs="Times New Roman"/>
                      <w:color w:val="000000" w:themeColor="text1"/>
                      <w:sz w:val="21"/>
                      <w:lang w:val="zh-CN"/>
                    </w:rPr>
                    <w:t>3</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气</w:t>
                  </w:r>
                  <w:r>
                    <w:rPr>
                      <w:rFonts w:hint="eastAsia" w:cs="Times New Roman"/>
                      <w:color w:val="000000" w:themeColor="text1"/>
                      <w:sz w:val="21"/>
                    </w:rPr>
                    <w:t>-</w:t>
                  </w:r>
                  <w:r>
                    <w:rPr>
                      <w:rFonts w:cs="Times New Roman"/>
                      <w:color w:val="000000" w:themeColor="text1"/>
                      <w:sz w:val="21"/>
                    </w:rPr>
                    <w:t>G</w:t>
                  </w:r>
                  <w:r>
                    <w:rPr>
                      <w:rFonts w:hint="eastAsia" w:cs="Times New Roman"/>
                      <w:color w:val="000000" w:themeColor="text1"/>
                      <w:sz w:val="21"/>
                    </w:rPr>
                    <w:t>3</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lang w:val="zh-CN"/>
                    </w:rPr>
                    <w:t>集尘罩+1套水喷淋塔+1根15m排气筒</w:t>
                  </w:r>
                  <w:r>
                    <w:rPr>
                      <w:rFonts w:cs="Times New Roman"/>
                      <w:color w:val="000000" w:themeColor="text1"/>
                      <w:sz w:val="21"/>
                      <w:lang w:val="zh-CN"/>
                    </w:rPr>
                    <w:t>G3</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间歇排放</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5</w:t>
                  </w:r>
                </w:p>
              </w:tc>
              <w:tc>
                <w:tcPr>
                  <w:tcW w:w="107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设备噪声</w:t>
                  </w:r>
                </w:p>
              </w:tc>
              <w:tc>
                <w:tcPr>
                  <w:tcW w:w="75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声</w:t>
                  </w:r>
                  <w:r>
                    <w:rPr>
                      <w:rFonts w:cs="Times New Roman"/>
                      <w:color w:val="000000" w:themeColor="text1"/>
                      <w:sz w:val="21"/>
                    </w:rPr>
                    <w:t>-01</w:t>
                  </w:r>
                </w:p>
              </w:tc>
              <w:tc>
                <w:tcPr>
                  <w:tcW w:w="1288"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周边环境</w:t>
                  </w:r>
                </w:p>
              </w:tc>
              <w:tc>
                <w:tcPr>
                  <w:tcW w:w="587"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间歇排放</w:t>
                  </w:r>
                </w:p>
              </w:tc>
              <w:tc>
                <w:tcPr>
                  <w:tcW w:w="823"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765" w:type="pct"/>
                  <w:gridSpan w:val="1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序号</w:t>
                  </w:r>
                </w:p>
              </w:tc>
              <w:tc>
                <w:tcPr>
                  <w:tcW w:w="789"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污染源</w:t>
                  </w:r>
                </w:p>
              </w:tc>
              <w:tc>
                <w:tcPr>
                  <w:tcW w:w="497" w:type="pct"/>
                  <w:gridSpan w:val="3"/>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w:t>
                  </w:r>
                </w:p>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因子</w:t>
                  </w:r>
                </w:p>
              </w:tc>
              <w:tc>
                <w:tcPr>
                  <w:tcW w:w="570" w:type="pct"/>
                  <w:gridSpan w:val="2"/>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排放量</w:t>
                  </w:r>
                </w:p>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（t</w:t>
                  </w:r>
                  <w:r>
                    <w:rPr>
                      <w:rFonts w:cs="Times New Roman"/>
                      <w:color w:val="000000" w:themeColor="text1"/>
                      <w:sz w:val="21"/>
                      <w:lang w:val="zh-CN"/>
                    </w:rPr>
                    <w:t>/a</w:t>
                  </w:r>
                  <w:r>
                    <w:rPr>
                      <w:rFonts w:hint="eastAsia" w:cs="Times New Roman"/>
                      <w:color w:val="000000" w:themeColor="text1"/>
                      <w:sz w:val="21"/>
                      <w:lang w:val="zh-CN"/>
                    </w:rPr>
                    <w:t>）</w:t>
                  </w:r>
                </w:p>
              </w:tc>
              <w:tc>
                <w:tcPr>
                  <w:tcW w:w="692"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浓度(</w:t>
                  </w:r>
                  <w:r>
                    <w:rPr>
                      <w:rFonts w:cs="Times New Roman"/>
                      <w:color w:val="000000" w:themeColor="text1"/>
                      <w:sz w:val="21"/>
                    </w:rPr>
                    <w:t>mg/m</w:t>
                  </w:r>
                  <w:r>
                    <w:rPr>
                      <w:rFonts w:cs="Times New Roman"/>
                      <w:color w:val="000000" w:themeColor="text1"/>
                      <w:sz w:val="21"/>
                      <w:vertAlign w:val="superscript"/>
                    </w:rPr>
                    <w:t>3</w:t>
                  </w:r>
                  <w:r>
                    <w:rPr>
                      <w:rFonts w:cs="Times New Roman"/>
                      <w:color w:val="000000" w:themeColor="text1"/>
                      <w:sz w:val="21"/>
                    </w:rPr>
                    <w:t>)</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789"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97"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570" w:type="pct"/>
                  <w:gridSpan w:val="2"/>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692"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浓度限值</w:t>
                  </w:r>
                </w:p>
              </w:tc>
              <w:tc>
                <w:tcPr>
                  <w:tcW w:w="1154"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热冲车间</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油烟</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 xml:space="preserve">.00266 </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.40</w:t>
                  </w:r>
                  <w:r>
                    <w:rPr>
                      <w:rFonts w:cs="Times New Roman"/>
                      <w:color w:val="000000" w:themeColor="text1"/>
                      <w:sz w:val="21"/>
                    </w:rPr>
                    <w:t xml:space="preserve"> </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w:t>
                  </w:r>
                  <w:r>
                    <w:rPr>
                      <w:rFonts w:cs="Times New Roman"/>
                      <w:color w:val="000000" w:themeColor="text1"/>
                      <w:sz w:val="21"/>
                      <w:lang w:val="zh-CN"/>
                    </w:rPr>
                    <w:t>.0</w:t>
                  </w:r>
                  <w:r>
                    <w:rPr>
                      <w:rFonts w:cs="Times New Roman"/>
                      <w:color w:val="000000" w:themeColor="text1"/>
                      <w:sz w:val="21"/>
                    </w:rPr>
                    <w:t xml:space="preserve"> mg/m</w:t>
                  </w:r>
                  <w:r>
                    <w:rPr>
                      <w:rFonts w:cs="Times New Roman"/>
                      <w:color w:val="000000" w:themeColor="text1"/>
                      <w:sz w:val="21"/>
                      <w:vertAlign w:val="superscript"/>
                    </w:rPr>
                    <w:t>3</w:t>
                  </w:r>
                </w:p>
              </w:tc>
              <w:tc>
                <w:tcPr>
                  <w:tcW w:w="1154"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《饮食业油烟排放标准》（GB18483-2001）最高允许排放浓度限值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2</w:t>
                  </w: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厂区无组织粉尘</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T</w:t>
                  </w:r>
                  <w:r>
                    <w:rPr>
                      <w:rFonts w:cs="Times New Roman"/>
                      <w:color w:val="000000" w:themeColor="text1"/>
                      <w:sz w:val="21"/>
                    </w:rPr>
                    <w:t>SP</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.00525</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1.0</w:t>
                  </w:r>
                  <w:r>
                    <w:rPr>
                      <w:rFonts w:cs="Times New Roman"/>
                      <w:color w:val="000000" w:themeColor="text1"/>
                      <w:sz w:val="21"/>
                    </w:rPr>
                    <w:t>mg/m</w:t>
                  </w:r>
                  <w:r>
                    <w:rPr>
                      <w:rFonts w:cs="Times New Roman"/>
                      <w:color w:val="000000" w:themeColor="text1"/>
                      <w:sz w:val="21"/>
                      <w:vertAlign w:val="superscript"/>
                    </w:rPr>
                    <w:t>3</w:t>
                  </w:r>
                </w:p>
              </w:tc>
              <w:tc>
                <w:tcPr>
                  <w:tcW w:w="1154"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广东省地方</w:t>
                  </w:r>
                  <w:r>
                    <w:rPr>
                      <w:rFonts w:cs="Times New Roman"/>
                      <w:color w:val="000000" w:themeColor="text1"/>
                      <w:sz w:val="21"/>
                    </w:rPr>
                    <w:t>标准</w:t>
                  </w:r>
                  <w:r>
                    <w:rPr>
                      <w:rFonts w:hint="eastAsia" w:cs="Times New Roman"/>
                      <w:color w:val="000000" w:themeColor="text1"/>
                      <w:sz w:val="21"/>
                    </w:rPr>
                    <w:t>《大气污染污物排放限值》（DB44/27-2001）第二时段无组织排放监控</w:t>
                  </w:r>
                  <w:r>
                    <w:rPr>
                      <w:rFonts w:cs="Times New Roman"/>
                      <w:color w:val="000000" w:themeColor="text1"/>
                      <w:sz w:val="21"/>
                    </w:rPr>
                    <w:t>浓度</w:t>
                  </w:r>
                  <w:r>
                    <w:rPr>
                      <w:rFonts w:hint="eastAsia" w:cs="Times New Roman"/>
                      <w:color w:val="000000" w:themeColor="text1"/>
                      <w:sz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restart"/>
                  <w:vAlign w:val="center"/>
                </w:tcPr>
                <w:p>
                  <w:pPr>
                    <w:adjustRightInd w:val="0"/>
                    <w:snapToGrid w:val="0"/>
                    <w:spacing w:line="240" w:lineRule="auto"/>
                    <w:ind w:firstLine="420"/>
                    <w:jc w:val="center"/>
                    <w:rPr>
                      <w:rFonts w:cs="Times New Roman"/>
                      <w:color w:val="000000" w:themeColor="text1"/>
                      <w:sz w:val="21"/>
                      <w:lang w:val="zh-CN"/>
                    </w:rPr>
                  </w:pPr>
                  <w:r>
                    <w:rPr>
                      <w:rFonts w:cs="Times New Roman"/>
                      <w:color w:val="000000" w:themeColor="text1"/>
                      <w:sz w:val="21"/>
                    </w:rPr>
                    <w:t>33</w:t>
                  </w: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一号抛光车间</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P</w:t>
                  </w:r>
                  <w:r>
                    <w:rPr>
                      <w:rFonts w:cs="Times New Roman"/>
                      <w:color w:val="000000" w:themeColor="text1"/>
                      <w:sz w:val="21"/>
                      <w:lang w:val="zh-CN"/>
                    </w:rPr>
                    <w:t>M</w:t>
                  </w:r>
                  <w:r>
                    <w:rPr>
                      <w:rFonts w:cs="Times New Roman"/>
                      <w:color w:val="000000" w:themeColor="text1"/>
                      <w:sz w:val="21"/>
                      <w:vertAlign w:val="subscript"/>
                      <w:lang w:val="zh-CN"/>
                    </w:rPr>
                    <w:t>10</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.00748</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.11</w:t>
                  </w:r>
                </w:p>
              </w:tc>
              <w:tc>
                <w:tcPr>
                  <w:tcW w:w="828" w:type="pct"/>
                  <w:gridSpan w:val="3"/>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120mg/m</w:t>
                  </w:r>
                  <w:r>
                    <w:rPr>
                      <w:rFonts w:cs="Times New Roman"/>
                      <w:color w:val="000000" w:themeColor="text1"/>
                      <w:sz w:val="21"/>
                      <w:vertAlign w:val="superscript"/>
                    </w:rPr>
                    <w:t>3</w:t>
                  </w:r>
                </w:p>
              </w:tc>
              <w:tc>
                <w:tcPr>
                  <w:tcW w:w="1154" w:type="pct"/>
                  <w:gridSpan w:val="3"/>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广东省地方标准《大气污染物排放限值》（DB44/27-2001）第二时段二级标准排放限值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420"/>
                    <w:jc w:val="center"/>
                    <w:rPr>
                      <w:rFonts w:cs="Times New Roman"/>
                      <w:color w:val="000000" w:themeColor="text1"/>
                      <w:sz w:val="21"/>
                    </w:rPr>
                  </w:pP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二号抛光车间</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lang w:val="zh-CN"/>
                    </w:rPr>
                    <w:t>P</w:t>
                  </w:r>
                  <w:r>
                    <w:rPr>
                      <w:rFonts w:cs="Times New Roman"/>
                      <w:color w:val="000000" w:themeColor="text1"/>
                      <w:sz w:val="21"/>
                      <w:lang w:val="zh-CN"/>
                    </w:rPr>
                    <w:t>M</w:t>
                  </w:r>
                  <w:r>
                    <w:rPr>
                      <w:rFonts w:cs="Times New Roman"/>
                      <w:color w:val="000000" w:themeColor="text1"/>
                      <w:sz w:val="21"/>
                      <w:vertAlign w:val="subscript"/>
                      <w:lang w:val="zh-CN"/>
                    </w:rPr>
                    <w:t>10</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0</w:t>
                  </w:r>
                  <w:r>
                    <w:rPr>
                      <w:rFonts w:cs="Times New Roman"/>
                      <w:color w:val="000000" w:themeColor="text1"/>
                      <w:sz w:val="21"/>
                    </w:rPr>
                    <w:t>.00748</w:t>
                  </w:r>
                </w:p>
              </w:tc>
              <w:tc>
                <w:tcPr>
                  <w:tcW w:w="692"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1</w:t>
                  </w:r>
                  <w:r>
                    <w:rPr>
                      <w:rFonts w:cs="Times New Roman"/>
                      <w:color w:val="000000" w:themeColor="text1"/>
                      <w:sz w:val="21"/>
                    </w:rPr>
                    <w:t>.11</w:t>
                  </w:r>
                </w:p>
              </w:tc>
              <w:tc>
                <w:tcPr>
                  <w:tcW w:w="828"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rPr>
                  </w:pP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420"/>
                    <w:jc w:val="center"/>
                    <w:rPr>
                      <w:rFonts w:cs="Times New Roman"/>
                      <w:color w:val="000000" w:themeColor="text1"/>
                      <w:sz w:val="21"/>
                    </w:rPr>
                  </w:pP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三号抛光车间</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lang w:val="zh-CN"/>
                    </w:rPr>
                    <w:t>P</w:t>
                  </w:r>
                  <w:r>
                    <w:rPr>
                      <w:rFonts w:cs="Times New Roman"/>
                      <w:color w:val="000000" w:themeColor="text1"/>
                      <w:sz w:val="21"/>
                      <w:lang w:val="zh-CN"/>
                    </w:rPr>
                    <w:t>M</w:t>
                  </w:r>
                  <w:r>
                    <w:rPr>
                      <w:rFonts w:cs="Times New Roman"/>
                      <w:color w:val="000000" w:themeColor="text1"/>
                      <w:sz w:val="21"/>
                      <w:vertAlign w:val="subscript"/>
                      <w:lang w:val="zh-CN"/>
                    </w:rPr>
                    <w:t>10</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0</w:t>
                  </w:r>
                  <w:r>
                    <w:rPr>
                      <w:rFonts w:cs="Times New Roman"/>
                      <w:color w:val="000000" w:themeColor="text1"/>
                      <w:sz w:val="21"/>
                    </w:rPr>
                    <w:t>.00748</w:t>
                  </w:r>
                </w:p>
              </w:tc>
              <w:tc>
                <w:tcPr>
                  <w:tcW w:w="692"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1</w:t>
                  </w:r>
                  <w:r>
                    <w:rPr>
                      <w:rFonts w:cs="Times New Roman"/>
                      <w:color w:val="000000" w:themeColor="text1"/>
                      <w:sz w:val="21"/>
                    </w:rPr>
                    <w:t>.11</w:t>
                  </w:r>
                </w:p>
              </w:tc>
              <w:tc>
                <w:tcPr>
                  <w:tcW w:w="828"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rPr>
                  </w:pP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rPr>
                  </w:pPr>
                </w:p>
              </w:tc>
              <w:tc>
                <w:tcPr>
                  <w:tcW w:w="78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四号抛光车间</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lang w:val="zh-CN"/>
                    </w:rPr>
                    <w:t>P</w:t>
                  </w:r>
                  <w:r>
                    <w:rPr>
                      <w:rFonts w:cs="Times New Roman"/>
                      <w:color w:val="000000" w:themeColor="text1"/>
                      <w:sz w:val="21"/>
                      <w:lang w:val="zh-CN"/>
                    </w:rPr>
                    <w:t>M</w:t>
                  </w:r>
                  <w:r>
                    <w:rPr>
                      <w:rFonts w:cs="Times New Roman"/>
                      <w:color w:val="000000" w:themeColor="text1"/>
                      <w:sz w:val="21"/>
                      <w:vertAlign w:val="subscript"/>
                      <w:lang w:val="zh-CN"/>
                    </w:rPr>
                    <w:t>10</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0</w:t>
                  </w:r>
                  <w:r>
                    <w:rPr>
                      <w:rFonts w:cs="Times New Roman"/>
                      <w:color w:val="000000" w:themeColor="text1"/>
                      <w:sz w:val="21"/>
                    </w:rPr>
                    <w:t>.00748</w:t>
                  </w:r>
                </w:p>
              </w:tc>
              <w:tc>
                <w:tcPr>
                  <w:tcW w:w="692"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1</w:t>
                  </w:r>
                  <w:r>
                    <w:rPr>
                      <w:rFonts w:cs="Times New Roman"/>
                      <w:color w:val="000000" w:themeColor="text1"/>
                      <w:sz w:val="21"/>
                    </w:rPr>
                    <w:t>.11</w:t>
                  </w:r>
                </w:p>
              </w:tc>
              <w:tc>
                <w:tcPr>
                  <w:tcW w:w="828"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rPr>
                  </w:pP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4</w:t>
                  </w:r>
                </w:p>
              </w:tc>
              <w:tc>
                <w:tcPr>
                  <w:tcW w:w="789"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生活污水</w:t>
                  </w:r>
                  <w:r>
                    <w:rPr>
                      <w:rFonts w:cs="Times New Roman"/>
                      <w:color w:val="000000" w:themeColor="text1"/>
                      <w:sz w:val="21"/>
                      <w:lang w:val="zh-CN"/>
                    </w:rPr>
                    <w:t>133.92</w:t>
                  </w:r>
                  <w:r>
                    <w:rPr>
                      <w:rFonts w:hint="eastAsia" w:cs="Times New Roman"/>
                      <w:color w:val="000000" w:themeColor="text1"/>
                      <w:sz w:val="21"/>
                      <w:lang w:val="zh-CN"/>
                    </w:rPr>
                    <w:t>m</w:t>
                  </w:r>
                  <w:r>
                    <w:rPr>
                      <w:rFonts w:hint="eastAsia" w:cs="Times New Roman"/>
                      <w:color w:val="000000" w:themeColor="text1"/>
                      <w:sz w:val="21"/>
                      <w:vertAlign w:val="superscript"/>
                      <w:lang w:val="zh-CN"/>
                    </w:rPr>
                    <w:t>3</w:t>
                  </w:r>
                  <w:r>
                    <w:rPr>
                      <w:rFonts w:hint="eastAsia" w:cs="Times New Roman"/>
                      <w:color w:val="000000" w:themeColor="text1"/>
                      <w:sz w:val="21"/>
                      <w:lang w:val="zh-CN"/>
                    </w:rPr>
                    <w:t>/a</w:t>
                  </w: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CODcr</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0.0355</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250mg/L</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50</w:t>
                  </w:r>
                  <w:r>
                    <w:rPr>
                      <w:rFonts w:hint="eastAsia" w:cs="Times New Roman"/>
                      <w:color w:val="000000" w:themeColor="text1"/>
                      <w:sz w:val="21"/>
                    </w:rPr>
                    <w:t>0</w:t>
                  </w:r>
                  <w:r>
                    <w:rPr>
                      <w:rFonts w:cs="Times New Roman"/>
                      <w:color w:val="000000" w:themeColor="text1"/>
                      <w:sz w:val="21"/>
                      <w:lang w:val="zh-CN"/>
                    </w:rPr>
                    <w:t>mg/L</w:t>
                  </w:r>
                </w:p>
              </w:tc>
              <w:tc>
                <w:tcPr>
                  <w:tcW w:w="1154" w:type="pct"/>
                  <w:gridSpan w:val="3"/>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广东省《水污染物排放限值》(DB44/26-2001)第二时段三级标准和《污水排入城镇下水道水质标准》（GB/T 31962-2015）B级标准两者</w:t>
                  </w:r>
                  <w:r>
                    <w:rPr>
                      <w:rFonts w:cs="Times New Roman"/>
                      <w:color w:val="000000" w:themeColor="text1"/>
                      <w:sz w:val="21"/>
                      <w:lang w:val="zh-CN"/>
                    </w:rPr>
                    <w:t>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789"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BOD</w:t>
                  </w:r>
                  <w:r>
                    <w:rPr>
                      <w:rFonts w:cs="Times New Roman"/>
                      <w:color w:val="000000" w:themeColor="text1"/>
                      <w:sz w:val="21"/>
                      <w:vertAlign w:val="subscript"/>
                      <w:lang w:val="zh-CN"/>
                    </w:rPr>
                    <w:t>5</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.0214</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160</w:t>
                  </w:r>
                  <w:r>
                    <w:rPr>
                      <w:rFonts w:cs="Times New Roman"/>
                      <w:color w:val="000000" w:themeColor="text1"/>
                      <w:sz w:val="21"/>
                      <w:lang w:val="zh-CN"/>
                    </w:rPr>
                    <w:t>mg/L</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300mg/L</w:t>
                  </w: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789"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SS</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.0187</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140</w:t>
                  </w:r>
                  <w:r>
                    <w:rPr>
                      <w:rFonts w:cs="Times New Roman"/>
                      <w:color w:val="000000" w:themeColor="text1"/>
                      <w:sz w:val="21"/>
                      <w:lang w:val="zh-CN"/>
                    </w:rPr>
                    <w:t>mg/L</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40</w:t>
                  </w:r>
                  <w:r>
                    <w:rPr>
                      <w:rFonts w:hint="eastAsia" w:cs="Times New Roman"/>
                      <w:color w:val="000000" w:themeColor="text1"/>
                      <w:sz w:val="21"/>
                    </w:rPr>
                    <w:t>0</w:t>
                  </w:r>
                  <w:r>
                    <w:rPr>
                      <w:rFonts w:cs="Times New Roman"/>
                      <w:color w:val="000000" w:themeColor="text1"/>
                      <w:sz w:val="21"/>
                      <w:lang w:val="zh-CN"/>
                    </w:rPr>
                    <w:t>mg/L</w:t>
                  </w: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789"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97"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NH</w:t>
                  </w:r>
                  <w:r>
                    <w:rPr>
                      <w:rFonts w:cs="Times New Roman"/>
                      <w:color w:val="000000" w:themeColor="text1"/>
                      <w:sz w:val="21"/>
                      <w:vertAlign w:val="subscript"/>
                      <w:lang w:val="zh-CN"/>
                    </w:rPr>
                    <w:t>3</w:t>
                  </w:r>
                  <w:r>
                    <w:rPr>
                      <w:rFonts w:cs="Times New Roman"/>
                      <w:color w:val="000000" w:themeColor="text1"/>
                      <w:sz w:val="21"/>
                      <w:lang w:val="zh-CN"/>
                    </w:rPr>
                    <w:t>-N</w:t>
                  </w:r>
                </w:p>
              </w:tc>
              <w:tc>
                <w:tcPr>
                  <w:tcW w:w="570"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.0043</w:t>
                  </w:r>
                </w:p>
              </w:tc>
              <w:tc>
                <w:tcPr>
                  <w:tcW w:w="69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32mg/L</w:t>
                  </w:r>
                </w:p>
              </w:tc>
              <w:tc>
                <w:tcPr>
                  <w:tcW w:w="828"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45mg/L</w:t>
                  </w:r>
                </w:p>
              </w:tc>
              <w:tc>
                <w:tcPr>
                  <w:tcW w:w="1154" w:type="pct"/>
                  <w:gridSpan w:val="3"/>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固废处理利用要求</w:t>
                  </w:r>
                </w:p>
              </w:tc>
              <w:tc>
                <w:tcPr>
                  <w:tcW w:w="4765" w:type="pct"/>
                  <w:gridSpan w:val="1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一般固体废弃物利用处置要求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序号</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名称</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产生量</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生活垃圾</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1.86t/a</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环卫部门定期清理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2</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废包装材料</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0.35t/a</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统一外售处理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rPr>
                  </w:pPr>
                  <w:r>
                    <w:rPr>
                      <w:rFonts w:cs="Times New Roman"/>
                      <w:color w:val="000000" w:themeColor="text1"/>
                      <w:sz w:val="21"/>
                    </w:rPr>
                    <w:t>3</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喷淋塔打捞渣</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cs="Times New Roman"/>
                      <w:color w:val="000000" w:themeColor="text1"/>
                      <w:sz w:val="21"/>
                    </w:rPr>
                    <w:t>0.15t/a</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专门公司回收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4</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边角料</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0.</w:t>
                  </w:r>
                  <w:r>
                    <w:rPr>
                      <w:rFonts w:cs="Times New Roman"/>
                      <w:color w:val="000000" w:themeColor="text1"/>
                      <w:sz w:val="21"/>
                    </w:rPr>
                    <w:t>05</w:t>
                  </w:r>
                  <w:r>
                    <w:rPr>
                      <w:rFonts w:cs="Times New Roman"/>
                      <w:color w:val="000000" w:themeColor="text1"/>
                      <w:sz w:val="21"/>
                      <w:lang w:val="zh-CN"/>
                    </w:rPr>
                    <w:t xml:space="preserve"> t/a</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统一外售处理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765" w:type="pct"/>
                  <w:gridSpan w:val="14"/>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危险废物处置要求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序号</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名称</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产生量</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含油抹布</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0</w:t>
                  </w:r>
                  <w:r>
                    <w:rPr>
                      <w:rFonts w:cs="Times New Roman"/>
                      <w:color w:val="000000" w:themeColor="text1"/>
                      <w:sz w:val="21"/>
                    </w:rPr>
                    <w:t>.01t/a</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按危险废物豁免管理清单要求执行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废煤油包装桶</w:t>
                  </w:r>
                </w:p>
              </w:tc>
              <w:tc>
                <w:tcPr>
                  <w:tcW w:w="1312" w:type="pct"/>
                  <w:gridSpan w:val="4"/>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0</w:t>
                  </w:r>
                  <w:r>
                    <w:rPr>
                      <w:rFonts w:cs="Times New Roman"/>
                      <w:color w:val="000000" w:themeColor="text1"/>
                      <w:sz w:val="21"/>
                    </w:rPr>
                    <w:t>.05</w:t>
                  </w:r>
                </w:p>
              </w:tc>
              <w:tc>
                <w:tcPr>
                  <w:tcW w:w="1982" w:type="pct"/>
                  <w:gridSpan w:val="6"/>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定期交由有资质的单位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噪声排放控制要求</w:t>
                  </w:r>
                </w:p>
              </w:tc>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序号</w:t>
                  </w:r>
                </w:p>
              </w:tc>
              <w:tc>
                <w:tcPr>
                  <w:tcW w:w="1236" w:type="pct"/>
                  <w:gridSpan w:val="3"/>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厂界外声环境功能区类型</w:t>
                  </w:r>
                </w:p>
              </w:tc>
              <w:tc>
                <w:tcPr>
                  <w:tcW w:w="3294" w:type="pct"/>
                  <w:gridSpan w:val="10"/>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工业企业厂界噪声排放标准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235" w:type="pct"/>
                  <w:vMerge w:val="continue"/>
                  <w:vAlign w:val="center"/>
                </w:tcPr>
                <w:p>
                  <w:pPr>
                    <w:adjustRightInd w:val="0"/>
                    <w:snapToGrid w:val="0"/>
                    <w:spacing w:line="240" w:lineRule="auto"/>
                    <w:ind w:firstLine="0" w:firstLineChars="0"/>
                    <w:jc w:val="center"/>
                    <w:rPr>
                      <w:rFonts w:cs="Times New Roman"/>
                      <w:color w:val="FF0000"/>
                      <w:sz w:val="21"/>
                      <w:lang w:val="zh-CN"/>
                    </w:rPr>
                  </w:pPr>
                </w:p>
              </w:tc>
              <w:tc>
                <w:tcPr>
                  <w:tcW w:w="235" w:type="pct"/>
                  <w:vMerge w:val="continue"/>
                  <w:vAlign w:val="center"/>
                </w:tcPr>
                <w:p>
                  <w:pPr>
                    <w:adjustRightInd w:val="0"/>
                    <w:snapToGrid w:val="0"/>
                    <w:spacing w:line="240" w:lineRule="auto"/>
                    <w:ind w:firstLine="0" w:firstLineChars="0"/>
                    <w:jc w:val="center"/>
                    <w:rPr>
                      <w:rFonts w:cs="Times New Roman"/>
                      <w:color w:val="FF0000"/>
                      <w:sz w:val="21"/>
                      <w:lang w:val="zh-CN"/>
                    </w:rPr>
                  </w:pPr>
                </w:p>
              </w:tc>
              <w:tc>
                <w:tcPr>
                  <w:tcW w:w="1236" w:type="pct"/>
                  <w:gridSpan w:val="3"/>
                  <w:vMerge w:val="continue"/>
                  <w:vAlign w:val="center"/>
                </w:tcPr>
                <w:p>
                  <w:pPr>
                    <w:adjustRightInd w:val="0"/>
                    <w:snapToGrid w:val="0"/>
                    <w:spacing w:line="240" w:lineRule="auto"/>
                    <w:ind w:firstLine="0" w:firstLineChars="0"/>
                    <w:jc w:val="center"/>
                    <w:rPr>
                      <w:rFonts w:cs="Times New Roman"/>
                      <w:color w:val="FF0000"/>
                      <w:sz w:val="21"/>
                      <w:lang w:val="zh-CN"/>
                    </w:rPr>
                  </w:pPr>
                </w:p>
              </w:tc>
              <w:tc>
                <w:tcPr>
                  <w:tcW w:w="1851" w:type="pct"/>
                  <w:gridSpan w:val="5"/>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昼间</w:t>
                  </w:r>
                </w:p>
              </w:tc>
              <w:tc>
                <w:tcPr>
                  <w:tcW w:w="1443" w:type="pct"/>
                  <w:gridSpan w:val="5"/>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35" w:type="pct"/>
                  <w:vMerge w:val="continue"/>
                  <w:vAlign w:val="center"/>
                </w:tcPr>
                <w:p>
                  <w:pPr>
                    <w:adjustRightInd w:val="0"/>
                    <w:snapToGrid w:val="0"/>
                    <w:spacing w:line="240" w:lineRule="auto"/>
                    <w:ind w:firstLine="0" w:firstLineChars="0"/>
                    <w:jc w:val="center"/>
                    <w:rPr>
                      <w:rFonts w:cs="Times New Roman"/>
                      <w:color w:val="FF0000"/>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3</w:t>
                  </w:r>
                  <w:r>
                    <w:rPr>
                      <w:rFonts w:cs="Times New Roman"/>
                      <w:color w:val="000000" w:themeColor="text1"/>
                      <w:sz w:val="21"/>
                    </w:rPr>
                    <w:t>类区</w:t>
                  </w:r>
                </w:p>
              </w:tc>
              <w:tc>
                <w:tcPr>
                  <w:tcW w:w="1851" w:type="pct"/>
                  <w:gridSpan w:val="5"/>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≤6</w:t>
                  </w:r>
                  <w:r>
                    <w:rPr>
                      <w:rFonts w:hint="eastAsia" w:cs="Times New Roman"/>
                      <w:color w:val="000000" w:themeColor="text1"/>
                      <w:sz w:val="21"/>
                    </w:rPr>
                    <w:t>5</w:t>
                  </w:r>
                </w:p>
              </w:tc>
              <w:tc>
                <w:tcPr>
                  <w:tcW w:w="1443" w:type="pct"/>
                  <w:gridSpan w:val="5"/>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≤5</w:t>
                  </w:r>
                  <w:r>
                    <w:rPr>
                      <w:rFonts w:hint="eastAsia" w:cs="Times New Roman"/>
                      <w:color w:val="000000" w:themeColor="text1"/>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污染治理措施</w:t>
                  </w: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序号</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污染源名称</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治理措施</w:t>
                  </w:r>
                </w:p>
              </w:tc>
              <w:tc>
                <w:tcPr>
                  <w:tcW w:w="77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参数/备注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热冲车间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集气罩+</w:t>
                  </w:r>
                  <w:r>
                    <w:rPr>
                      <w:rFonts w:cs="Times New Roman"/>
                      <w:color w:val="000000" w:themeColor="text1"/>
                      <w:sz w:val="21"/>
                      <w:lang w:val="zh-CN"/>
                    </w:rPr>
                    <w:t>1</w:t>
                  </w:r>
                  <w:r>
                    <w:rPr>
                      <w:rFonts w:hint="eastAsia" w:cs="Times New Roman"/>
                      <w:color w:val="000000" w:themeColor="text1"/>
                      <w:sz w:val="21"/>
                      <w:lang w:val="zh-CN"/>
                    </w:rPr>
                    <w:t>套水喷淋塔A+</w:t>
                  </w:r>
                  <w:r>
                    <w:rPr>
                      <w:rFonts w:cs="Times New Roman"/>
                      <w:color w:val="000000" w:themeColor="text1"/>
                      <w:sz w:val="21"/>
                      <w:lang w:val="zh-CN"/>
                    </w:rPr>
                    <w:t>1</w:t>
                  </w:r>
                  <w:r>
                    <w:rPr>
                      <w:rFonts w:hint="eastAsia" w:cs="Times New Roman"/>
                      <w:color w:val="000000" w:themeColor="text1"/>
                      <w:sz w:val="21"/>
                      <w:lang w:val="zh-CN"/>
                    </w:rPr>
                    <w:t>套油烟净化器+</w:t>
                  </w:r>
                  <w:r>
                    <w:rPr>
                      <w:rFonts w:cs="Times New Roman"/>
                      <w:color w:val="000000" w:themeColor="text1"/>
                      <w:sz w:val="21"/>
                      <w:lang w:val="zh-CN"/>
                    </w:rPr>
                    <w:t>G1</w:t>
                  </w:r>
                  <w:r>
                    <w:rPr>
                      <w:rFonts w:hint="eastAsia" w:cs="Times New Roman"/>
                      <w:color w:val="000000" w:themeColor="text1"/>
                      <w:sz w:val="21"/>
                      <w:lang w:val="zh-CN"/>
                    </w:rPr>
                    <w:t>排气筒</w:t>
                  </w:r>
                </w:p>
              </w:tc>
              <w:tc>
                <w:tcPr>
                  <w:tcW w:w="772" w:type="pct"/>
                  <w:vMerge w:val="restart"/>
                  <w:vAlign w:val="center"/>
                </w:tcPr>
                <w:p>
                  <w:pPr>
                    <w:adjustRightInd w:val="0"/>
                    <w:snapToGrid w:val="0"/>
                    <w:spacing w:line="240" w:lineRule="auto"/>
                    <w:ind w:firstLine="0" w:firstLineChars="0"/>
                    <w:jc w:val="center"/>
                    <w:rPr>
                      <w:rFonts w:cs="Times New Roman"/>
                      <w:color w:val="000000" w:themeColor="text1"/>
                      <w:sz w:val="21"/>
                    </w:rPr>
                  </w:pPr>
                  <w:r>
                    <w:rPr>
                      <w:rFonts w:cs="Times New Roman"/>
                      <w:color w:val="000000" w:themeColor="text1"/>
                      <w:sz w:val="21"/>
                    </w:rPr>
                    <w:t>G1</w:t>
                  </w:r>
                  <w:r>
                    <w:rPr>
                      <w:rFonts w:hint="eastAsia" w:cs="Times New Roman"/>
                      <w:color w:val="000000" w:themeColor="text1"/>
                      <w:sz w:val="21"/>
                    </w:rPr>
                    <w:t>排气筒为热冲车间和1号抛光车间所共用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2</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1号抛光车间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集气罩+</w:t>
                  </w:r>
                  <w:r>
                    <w:rPr>
                      <w:rFonts w:cs="Times New Roman"/>
                      <w:color w:val="000000" w:themeColor="text1"/>
                      <w:sz w:val="21"/>
                      <w:lang w:val="zh-CN"/>
                    </w:rPr>
                    <w:t>1</w:t>
                  </w:r>
                  <w:r>
                    <w:rPr>
                      <w:rFonts w:hint="eastAsia" w:cs="Times New Roman"/>
                      <w:color w:val="000000" w:themeColor="text1"/>
                      <w:sz w:val="21"/>
                      <w:lang w:val="zh-CN"/>
                    </w:rPr>
                    <w:t>套水喷淋塔B +G</w:t>
                  </w:r>
                  <w:r>
                    <w:rPr>
                      <w:rFonts w:cs="Times New Roman"/>
                      <w:color w:val="000000" w:themeColor="text1"/>
                      <w:sz w:val="21"/>
                      <w:lang w:val="zh-CN"/>
                    </w:rPr>
                    <w:t>1</w:t>
                  </w:r>
                  <w:r>
                    <w:rPr>
                      <w:rFonts w:hint="eastAsia" w:cs="Times New Roman"/>
                      <w:color w:val="000000" w:themeColor="text1"/>
                      <w:sz w:val="21"/>
                      <w:lang w:val="zh-CN"/>
                    </w:rPr>
                    <w:t>排气筒</w:t>
                  </w:r>
                  <w:r>
                    <w:rPr>
                      <w:rFonts w:cs="Times New Roman"/>
                      <w:color w:val="000000" w:themeColor="text1"/>
                      <w:sz w:val="21"/>
                      <w:lang w:val="zh-CN"/>
                    </w:rPr>
                    <w:t xml:space="preserve"> </w:t>
                  </w:r>
                </w:p>
              </w:tc>
              <w:tc>
                <w:tcPr>
                  <w:tcW w:w="772" w:type="pct"/>
                  <w:vMerge w:val="continue"/>
                  <w:vAlign w:val="center"/>
                </w:tcPr>
                <w:p>
                  <w:pPr>
                    <w:adjustRightInd w:val="0"/>
                    <w:snapToGrid w:val="0"/>
                    <w:spacing w:line="240" w:lineRule="auto"/>
                    <w:ind w:firstLine="0" w:firstLineChars="0"/>
                    <w:jc w:val="center"/>
                    <w:rPr>
                      <w:rFonts w:cs="Times New Roman"/>
                      <w:color w:val="000000" w:themeColor="text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3</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2号抛光车间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集气罩+1套水喷淋塔C +G</w:t>
                  </w:r>
                  <w:r>
                    <w:rPr>
                      <w:rFonts w:cs="Times New Roman"/>
                      <w:color w:val="000000" w:themeColor="text1"/>
                      <w:sz w:val="21"/>
                      <w:lang w:val="zh-CN"/>
                    </w:rPr>
                    <w:t>2</w:t>
                  </w:r>
                  <w:r>
                    <w:rPr>
                      <w:rFonts w:hint="eastAsia" w:cs="Times New Roman"/>
                      <w:color w:val="000000" w:themeColor="text1"/>
                      <w:sz w:val="21"/>
                      <w:lang w:val="zh-CN"/>
                    </w:rPr>
                    <w:t>排气筒</w:t>
                  </w:r>
                </w:p>
              </w:tc>
              <w:tc>
                <w:tcPr>
                  <w:tcW w:w="772" w:type="pct"/>
                  <w:vMerge w:val="restar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G</w:t>
                  </w:r>
                  <w:r>
                    <w:rPr>
                      <w:rFonts w:cs="Times New Roman"/>
                      <w:color w:val="000000" w:themeColor="text1"/>
                      <w:sz w:val="21"/>
                    </w:rPr>
                    <w:t>2</w:t>
                  </w:r>
                  <w:r>
                    <w:rPr>
                      <w:rFonts w:hint="eastAsia" w:cs="Times New Roman"/>
                      <w:color w:val="000000" w:themeColor="text1"/>
                      <w:sz w:val="21"/>
                    </w:rPr>
                    <w:t>排气筒为2、3号抛光车间共用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4</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3号抛光车间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集气罩+</w:t>
                  </w:r>
                  <w:r>
                    <w:rPr>
                      <w:rFonts w:cs="Times New Roman"/>
                      <w:color w:val="000000" w:themeColor="text1"/>
                      <w:sz w:val="21"/>
                      <w:lang w:val="zh-CN"/>
                    </w:rPr>
                    <w:t>1</w:t>
                  </w:r>
                  <w:r>
                    <w:rPr>
                      <w:rFonts w:hint="eastAsia" w:cs="Times New Roman"/>
                      <w:color w:val="000000" w:themeColor="text1"/>
                      <w:sz w:val="21"/>
                      <w:lang w:val="zh-CN"/>
                    </w:rPr>
                    <w:t>套水喷淋塔D +G</w:t>
                  </w:r>
                  <w:r>
                    <w:rPr>
                      <w:rFonts w:cs="Times New Roman"/>
                      <w:color w:val="000000" w:themeColor="text1"/>
                      <w:sz w:val="21"/>
                      <w:lang w:val="zh-CN"/>
                    </w:rPr>
                    <w:t>2</w:t>
                  </w:r>
                  <w:r>
                    <w:rPr>
                      <w:rFonts w:hint="eastAsia" w:cs="Times New Roman"/>
                      <w:color w:val="000000" w:themeColor="text1"/>
                      <w:sz w:val="21"/>
                      <w:lang w:val="zh-CN"/>
                    </w:rPr>
                    <w:t>排气筒</w:t>
                  </w:r>
                </w:p>
              </w:tc>
              <w:tc>
                <w:tcPr>
                  <w:tcW w:w="772" w:type="pct"/>
                  <w:vMerge w:val="continue"/>
                  <w:vAlign w:val="center"/>
                </w:tcPr>
                <w:p>
                  <w:pPr>
                    <w:adjustRightInd w:val="0"/>
                    <w:snapToGrid w:val="0"/>
                    <w:spacing w:line="240" w:lineRule="auto"/>
                    <w:ind w:firstLine="0" w:firstLineChars="0"/>
                    <w:jc w:val="center"/>
                    <w:rPr>
                      <w:rFonts w:cs="Times New Roman"/>
                      <w:color w:val="000000" w:themeColor="text1"/>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4号抛光车间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集气罩+1套水喷淋塔E +G</w:t>
                  </w:r>
                  <w:r>
                    <w:rPr>
                      <w:rFonts w:cs="Times New Roman"/>
                      <w:color w:val="000000" w:themeColor="text1"/>
                      <w:sz w:val="21"/>
                      <w:lang w:val="zh-CN"/>
                    </w:rPr>
                    <w:t>3</w:t>
                  </w:r>
                  <w:r>
                    <w:rPr>
                      <w:rFonts w:hint="eastAsia" w:cs="Times New Roman"/>
                      <w:color w:val="000000" w:themeColor="text1"/>
                      <w:sz w:val="21"/>
                      <w:lang w:val="zh-CN"/>
                    </w:rPr>
                    <w:t>排气筒</w:t>
                  </w:r>
                </w:p>
              </w:tc>
              <w:tc>
                <w:tcPr>
                  <w:tcW w:w="772" w:type="pct"/>
                  <w:vAlign w:val="center"/>
                </w:tcPr>
                <w:p>
                  <w:pPr>
                    <w:adjustRightInd w:val="0"/>
                    <w:snapToGrid w:val="0"/>
                    <w:spacing w:line="240" w:lineRule="auto"/>
                    <w:ind w:firstLine="0" w:firstLineChars="0"/>
                    <w:jc w:val="center"/>
                    <w:rPr>
                      <w:rFonts w:cs="Times New Roman"/>
                      <w:color w:val="000000" w:themeColor="text1"/>
                      <w:sz w:val="21"/>
                    </w:rPr>
                  </w:pPr>
                  <w:r>
                    <w:rPr>
                      <w:rFonts w:hint="eastAsia" w:cs="Times New Roman"/>
                      <w:color w:val="000000" w:themeColor="text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35"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235"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5</w:t>
                  </w:r>
                </w:p>
              </w:tc>
              <w:tc>
                <w:tcPr>
                  <w:tcW w:w="1236" w:type="pct"/>
                  <w:gridSpan w:val="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生活污水</w:t>
                  </w:r>
                </w:p>
              </w:tc>
              <w:tc>
                <w:tcPr>
                  <w:tcW w:w="2522" w:type="pct"/>
                  <w:gridSpan w:val="9"/>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三级化粪池</w:t>
                  </w:r>
                  <w:r>
                    <w:rPr>
                      <w:rFonts w:hint="eastAsia" w:cs="Times New Roman"/>
                      <w:color w:val="000000" w:themeColor="text1"/>
                      <w:sz w:val="21"/>
                    </w:rPr>
                    <w:t>+</w:t>
                  </w:r>
                  <w:r>
                    <w:rPr>
                      <w:rFonts w:hint="eastAsia" w:cs="Times New Roman"/>
                      <w:color w:val="000000" w:themeColor="text1"/>
                      <w:sz w:val="21"/>
                      <w:lang w:val="zh-CN"/>
                    </w:rPr>
                    <w:t>开平市水口镇污水处理厂</w:t>
                  </w:r>
                </w:p>
              </w:tc>
              <w:tc>
                <w:tcPr>
                  <w:tcW w:w="77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35" w:type="pct"/>
                  <w:vMerge w:val="restart"/>
                  <w:vAlign w:val="center"/>
                </w:tcPr>
                <w:p>
                  <w:pPr>
                    <w:adjustRightInd w:val="0"/>
                    <w:snapToGrid w:val="0"/>
                    <w:spacing w:line="240" w:lineRule="auto"/>
                    <w:ind w:firstLine="0" w:firstLineChars="0"/>
                    <w:jc w:val="center"/>
                    <w:rPr>
                      <w:rFonts w:cs="Times New Roman"/>
                      <w:color w:val="FF0000"/>
                      <w:sz w:val="21"/>
                      <w:lang w:val="zh-CN"/>
                    </w:rPr>
                  </w:pPr>
                  <w:r>
                    <w:rPr>
                      <w:rFonts w:cs="Times New Roman"/>
                      <w:color w:val="000000" w:themeColor="text1"/>
                      <w:sz w:val="21"/>
                      <w:lang w:val="zh-CN"/>
                    </w:rPr>
                    <w:t>环境风险防范措施</w:t>
                  </w:r>
                </w:p>
              </w:tc>
              <w:tc>
                <w:tcPr>
                  <w:tcW w:w="3993" w:type="pct"/>
                  <w:gridSpan w:val="13"/>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具体防范措施</w:t>
                  </w:r>
                </w:p>
              </w:tc>
              <w:tc>
                <w:tcPr>
                  <w:tcW w:w="77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trPr>
              <w:tc>
                <w:tcPr>
                  <w:tcW w:w="235" w:type="pct"/>
                  <w:vMerge w:val="continue"/>
                  <w:vAlign w:val="center"/>
                </w:tcPr>
                <w:p>
                  <w:pPr>
                    <w:adjustRightInd w:val="0"/>
                    <w:snapToGrid w:val="0"/>
                    <w:spacing w:line="240" w:lineRule="auto"/>
                    <w:ind w:firstLine="0" w:firstLineChars="0"/>
                    <w:jc w:val="left"/>
                    <w:rPr>
                      <w:rFonts w:cs="Times New Roman"/>
                      <w:color w:val="FF0000"/>
                      <w:sz w:val="21"/>
                      <w:lang w:val="zh-CN"/>
                    </w:rPr>
                  </w:pPr>
                </w:p>
              </w:tc>
              <w:tc>
                <w:tcPr>
                  <w:tcW w:w="3993" w:type="pct"/>
                  <w:gridSpan w:val="13"/>
                  <w:vAlign w:val="center"/>
                </w:tcPr>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1、加强易燃易爆物质管理</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（1）减少贮存和工艺过程中存放的危险物质的贮存量，满足小周期内物料的使用量即可。危险物的数量是造成危害的首要因素之一，可通过减少贮存，以使危害见到尽可能小的程度。</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（2）贮存和运输采用多次小规模进行。</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（3）改进密封设备或采用自动密封系统，减少泄露和缩短缩放时间。</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（4）强化管理，提高操作人员业务素质。</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2、加强废气治理设施的日常管理和维护，安排专职或兼职人员负责，并建立台账管理制度，确保废气治理系统的正常稳定运行。</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3、建立废气治理系统操作规程，并严格执行，当废气治理系统出现故障时，应立即停止作业，待废气治理系统正常运行时，方可重新进行作业。</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4、配备一定数量的灭火器、消防沙、吸附棉等应急资源。</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5、对生产过程中产生的危险废物，分类收集，分别包装临时储存，定期交有相应类别处理资质的单位处理。</w:t>
                  </w:r>
                </w:p>
                <w:p>
                  <w:pPr>
                    <w:adjustRightInd w:val="0"/>
                    <w:snapToGrid w:val="0"/>
                    <w:spacing w:line="240" w:lineRule="auto"/>
                    <w:ind w:firstLine="0" w:firstLineChars="0"/>
                    <w:jc w:val="left"/>
                    <w:rPr>
                      <w:rFonts w:cs="Times New Roman"/>
                      <w:color w:val="000000" w:themeColor="text1"/>
                      <w:sz w:val="21"/>
                      <w:lang w:val="zh-CN"/>
                    </w:rPr>
                  </w:pPr>
                  <w:r>
                    <w:rPr>
                      <w:rFonts w:hint="eastAsia" w:cs="Times New Roman"/>
                      <w:color w:val="000000" w:themeColor="text1"/>
                      <w:sz w:val="21"/>
                      <w:lang w:val="zh-CN"/>
                    </w:rPr>
                    <w:t>6、环境事故应急培训与教育，加强员工的安全生产和环境风险防范意识，提高员工的岗位操作技能，定期组织员工进行应急培训教育</w:t>
                  </w:r>
                </w:p>
              </w:tc>
              <w:tc>
                <w:tcPr>
                  <w:tcW w:w="77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本项目的环境风险水平在可接受的范围内。</w:t>
                  </w:r>
                </w:p>
              </w:tc>
            </w:tr>
          </w:tbl>
          <w:p>
            <w:pPr>
              <w:adjustRightInd w:val="0"/>
              <w:snapToGrid w:val="0"/>
              <w:ind w:firstLine="480"/>
              <w:rPr>
                <w:rFonts w:cs="Times New Roman"/>
                <w:color w:val="000000"/>
              </w:rPr>
            </w:pPr>
          </w:p>
        </w:tc>
      </w:tr>
    </w:tbl>
    <w:p>
      <w:pPr>
        <w:ind w:firstLine="0" w:firstLineChars="0"/>
        <w:rPr>
          <w:rFonts w:cs="Times New Roman"/>
        </w:rPr>
      </w:pP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bookmarkStart w:id="18" w:name="_Toc27729837"/>
      <w:r>
        <w:rPr>
          <w:rFonts w:cs="Times New Roman"/>
        </w:rPr>
        <w:t>建设项目拟采取的防止措施及预期治理效果</w:t>
      </w:r>
      <w:bookmarkEnd w:id="18"/>
    </w:p>
    <w:tbl>
      <w:tblPr>
        <w:tblStyle w:val="22"/>
        <w:tblW w:w="9051" w:type="dxa"/>
        <w:tblInd w:w="-147"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5"/>
        <w:gridCol w:w="358"/>
        <w:gridCol w:w="1559"/>
        <w:gridCol w:w="425"/>
        <w:gridCol w:w="851"/>
        <w:gridCol w:w="2257"/>
        <w:gridCol w:w="29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993" w:type="dxa"/>
            <w:gridSpan w:val="2"/>
            <w:tcBorders>
              <w:top w:val="single" w:color="auto" w:sz="4" w:space="0"/>
              <w:bottom w:val="single" w:color="auto" w:sz="6" w:space="0"/>
              <w:tl2br w:val="single" w:color="auto" w:sz="4" w:space="0"/>
            </w:tcBorders>
            <w:vAlign w:val="center"/>
          </w:tcPr>
          <w:p>
            <w:pPr>
              <w:spacing w:line="240" w:lineRule="auto"/>
              <w:ind w:firstLine="315" w:firstLineChars="150"/>
              <w:rPr>
                <w:rFonts w:cs="Times New Roman"/>
                <w:sz w:val="21"/>
                <w:szCs w:val="21"/>
              </w:rPr>
            </w:pPr>
            <w:r>
              <w:rPr>
                <w:rFonts w:hint="eastAsia" w:cs="Times New Roman"/>
                <w:sz w:val="21"/>
                <w:szCs w:val="21"/>
              </w:rPr>
              <w:t>内</w:t>
            </w:r>
            <w:r>
              <w:rPr>
                <w:rFonts w:cs="Times New Roman"/>
                <w:sz w:val="21"/>
                <w:szCs w:val="21"/>
              </w:rPr>
              <w:t>容</w:t>
            </w:r>
          </w:p>
          <w:p>
            <w:pPr>
              <w:spacing w:line="240" w:lineRule="auto"/>
              <w:ind w:firstLine="0" w:firstLineChars="0"/>
              <w:rPr>
                <w:rFonts w:cs="Times New Roman"/>
                <w:sz w:val="21"/>
                <w:szCs w:val="21"/>
              </w:rPr>
            </w:pPr>
            <w:r>
              <w:rPr>
                <w:rFonts w:cs="Times New Roman"/>
                <w:sz w:val="21"/>
                <w:szCs w:val="21"/>
              </w:rPr>
              <w:t>类型</w:t>
            </w:r>
          </w:p>
        </w:tc>
        <w:tc>
          <w:tcPr>
            <w:tcW w:w="1559" w:type="dxa"/>
            <w:vAlign w:val="center"/>
          </w:tcPr>
          <w:p>
            <w:pPr>
              <w:spacing w:line="240" w:lineRule="auto"/>
              <w:ind w:firstLine="0" w:firstLineChars="0"/>
              <w:jc w:val="center"/>
              <w:rPr>
                <w:rFonts w:cs="Times New Roman"/>
                <w:sz w:val="21"/>
                <w:szCs w:val="21"/>
              </w:rPr>
            </w:pPr>
            <w:r>
              <w:rPr>
                <w:rFonts w:cs="Times New Roman"/>
                <w:sz w:val="21"/>
                <w:szCs w:val="21"/>
              </w:rPr>
              <w:t>排放源</w:t>
            </w: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污染物名称</w:t>
            </w:r>
          </w:p>
        </w:tc>
        <w:tc>
          <w:tcPr>
            <w:tcW w:w="2257" w:type="dxa"/>
            <w:vAlign w:val="center"/>
          </w:tcPr>
          <w:p>
            <w:pPr>
              <w:spacing w:line="240" w:lineRule="auto"/>
              <w:ind w:firstLine="0" w:firstLineChars="0"/>
              <w:jc w:val="center"/>
              <w:rPr>
                <w:rFonts w:cs="Times New Roman"/>
                <w:sz w:val="21"/>
                <w:szCs w:val="21"/>
              </w:rPr>
            </w:pPr>
            <w:r>
              <w:rPr>
                <w:rFonts w:cs="Times New Roman"/>
                <w:sz w:val="21"/>
                <w:szCs w:val="21"/>
              </w:rPr>
              <w:t>防治措施</w:t>
            </w:r>
          </w:p>
        </w:tc>
        <w:tc>
          <w:tcPr>
            <w:tcW w:w="2966" w:type="dxa"/>
            <w:vAlign w:val="center"/>
          </w:tcPr>
          <w:p>
            <w:pPr>
              <w:spacing w:line="240" w:lineRule="auto"/>
              <w:ind w:firstLine="0" w:firstLineChars="0"/>
              <w:jc w:val="center"/>
              <w:rPr>
                <w:rFonts w:cs="Times New Roman"/>
                <w:sz w:val="21"/>
                <w:szCs w:val="21"/>
              </w:rPr>
            </w:pPr>
            <w:r>
              <w:rPr>
                <w:rFonts w:cs="Times New Roman"/>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2" w:hRule="atLeast"/>
        </w:trPr>
        <w:tc>
          <w:tcPr>
            <w:tcW w:w="635" w:type="dxa"/>
            <w:vMerge w:val="restart"/>
            <w:tcBorders>
              <w:top w:val="single" w:color="auto" w:sz="6" w:space="0"/>
            </w:tcBorders>
            <w:vAlign w:val="center"/>
          </w:tcPr>
          <w:p>
            <w:pPr>
              <w:spacing w:line="240" w:lineRule="auto"/>
              <w:ind w:firstLine="0" w:firstLineChars="0"/>
              <w:jc w:val="center"/>
              <w:rPr>
                <w:rFonts w:cs="Times New Roman"/>
                <w:sz w:val="21"/>
                <w:szCs w:val="21"/>
              </w:rPr>
            </w:pPr>
            <w:r>
              <w:rPr>
                <w:rFonts w:cs="Times New Roman"/>
                <w:sz w:val="21"/>
                <w:szCs w:val="21"/>
              </w:rPr>
              <w:t>运营运期</w:t>
            </w:r>
          </w:p>
        </w:tc>
        <w:tc>
          <w:tcPr>
            <w:tcW w:w="358" w:type="dxa"/>
            <w:vMerge w:val="restart"/>
            <w:tcBorders>
              <w:top w:val="single" w:color="auto" w:sz="6" w:space="0"/>
            </w:tcBorders>
            <w:vAlign w:val="center"/>
          </w:tcPr>
          <w:p>
            <w:pPr>
              <w:spacing w:line="240" w:lineRule="auto"/>
              <w:ind w:firstLine="0" w:firstLineChars="0"/>
              <w:rPr>
                <w:rFonts w:cs="Times New Roman"/>
                <w:sz w:val="21"/>
                <w:szCs w:val="21"/>
              </w:rPr>
            </w:pPr>
            <w:r>
              <w:rPr>
                <w:rFonts w:cs="Times New Roman"/>
                <w:sz w:val="21"/>
                <w:szCs w:val="21"/>
              </w:rPr>
              <w:t>大气污染物</w:t>
            </w:r>
          </w:p>
        </w:tc>
        <w:tc>
          <w:tcPr>
            <w:tcW w:w="1559" w:type="dxa"/>
            <w:vAlign w:val="center"/>
          </w:tcPr>
          <w:p>
            <w:pPr>
              <w:spacing w:line="240" w:lineRule="auto"/>
              <w:ind w:firstLine="0" w:firstLineChars="0"/>
              <w:jc w:val="left"/>
              <w:rPr>
                <w:rFonts w:cs="Times New Roman"/>
                <w:sz w:val="21"/>
                <w:szCs w:val="21"/>
              </w:rPr>
            </w:pPr>
            <w:r>
              <w:rPr>
                <w:rFonts w:cs="Times New Roman"/>
                <w:sz w:val="21"/>
                <w:szCs w:val="21"/>
              </w:rPr>
              <w:t>开料、机加工</w:t>
            </w: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金属粉尘</w:t>
            </w:r>
          </w:p>
        </w:tc>
        <w:tc>
          <w:tcPr>
            <w:tcW w:w="2257"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定期清扫</w:t>
            </w:r>
          </w:p>
        </w:tc>
        <w:tc>
          <w:tcPr>
            <w:tcW w:w="2966" w:type="dxa"/>
            <w:vAlign w:val="center"/>
          </w:tcPr>
          <w:p>
            <w:pPr>
              <w:spacing w:line="240" w:lineRule="auto"/>
              <w:ind w:firstLine="0" w:firstLineChars="0"/>
              <w:jc w:val="center"/>
              <w:rPr>
                <w:rFonts w:cs="Times New Roman"/>
                <w:sz w:val="21"/>
                <w:szCs w:val="21"/>
              </w:rPr>
            </w:pPr>
            <w:r>
              <w:rPr>
                <w:rFonts w:cs="Times New Roman"/>
                <w:sz w:val="21"/>
                <w:szCs w:val="21"/>
              </w:rPr>
              <w:t>达到广东省地方标准《大气污染物排放限值》（DB44/27—2001）第二时段无组织排放监控浓度限值要求（1.0 mg/m</w:t>
            </w:r>
            <w:r>
              <w:rPr>
                <w:rFonts w:cs="Times New Roman"/>
                <w:sz w:val="21"/>
                <w:szCs w:val="21"/>
                <w:vertAlign w:val="superscript"/>
              </w:rPr>
              <w:t>3</w:t>
            </w: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2" w:hRule="atLeast"/>
        </w:trPr>
        <w:tc>
          <w:tcPr>
            <w:tcW w:w="635" w:type="dxa"/>
            <w:vMerge w:val="continue"/>
            <w:vAlign w:val="center"/>
          </w:tcPr>
          <w:p>
            <w:pPr>
              <w:spacing w:line="240" w:lineRule="auto"/>
              <w:ind w:firstLine="420"/>
              <w:rPr>
                <w:rFonts w:cs="Times New Roman"/>
                <w:sz w:val="21"/>
                <w:szCs w:val="21"/>
              </w:rPr>
            </w:pPr>
          </w:p>
        </w:tc>
        <w:tc>
          <w:tcPr>
            <w:tcW w:w="358" w:type="dxa"/>
            <w:vMerge w:val="continue"/>
            <w:vAlign w:val="center"/>
          </w:tcPr>
          <w:p>
            <w:pPr>
              <w:spacing w:line="240" w:lineRule="auto"/>
              <w:ind w:firstLine="420"/>
              <w:jc w:val="center"/>
              <w:rPr>
                <w:rFonts w:cs="Times New Roman"/>
                <w:sz w:val="21"/>
                <w:szCs w:val="21"/>
              </w:rPr>
            </w:pPr>
          </w:p>
        </w:tc>
        <w:tc>
          <w:tcPr>
            <w:tcW w:w="1559" w:type="dxa"/>
            <w:vAlign w:val="center"/>
          </w:tcPr>
          <w:p>
            <w:pPr>
              <w:spacing w:line="240" w:lineRule="auto"/>
              <w:ind w:firstLine="0" w:firstLineChars="0"/>
              <w:jc w:val="center"/>
              <w:rPr>
                <w:rFonts w:cs="Times New Roman"/>
                <w:sz w:val="21"/>
                <w:szCs w:val="21"/>
              </w:rPr>
            </w:pPr>
            <w:r>
              <w:rPr>
                <w:rFonts w:cs="Times New Roman"/>
                <w:sz w:val="21"/>
                <w:szCs w:val="21"/>
              </w:rPr>
              <w:t>热冲</w:t>
            </w:r>
          </w:p>
          <w:p>
            <w:pPr>
              <w:spacing w:line="240" w:lineRule="auto"/>
              <w:ind w:firstLine="0" w:firstLineChars="0"/>
              <w:jc w:val="center"/>
              <w:rPr>
                <w:rFonts w:cs="Times New Roman"/>
                <w:sz w:val="21"/>
                <w:szCs w:val="21"/>
              </w:rPr>
            </w:pPr>
            <w:r>
              <w:rPr>
                <w:rFonts w:cs="Times New Roman"/>
                <w:sz w:val="21"/>
                <w:szCs w:val="21"/>
              </w:rPr>
              <w:t>脱模</w:t>
            </w: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油烟</w:t>
            </w:r>
          </w:p>
        </w:tc>
        <w:tc>
          <w:tcPr>
            <w:tcW w:w="2257"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集</w:t>
            </w:r>
            <w:r>
              <w:rPr>
                <w:rFonts w:hint="eastAsia" w:cs="Times New Roman"/>
                <w:sz w:val="21"/>
                <w:szCs w:val="21"/>
              </w:rPr>
              <w:t>气</w:t>
            </w:r>
            <w:r>
              <w:rPr>
                <w:rFonts w:cs="Times New Roman"/>
                <w:sz w:val="21"/>
                <w:szCs w:val="21"/>
              </w:rPr>
              <w:t>罩+1</w:t>
            </w:r>
            <w:r>
              <w:rPr>
                <w:rFonts w:hint="eastAsia" w:cs="Times New Roman"/>
                <w:sz w:val="21"/>
                <w:szCs w:val="21"/>
              </w:rPr>
              <w:t>套</w:t>
            </w:r>
            <w:r>
              <w:rPr>
                <w:rFonts w:cs="Times New Roman"/>
                <w:sz w:val="21"/>
                <w:szCs w:val="21"/>
              </w:rPr>
              <w:t>水喷淋塔</w:t>
            </w:r>
            <w:r>
              <w:rPr>
                <w:rFonts w:hint="eastAsia" w:cs="Times New Roman"/>
                <w:sz w:val="21"/>
                <w:szCs w:val="21"/>
              </w:rPr>
              <w:t>A</w:t>
            </w:r>
            <w:r>
              <w:rPr>
                <w:rFonts w:cs="Times New Roman"/>
                <w:sz w:val="21"/>
                <w:szCs w:val="21"/>
              </w:rPr>
              <w:t>+1</w:t>
            </w:r>
            <w:r>
              <w:rPr>
                <w:rFonts w:hint="eastAsia" w:cs="Times New Roman"/>
                <w:sz w:val="21"/>
                <w:szCs w:val="21"/>
              </w:rPr>
              <w:t>套</w:t>
            </w:r>
            <w:r>
              <w:rPr>
                <w:rFonts w:cs="Times New Roman"/>
                <w:sz w:val="21"/>
                <w:szCs w:val="21"/>
              </w:rPr>
              <w:t>油烟净化器+高15m G1排气筒</w:t>
            </w:r>
          </w:p>
        </w:tc>
        <w:tc>
          <w:tcPr>
            <w:tcW w:w="2966" w:type="dxa"/>
            <w:vAlign w:val="center"/>
          </w:tcPr>
          <w:p>
            <w:pPr>
              <w:spacing w:line="240" w:lineRule="auto"/>
              <w:ind w:firstLine="0" w:firstLineChars="0"/>
              <w:jc w:val="center"/>
              <w:rPr>
                <w:rFonts w:cs="Times New Roman"/>
                <w:sz w:val="21"/>
                <w:szCs w:val="21"/>
              </w:rPr>
            </w:pPr>
            <w:r>
              <w:rPr>
                <w:rFonts w:cs="Times New Roman"/>
                <w:sz w:val="21"/>
                <w:szCs w:val="21"/>
              </w:rPr>
              <w:t>达到《饮食业油烟排放标准》（GB18483-2001）油烟最高允许排放浓度限值要求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2"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jc w:val="center"/>
              <w:rPr>
                <w:rFonts w:cs="Times New Roman"/>
                <w:sz w:val="21"/>
                <w:szCs w:val="21"/>
              </w:rPr>
            </w:pPr>
          </w:p>
        </w:tc>
        <w:tc>
          <w:tcPr>
            <w:tcW w:w="1559" w:type="dxa"/>
            <w:vMerge w:val="restart"/>
            <w:vAlign w:val="center"/>
          </w:tcPr>
          <w:p>
            <w:pPr>
              <w:spacing w:line="240" w:lineRule="auto"/>
              <w:ind w:firstLine="0" w:firstLineChars="0"/>
              <w:jc w:val="center"/>
              <w:rPr>
                <w:rFonts w:cs="Times New Roman"/>
                <w:sz w:val="21"/>
                <w:szCs w:val="21"/>
              </w:rPr>
            </w:pPr>
            <w:r>
              <w:rPr>
                <w:rFonts w:cs="Times New Roman"/>
                <w:sz w:val="21"/>
                <w:szCs w:val="21"/>
              </w:rPr>
              <w:t>抛光</w:t>
            </w:r>
          </w:p>
          <w:p>
            <w:pPr>
              <w:spacing w:line="240" w:lineRule="auto"/>
              <w:ind w:firstLine="0" w:firstLineChars="0"/>
              <w:jc w:val="center"/>
              <w:rPr>
                <w:rFonts w:cs="Times New Roman"/>
                <w:sz w:val="21"/>
                <w:szCs w:val="21"/>
              </w:rPr>
            </w:pPr>
            <w:r>
              <w:rPr>
                <w:rFonts w:cs="Times New Roman"/>
                <w:sz w:val="21"/>
                <w:szCs w:val="21"/>
              </w:rPr>
              <w:t>打磨</w:t>
            </w:r>
          </w:p>
        </w:tc>
        <w:tc>
          <w:tcPr>
            <w:tcW w:w="425" w:type="dxa"/>
            <w:vMerge w:val="restart"/>
            <w:vAlign w:val="center"/>
          </w:tcPr>
          <w:p>
            <w:pPr>
              <w:spacing w:line="240" w:lineRule="auto"/>
              <w:ind w:firstLine="0" w:firstLineChars="0"/>
              <w:jc w:val="center"/>
              <w:rPr>
                <w:rFonts w:cs="Times New Roman"/>
                <w:sz w:val="21"/>
                <w:szCs w:val="21"/>
              </w:rPr>
            </w:pPr>
            <w:r>
              <w:rPr>
                <w:rFonts w:cs="Times New Roman"/>
                <w:sz w:val="21"/>
                <w:szCs w:val="21"/>
              </w:rPr>
              <w:t>粉尘</w:t>
            </w:r>
          </w:p>
        </w:tc>
        <w:tc>
          <w:tcPr>
            <w:tcW w:w="851" w:type="dxa"/>
            <w:vAlign w:val="center"/>
          </w:tcPr>
          <w:p>
            <w:pPr>
              <w:spacing w:line="240" w:lineRule="auto"/>
              <w:ind w:firstLine="0" w:firstLineChars="0"/>
              <w:jc w:val="center"/>
              <w:rPr>
                <w:rFonts w:cs="Times New Roman"/>
                <w:sz w:val="21"/>
                <w:szCs w:val="21"/>
              </w:rPr>
            </w:pPr>
            <w:r>
              <w:rPr>
                <w:rFonts w:cs="Times New Roman"/>
                <w:sz w:val="21"/>
                <w:szCs w:val="21"/>
              </w:rPr>
              <w:t>有组织</w:t>
            </w:r>
          </w:p>
        </w:tc>
        <w:tc>
          <w:tcPr>
            <w:tcW w:w="2257" w:type="dxa"/>
            <w:shd w:val="clear" w:color="auto" w:fill="auto"/>
            <w:vAlign w:val="center"/>
          </w:tcPr>
          <w:p>
            <w:pPr>
              <w:spacing w:line="240" w:lineRule="auto"/>
              <w:ind w:firstLine="0" w:firstLineChars="0"/>
              <w:rPr>
                <w:rFonts w:cs="Times New Roman"/>
                <w:sz w:val="21"/>
                <w:szCs w:val="21"/>
                <w:highlight w:val="yellow"/>
              </w:rPr>
            </w:pPr>
            <w:r>
              <w:rPr>
                <w:rFonts w:cs="Times New Roman"/>
                <w:sz w:val="21"/>
                <w:szCs w:val="21"/>
              </w:rPr>
              <w:t>集</w:t>
            </w:r>
            <w:r>
              <w:rPr>
                <w:rFonts w:hint="eastAsia" w:cs="Times New Roman"/>
                <w:sz w:val="21"/>
                <w:szCs w:val="21"/>
              </w:rPr>
              <w:t>气</w:t>
            </w:r>
            <w:r>
              <w:rPr>
                <w:rFonts w:cs="Times New Roman"/>
                <w:sz w:val="21"/>
                <w:szCs w:val="21"/>
              </w:rPr>
              <w:t>罩+4</w:t>
            </w:r>
            <w:r>
              <w:rPr>
                <w:rFonts w:hint="eastAsia" w:cs="Times New Roman"/>
                <w:sz w:val="21"/>
                <w:szCs w:val="21"/>
              </w:rPr>
              <w:t>套（B、C、D、E）</w:t>
            </w:r>
            <w:r>
              <w:rPr>
                <w:rFonts w:cs="Times New Roman"/>
                <w:sz w:val="21"/>
                <w:szCs w:val="21"/>
              </w:rPr>
              <w:t>水喷淋塔+3</w:t>
            </w:r>
            <w:r>
              <w:rPr>
                <w:rFonts w:hint="eastAsia" w:cs="Times New Roman"/>
                <w:sz w:val="21"/>
                <w:szCs w:val="21"/>
              </w:rPr>
              <w:t>套</w:t>
            </w:r>
            <w:r>
              <w:rPr>
                <w:rFonts w:cs="Times New Roman"/>
                <w:sz w:val="21"/>
                <w:szCs w:val="21"/>
              </w:rPr>
              <w:t>高15m排气筒</w:t>
            </w:r>
            <w:r>
              <w:rPr>
                <w:rFonts w:hint="eastAsia" w:cs="Times New Roman"/>
                <w:sz w:val="21"/>
                <w:szCs w:val="21"/>
              </w:rPr>
              <w:t>（G</w:t>
            </w:r>
            <w:r>
              <w:rPr>
                <w:rFonts w:cs="Times New Roman"/>
                <w:sz w:val="21"/>
                <w:szCs w:val="21"/>
              </w:rPr>
              <w:t>1</w:t>
            </w:r>
            <w:r>
              <w:rPr>
                <w:rFonts w:hint="eastAsia" w:cs="Times New Roman"/>
                <w:sz w:val="21"/>
                <w:szCs w:val="21"/>
              </w:rPr>
              <w:t>、</w:t>
            </w:r>
            <w:r>
              <w:rPr>
                <w:rFonts w:cs="Times New Roman"/>
                <w:sz w:val="21"/>
                <w:szCs w:val="21"/>
              </w:rPr>
              <w:t>2</w:t>
            </w:r>
            <w:r>
              <w:rPr>
                <w:rFonts w:hint="eastAsia" w:cs="Times New Roman"/>
                <w:sz w:val="21"/>
                <w:szCs w:val="21"/>
              </w:rPr>
              <w:t>、</w:t>
            </w:r>
            <w:r>
              <w:rPr>
                <w:rFonts w:cs="Times New Roman"/>
                <w:sz w:val="21"/>
                <w:szCs w:val="21"/>
              </w:rPr>
              <w:t>3</w:t>
            </w:r>
            <w:r>
              <w:rPr>
                <w:rFonts w:hint="eastAsia" w:cs="Times New Roman"/>
                <w:sz w:val="21"/>
                <w:szCs w:val="21"/>
              </w:rPr>
              <w:t>）</w:t>
            </w:r>
          </w:p>
        </w:tc>
        <w:tc>
          <w:tcPr>
            <w:tcW w:w="2966" w:type="dxa"/>
            <w:vAlign w:val="center"/>
          </w:tcPr>
          <w:p>
            <w:pPr>
              <w:spacing w:line="240" w:lineRule="auto"/>
              <w:ind w:firstLine="0" w:firstLineChars="0"/>
              <w:rPr>
                <w:rFonts w:cs="Times New Roman"/>
                <w:sz w:val="21"/>
                <w:szCs w:val="21"/>
              </w:rPr>
            </w:pPr>
            <w:r>
              <w:rPr>
                <w:rFonts w:cs="Times New Roman"/>
                <w:sz w:val="21"/>
                <w:szCs w:val="21"/>
              </w:rPr>
              <w:t>有组织粉尘排放浓度满足广东省地方标准《大气污染物排放限值》（DB44/27-2001）第二时段二级标准排放浓度限值120 mg/m</w:t>
            </w:r>
            <w:r>
              <w:rPr>
                <w:rFonts w:cs="Times New Roman"/>
                <w:sz w:val="21"/>
                <w:szCs w:val="21"/>
                <w:vertAlign w:val="superscript"/>
              </w:rPr>
              <w:t>3</w:t>
            </w:r>
            <w:r>
              <w:rPr>
                <w:rFonts w:cs="Times New Roman"/>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2"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jc w:val="center"/>
              <w:rPr>
                <w:rFonts w:cs="Times New Roman"/>
                <w:sz w:val="21"/>
                <w:szCs w:val="21"/>
              </w:rPr>
            </w:pPr>
          </w:p>
        </w:tc>
        <w:tc>
          <w:tcPr>
            <w:tcW w:w="1559" w:type="dxa"/>
            <w:vMerge w:val="continue"/>
            <w:vAlign w:val="center"/>
          </w:tcPr>
          <w:p>
            <w:pPr>
              <w:spacing w:line="240" w:lineRule="auto"/>
              <w:ind w:firstLine="0" w:firstLineChars="0"/>
              <w:jc w:val="center"/>
              <w:rPr>
                <w:rFonts w:cs="Times New Roman"/>
                <w:sz w:val="21"/>
                <w:szCs w:val="21"/>
              </w:rPr>
            </w:pPr>
          </w:p>
        </w:tc>
        <w:tc>
          <w:tcPr>
            <w:tcW w:w="425" w:type="dxa"/>
            <w:vMerge w:val="continue"/>
            <w:vAlign w:val="center"/>
          </w:tcPr>
          <w:p>
            <w:pPr>
              <w:spacing w:line="240" w:lineRule="auto"/>
              <w:ind w:firstLine="0" w:firstLineChars="0"/>
              <w:jc w:val="center"/>
              <w:rPr>
                <w:rFonts w:cs="Times New Roman"/>
                <w:sz w:val="21"/>
                <w:szCs w:val="21"/>
              </w:rPr>
            </w:pPr>
          </w:p>
        </w:tc>
        <w:tc>
          <w:tcPr>
            <w:tcW w:w="851" w:type="dxa"/>
            <w:vAlign w:val="center"/>
          </w:tcPr>
          <w:p>
            <w:pPr>
              <w:spacing w:line="240" w:lineRule="auto"/>
              <w:ind w:firstLine="0" w:firstLineChars="0"/>
              <w:jc w:val="center"/>
              <w:rPr>
                <w:rFonts w:cs="Times New Roman"/>
                <w:sz w:val="21"/>
                <w:szCs w:val="21"/>
              </w:rPr>
            </w:pPr>
            <w:r>
              <w:rPr>
                <w:rFonts w:cs="Times New Roman"/>
                <w:sz w:val="21"/>
                <w:szCs w:val="21"/>
              </w:rPr>
              <w:t>无组织</w:t>
            </w:r>
          </w:p>
        </w:tc>
        <w:tc>
          <w:tcPr>
            <w:tcW w:w="2257"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自然通风</w:t>
            </w:r>
          </w:p>
        </w:tc>
        <w:tc>
          <w:tcPr>
            <w:tcW w:w="2966" w:type="dxa"/>
            <w:vAlign w:val="center"/>
          </w:tcPr>
          <w:p>
            <w:pPr>
              <w:spacing w:line="240" w:lineRule="auto"/>
              <w:ind w:firstLine="0" w:firstLineChars="0"/>
              <w:rPr>
                <w:rFonts w:cs="Times New Roman"/>
                <w:sz w:val="21"/>
                <w:szCs w:val="21"/>
              </w:rPr>
            </w:pPr>
            <w:r>
              <w:rPr>
                <w:rFonts w:cs="Times New Roman"/>
                <w:sz w:val="21"/>
                <w:szCs w:val="21"/>
              </w:rPr>
              <w:t>无组织排放</w:t>
            </w:r>
            <w:r>
              <w:rPr>
                <w:rFonts w:hint="eastAsia" w:cs="Times New Roman"/>
                <w:color w:val="FF0000"/>
                <w:sz w:val="21"/>
                <w:szCs w:val="21"/>
              </w:rPr>
              <w:t>满足</w:t>
            </w:r>
            <w:r>
              <w:rPr>
                <w:rFonts w:cs="Times New Roman"/>
                <w:sz w:val="21"/>
                <w:szCs w:val="21"/>
              </w:rPr>
              <w:t>广东省地方标准《大气污染物排放限值》（DB44/27—2001）第二时段无组织排放监控浓度限值要求（1.0 mg/m</w:t>
            </w:r>
            <w:r>
              <w:rPr>
                <w:rFonts w:cs="Times New Roman"/>
                <w:sz w:val="21"/>
                <w:szCs w:val="21"/>
                <w:vertAlign w:val="superscript"/>
              </w:rPr>
              <w:t>3</w:t>
            </w: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restart"/>
            <w:vAlign w:val="center"/>
          </w:tcPr>
          <w:p>
            <w:pPr>
              <w:spacing w:line="240" w:lineRule="auto"/>
              <w:ind w:firstLine="0" w:firstLineChars="0"/>
              <w:jc w:val="center"/>
              <w:rPr>
                <w:rFonts w:cs="Times New Roman"/>
                <w:sz w:val="21"/>
                <w:szCs w:val="21"/>
              </w:rPr>
            </w:pPr>
            <w:r>
              <w:rPr>
                <w:rFonts w:cs="Times New Roman"/>
                <w:sz w:val="21"/>
                <w:szCs w:val="21"/>
              </w:rPr>
              <w:t>水污染物</w:t>
            </w:r>
          </w:p>
        </w:tc>
        <w:tc>
          <w:tcPr>
            <w:tcW w:w="1559" w:type="dxa"/>
            <w:vMerge w:val="restart"/>
            <w:vAlign w:val="center"/>
          </w:tcPr>
          <w:p>
            <w:pPr>
              <w:spacing w:line="240" w:lineRule="auto"/>
              <w:ind w:firstLine="0" w:firstLineChars="0"/>
              <w:rPr>
                <w:rFonts w:cs="Times New Roman"/>
                <w:sz w:val="21"/>
                <w:szCs w:val="21"/>
              </w:rPr>
            </w:pPr>
            <w:r>
              <w:rPr>
                <w:rFonts w:cs="Times New Roman"/>
                <w:sz w:val="21"/>
                <w:szCs w:val="21"/>
              </w:rPr>
              <w:t>生活污水133.9m</w:t>
            </w:r>
            <w:r>
              <w:rPr>
                <w:rFonts w:cs="Times New Roman"/>
                <w:sz w:val="21"/>
                <w:szCs w:val="21"/>
                <w:vertAlign w:val="superscript"/>
              </w:rPr>
              <w:t>3</w:t>
            </w:r>
            <w:r>
              <w:rPr>
                <w:rFonts w:cs="Times New Roman"/>
                <w:sz w:val="21"/>
                <w:szCs w:val="21"/>
              </w:rPr>
              <w:t>/a</w:t>
            </w:r>
          </w:p>
        </w:tc>
        <w:tc>
          <w:tcPr>
            <w:tcW w:w="1276" w:type="dxa"/>
            <w:gridSpan w:val="2"/>
            <w:vAlign w:val="center"/>
          </w:tcPr>
          <w:p>
            <w:pPr>
              <w:spacing w:line="240" w:lineRule="auto"/>
              <w:ind w:firstLine="0" w:firstLineChars="0"/>
              <w:jc w:val="center"/>
              <w:rPr>
                <w:rFonts w:cs="Times New Roman"/>
                <w:sz w:val="21"/>
                <w:szCs w:val="21"/>
                <w:vertAlign w:val="subscript"/>
              </w:rPr>
            </w:pPr>
            <w:r>
              <w:rPr>
                <w:rFonts w:cs="Times New Roman"/>
                <w:sz w:val="21"/>
                <w:szCs w:val="21"/>
              </w:rPr>
              <w:t>COD</w:t>
            </w:r>
            <w:r>
              <w:rPr>
                <w:rFonts w:cs="Times New Roman"/>
                <w:sz w:val="21"/>
                <w:szCs w:val="21"/>
                <w:vertAlign w:val="subscript"/>
              </w:rPr>
              <w:t>cr</w:t>
            </w:r>
          </w:p>
        </w:tc>
        <w:tc>
          <w:tcPr>
            <w:tcW w:w="2257" w:type="dxa"/>
            <w:vMerge w:val="restart"/>
            <w:vAlign w:val="center"/>
          </w:tcPr>
          <w:p>
            <w:pPr>
              <w:spacing w:line="240" w:lineRule="auto"/>
              <w:ind w:firstLine="0" w:firstLineChars="0"/>
              <w:jc w:val="center"/>
              <w:rPr>
                <w:rFonts w:cs="Times New Roman"/>
                <w:sz w:val="21"/>
                <w:szCs w:val="21"/>
              </w:rPr>
            </w:pPr>
            <w:r>
              <w:rPr>
                <w:rFonts w:cs="Times New Roman"/>
                <w:sz w:val="21"/>
                <w:szCs w:val="21"/>
              </w:rPr>
              <w:t>生活污水采用三级化粪池进行预处理后，纳入开平市水口污水处理厂集中处理</w:t>
            </w:r>
          </w:p>
        </w:tc>
        <w:tc>
          <w:tcPr>
            <w:tcW w:w="2966" w:type="dxa"/>
            <w:vMerge w:val="restart"/>
            <w:vAlign w:val="center"/>
          </w:tcPr>
          <w:p>
            <w:pPr>
              <w:spacing w:line="240" w:lineRule="auto"/>
              <w:ind w:firstLine="0" w:firstLineChars="0"/>
              <w:jc w:val="center"/>
              <w:rPr>
                <w:rFonts w:cs="Times New Roman"/>
                <w:sz w:val="21"/>
                <w:szCs w:val="21"/>
              </w:rPr>
            </w:pPr>
            <w:r>
              <w:rPr>
                <w:rFonts w:cs="Times New Roman"/>
                <w:sz w:val="21"/>
                <w:szCs w:val="21"/>
              </w:rPr>
              <w:t>达到广东省地方标准《水污染物排放限值》（DB44/26-2001）中的第二时段三级标准和《下水道水质标准》（GB/T31962-2015）的一级B标准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BOD</w:t>
            </w:r>
            <w:r>
              <w:rPr>
                <w:rFonts w:cs="Times New Roman"/>
                <w:sz w:val="21"/>
                <w:szCs w:val="21"/>
                <w:vertAlign w:val="subscript"/>
              </w:rPr>
              <w:t>5</w:t>
            </w:r>
          </w:p>
        </w:tc>
        <w:tc>
          <w:tcPr>
            <w:tcW w:w="2257" w:type="dxa"/>
            <w:vMerge w:val="continue"/>
            <w:vAlign w:val="center"/>
          </w:tcPr>
          <w:p>
            <w:pPr>
              <w:spacing w:line="240" w:lineRule="auto"/>
              <w:ind w:firstLine="0" w:firstLineChars="0"/>
              <w:rPr>
                <w:rFonts w:cs="Times New Roman"/>
                <w:sz w:val="21"/>
                <w:szCs w:val="21"/>
              </w:rPr>
            </w:pPr>
          </w:p>
        </w:tc>
        <w:tc>
          <w:tcPr>
            <w:tcW w:w="2966" w:type="dxa"/>
            <w:vMerge w:val="continue"/>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氨氮</w:t>
            </w:r>
          </w:p>
        </w:tc>
        <w:tc>
          <w:tcPr>
            <w:tcW w:w="2257" w:type="dxa"/>
            <w:vMerge w:val="continue"/>
            <w:vAlign w:val="center"/>
          </w:tcPr>
          <w:p>
            <w:pPr>
              <w:spacing w:line="240" w:lineRule="auto"/>
              <w:ind w:firstLine="0" w:firstLineChars="0"/>
              <w:rPr>
                <w:rFonts w:cs="Times New Roman"/>
                <w:sz w:val="21"/>
                <w:szCs w:val="21"/>
              </w:rPr>
            </w:pPr>
          </w:p>
        </w:tc>
        <w:tc>
          <w:tcPr>
            <w:tcW w:w="2966" w:type="dxa"/>
            <w:vMerge w:val="continue"/>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vAlign w:val="center"/>
          </w:tcPr>
          <w:p>
            <w:pPr>
              <w:spacing w:line="240" w:lineRule="auto"/>
              <w:ind w:firstLine="0" w:firstLineChars="0"/>
              <w:jc w:val="center"/>
              <w:rPr>
                <w:rFonts w:cs="Times New Roman"/>
                <w:sz w:val="21"/>
                <w:szCs w:val="21"/>
              </w:rPr>
            </w:pPr>
            <w:r>
              <w:rPr>
                <w:rFonts w:cs="Times New Roman"/>
                <w:sz w:val="21"/>
                <w:szCs w:val="21"/>
              </w:rPr>
              <w:t>SS</w:t>
            </w:r>
          </w:p>
        </w:tc>
        <w:tc>
          <w:tcPr>
            <w:tcW w:w="2257" w:type="dxa"/>
            <w:vMerge w:val="continue"/>
            <w:vAlign w:val="center"/>
          </w:tcPr>
          <w:p>
            <w:pPr>
              <w:spacing w:line="240" w:lineRule="auto"/>
              <w:ind w:firstLine="0" w:firstLineChars="0"/>
              <w:rPr>
                <w:rFonts w:cs="Times New Roman"/>
                <w:sz w:val="21"/>
                <w:szCs w:val="21"/>
              </w:rPr>
            </w:pPr>
          </w:p>
        </w:tc>
        <w:tc>
          <w:tcPr>
            <w:tcW w:w="2966" w:type="dxa"/>
            <w:vMerge w:val="continue"/>
            <w:vAlign w:val="center"/>
          </w:tcPr>
          <w:p>
            <w:pPr>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restart"/>
            <w:vAlign w:val="center"/>
          </w:tcPr>
          <w:p>
            <w:pPr>
              <w:spacing w:line="240" w:lineRule="auto"/>
              <w:ind w:firstLine="0" w:firstLineChars="0"/>
              <w:jc w:val="center"/>
              <w:rPr>
                <w:rFonts w:cs="Times New Roman"/>
                <w:sz w:val="21"/>
                <w:szCs w:val="21"/>
              </w:rPr>
            </w:pPr>
            <w:r>
              <w:rPr>
                <w:rFonts w:cs="Times New Roman"/>
                <w:sz w:val="21"/>
                <w:szCs w:val="21"/>
              </w:rPr>
              <w:t>固体废物</w:t>
            </w:r>
          </w:p>
        </w:tc>
        <w:tc>
          <w:tcPr>
            <w:tcW w:w="1559" w:type="dxa"/>
            <w:vMerge w:val="restart"/>
            <w:vAlign w:val="center"/>
          </w:tcPr>
          <w:p>
            <w:pPr>
              <w:spacing w:line="240" w:lineRule="auto"/>
              <w:ind w:firstLine="0" w:firstLineChars="0"/>
              <w:rPr>
                <w:rFonts w:cs="Times New Roman"/>
                <w:sz w:val="21"/>
                <w:szCs w:val="21"/>
              </w:rPr>
            </w:pPr>
            <w:r>
              <w:rPr>
                <w:rFonts w:cs="Times New Roman"/>
                <w:sz w:val="21"/>
                <w:szCs w:val="21"/>
              </w:rPr>
              <w:t>一般工业固废</w:t>
            </w: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边角料</w:t>
            </w:r>
          </w:p>
        </w:tc>
        <w:tc>
          <w:tcPr>
            <w:tcW w:w="2257" w:type="dxa"/>
            <w:vMerge w:val="restart"/>
            <w:vAlign w:val="center"/>
          </w:tcPr>
          <w:p>
            <w:pPr>
              <w:spacing w:line="240" w:lineRule="auto"/>
              <w:ind w:firstLine="0" w:firstLineChars="0"/>
              <w:jc w:val="center"/>
              <w:rPr>
                <w:rFonts w:cs="Times New Roman"/>
                <w:sz w:val="21"/>
                <w:szCs w:val="21"/>
              </w:rPr>
            </w:pPr>
            <w:r>
              <w:rPr>
                <w:rFonts w:cs="Times New Roman"/>
                <w:sz w:val="21"/>
                <w:szCs w:val="21"/>
              </w:rPr>
              <w:t>统一外售处理或专门公司回收</w:t>
            </w:r>
          </w:p>
        </w:tc>
        <w:tc>
          <w:tcPr>
            <w:tcW w:w="2966" w:type="dxa"/>
            <w:vMerge w:val="restart"/>
            <w:vAlign w:val="center"/>
          </w:tcPr>
          <w:p>
            <w:pPr>
              <w:spacing w:line="240" w:lineRule="auto"/>
              <w:ind w:firstLine="0" w:firstLineChars="0"/>
              <w:jc w:val="center"/>
              <w:rPr>
                <w:rFonts w:cs="Times New Roman"/>
                <w:sz w:val="21"/>
                <w:szCs w:val="21"/>
              </w:rPr>
            </w:pPr>
            <w:r>
              <w:rPr>
                <w:rFonts w:cs="Times New Roman"/>
                <w:sz w:val="21"/>
                <w:szCs w:val="21"/>
              </w:rPr>
              <w:t>达到相应的卫生和环保要求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废包装材料</w:t>
            </w:r>
          </w:p>
        </w:tc>
        <w:tc>
          <w:tcPr>
            <w:tcW w:w="2257" w:type="dxa"/>
            <w:vMerge w:val="continue"/>
            <w:vAlign w:val="center"/>
          </w:tcPr>
          <w:p>
            <w:pPr>
              <w:spacing w:line="240" w:lineRule="auto"/>
              <w:ind w:firstLine="0" w:firstLineChars="0"/>
              <w:rPr>
                <w:rFonts w:cs="Times New Roman"/>
                <w:sz w:val="21"/>
                <w:szCs w:val="21"/>
              </w:rPr>
            </w:pPr>
          </w:p>
        </w:tc>
        <w:tc>
          <w:tcPr>
            <w:tcW w:w="2966" w:type="dxa"/>
            <w:vMerge w:val="continue"/>
            <w:vAlign w:val="center"/>
          </w:tcPr>
          <w:p>
            <w:pPr>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喷淋塔打捞渣</w:t>
            </w:r>
          </w:p>
        </w:tc>
        <w:tc>
          <w:tcPr>
            <w:tcW w:w="2257" w:type="dxa"/>
            <w:vMerge w:val="continue"/>
            <w:vAlign w:val="center"/>
          </w:tcPr>
          <w:p>
            <w:pPr>
              <w:spacing w:line="240" w:lineRule="auto"/>
              <w:ind w:firstLine="0" w:firstLineChars="0"/>
              <w:rPr>
                <w:rFonts w:cs="Times New Roman"/>
                <w:sz w:val="21"/>
                <w:szCs w:val="21"/>
              </w:rPr>
            </w:pPr>
          </w:p>
        </w:tc>
        <w:tc>
          <w:tcPr>
            <w:tcW w:w="2966" w:type="dxa"/>
            <w:vMerge w:val="continue"/>
            <w:vAlign w:val="center"/>
          </w:tcPr>
          <w:p>
            <w:pPr>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rPr>
                <w:rFonts w:cs="Times New Roman"/>
                <w:sz w:val="21"/>
                <w:szCs w:val="21"/>
              </w:rPr>
            </w:pP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生活垃圾</w:t>
            </w:r>
          </w:p>
        </w:tc>
        <w:tc>
          <w:tcPr>
            <w:tcW w:w="2257" w:type="dxa"/>
            <w:vAlign w:val="center"/>
          </w:tcPr>
          <w:p>
            <w:pPr>
              <w:spacing w:line="240" w:lineRule="auto"/>
              <w:ind w:firstLine="0" w:firstLineChars="0"/>
              <w:jc w:val="center"/>
              <w:rPr>
                <w:rFonts w:cs="Times New Roman"/>
                <w:sz w:val="21"/>
                <w:szCs w:val="21"/>
              </w:rPr>
            </w:pPr>
            <w:r>
              <w:rPr>
                <w:rFonts w:cs="Times New Roman"/>
                <w:sz w:val="21"/>
                <w:szCs w:val="21"/>
              </w:rPr>
              <w:t>环卫部门定期清理</w:t>
            </w:r>
          </w:p>
        </w:tc>
        <w:tc>
          <w:tcPr>
            <w:tcW w:w="2966" w:type="dxa"/>
            <w:vMerge w:val="continue"/>
            <w:vAlign w:val="center"/>
          </w:tcPr>
          <w:p>
            <w:pPr>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restart"/>
            <w:vAlign w:val="center"/>
          </w:tcPr>
          <w:p>
            <w:pPr>
              <w:spacing w:line="240" w:lineRule="auto"/>
              <w:ind w:firstLine="0" w:firstLineChars="0"/>
              <w:jc w:val="center"/>
              <w:rPr>
                <w:rFonts w:cs="Times New Roman"/>
                <w:sz w:val="21"/>
                <w:szCs w:val="21"/>
              </w:rPr>
            </w:pPr>
            <w:r>
              <w:rPr>
                <w:rFonts w:cs="Times New Roman"/>
                <w:sz w:val="21"/>
                <w:szCs w:val="21"/>
              </w:rPr>
              <w:t>危险废物</w:t>
            </w: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煤油</w:t>
            </w:r>
            <w:r>
              <w:rPr>
                <w:rFonts w:cs="Times New Roman"/>
                <w:sz w:val="21"/>
                <w:szCs w:val="21"/>
              </w:rPr>
              <w:t>包装桶</w:t>
            </w:r>
          </w:p>
        </w:tc>
        <w:tc>
          <w:tcPr>
            <w:tcW w:w="2257" w:type="dxa"/>
            <w:vAlign w:val="center"/>
          </w:tcPr>
          <w:p>
            <w:pPr>
              <w:spacing w:line="240" w:lineRule="auto"/>
              <w:ind w:firstLine="0" w:firstLineChars="0"/>
              <w:jc w:val="center"/>
              <w:rPr>
                <w:rFonts w:cs="Times New Roman"/>
                <w:sz w:val="21"/>
                <w:szCs w:val="21"/>
              </w:rPr>
            </w:pPr>
            <w:r>
              <w:rPr>
                <w:rFonts w:cs="Times New Roman"/>
                <w:sz w:val="21"/>
                <w:szCs w:val="21"/>
              </w:rPr>
              <w:t>由有资质的危废公司处理</w:t>
            </w:r>
          </w:p>
        </w:tc>
        <w:tc>
          <w:tcPr>
            <w:tcW w:w="2966" w:type="dxa"/>
            <w:vMerge w:val="continue"/>
            <w:vAlign w:val="center"/>
          </w:tcPr>
          <w:p>
            <w:pPr>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635" w:type="dxa"/>
            <w:vMerge w:val="continue"/>
            <w:vAlign w:val="center"/>
          </w:tcPr>
          <w:p>
            <w:pPr>
              <w:spacing w:line="240" w:lineRule="auto"/>
              <w:ind w:firstLine="0" w:firstLineChars="0"/>
              <w:rPr>
                <w:rFonts w:cs="Times New Roman"/>
                <w:sz w:val="21"/>
                <w:szCs w:val="21"/>
              </w:rPr>
            </w:pPr>
          </w:p>
        </w:tc>
        <w:tc>
          <w:tcPr>
            <w:tcW w:w="358" w:type="dxa"/>
            <w:vMerge w:val="continue"/>
            <w:vAlign w:val="center"/>
          </w:tcPr>
          <w:p>
            <w:pPr>
              <w:spacing w:line="240" w:lineRule="auto"/>
              <w:ind w:firstLine="0" w:firstLineChars="0"/>
              <w:rPr>
                <w:rFonts w:cs="Times New Roman"/>
                <w:sz w:val="21"/>
                <w:szCs w:val="21"/>
              </w:rPr>
            </w:pPr>
          </w:p>
        </w:tc>
        <w:tc>
          <w:tcPr>
            <w:tcW w:w="1559" w:type="dxa"/>
            <w:vMerge w:val="continue"/>
            <w:vAlign w:val="center"/>
          </w:tcPr>
          <w:p>
            <w:pPr>
              <w:spacing w:line="240" w:lineRule="auto"/>
              <w:ind w:firstLine="0" w:firstLineChars="0"/>
              <w:jc w:val="center"/>
              <w:rPr>
                <w:rFonts w:cs="Times New Roman"/>
                <w:sz w:val="21"/>
                <w:szCs w:val="21"/>
              </w:rPr>
            </w:pPr>
          </w:p>
        </w:tc>
        <w:tc>
          <w:tcPr>
            <w:tcW w:w="1276" w:type="dxa"/>
            <w:gridSpan w:val="2"/>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含油抹布</w:t>
            </w:r>
          </w:p>
        </w:tc>
        <w:tc>
          <w:tcPr>
            <w:tcW w:w="2257" w:type="dxa"/>
            <w:vAlign w:val="center"/>
          </w:tcPr>
          <w:p>
            <w:pPr>
              <w:spacing w:line="240" w:lineRule="auto"/>
              <w:ind w:firstLine="0" w:firstLineChars="0"/>
              <w:jc w:val="center"/>
              <w:rPr>
                <w:rFonts w:cs="Times New Roman"/>
                <w:sz w:val="21"/>
                <w:szCs w:val="21"/>
              </w:rPr>
            </w:pPr>
            <w:r>
              <w:rPr>
                <w:rFonts w:hint="eastAsia" w:cs="Times New Roman"/>
                <w:sz w:val="21"/>
                <w:szCs w:val="21"/>
              </w:rPr>
              <w:t>按危险废物豁免管理清单要求执行</w:t>
            </w:r>
          </w:p>
        </w:tc>
        <w:tc>
          <w:tcPr>
            <w:tcW w:w="2966" w:type="dxa"/>
            <w:vMerge w:val="continue"/>
            <w:vAlign w:val="center"/>
          </w:tcPr>
          <w:p>
            <w:pPr>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26" w:hRule="atLeast"/>
        </w:trPr>
        <w:tc>
          <w:tcPr>
            <w:tcW w:w="635" w:type="dxa"/>
            <w:vMerge w:val="continue"/>
            <w:vAlign w:val="center"/>
          </w:tcPr>
          <w:p>
            <w:pPr>
              <w:spacing w:line="240" w:lineRule="auto"/>
              <w:ind w:firstLine="0" w:firstLineChars="0"/>
              <w:rPr>
                <w:rFonts w:cs="Times New Roman"/>
                <w:sz w:val="21"/>
                <w:szCs w:val="21"/>
              </w:rPr>
            </w:pPr>
          </w:p>
        </w:tc>
        <w:tc>
          <w:tcPr>
            <w:tcW w:w="358" w:type="dxa"/>
            <w:vAlign w:val="center"/>
          </w:tcPr>
          <w:p>
            <w:pPr>
              <w:spacing w:line="240" w:lineRule="auto"/>
              <w:ind w:firstLine="0" w:firstLineChars="0"/>
              <w:jc w:val="center"/>
              <w:rPr>
                <w:rFonts w:cs="Times New Roman"/>
                <w:sz w:val="21"/>
                <w:szCs w:val="21"/>
              </w:rPr>
            </w:pPr>
            <w:r>
              <w:rPr>
                <w:rFonts w:cs="Times New Roman"/>
                <w:sz w:val="21"/>
                <w:szCs w:val="21"/>
              </w:rPr>
              <w:t>噪声</w:t>
            </w:r>
          </w:p>
        </w:tc>
        <w:tc>
          <w:tcPr>
            <w:tcW w:w="1559" w:type="dxa"/>
            <w:vAlign w:val="center"/>
          </w:tcPr>
          <w:p>
            <w:pPr>
              <w:spacing w:line="240" w:lineRule="auto"/>
              <w:ind w:firstLine="0" w:firstLineChars="0"/>
              <w:jc w:val="center"/>
              <w:rPr>
                <w:rFonts w:cs="Times New Roman"/>
                <w:kern w:val="0"/>
                <w:sz w:val="21"/>
                <w:szCs w:val="21"/>
              </w:rPr>
            </w:pPr>
            <w:r>
              <w:rPr>
                <w:rFonts w:cs="Times New Roman"/>
                <w:kern w:val="0"/>
                <w:sz w:val="21"/>
                <w:szCs w:val="21"/>
              </w:rPr>
              <w:t>生产车间</w:t>
            </w:r>
          </w:p>
        </w:tc>
        <w:tc>
          <w:tcPr>
            <w:tcW w:w="1276" w:type="dxa"/>
            <w:gridSpan w:val="2"/>
            <w:vAlign w:val="center"/>
          </w:tcPr>
          <w:p>
            <w:pPr>
              <w:spacing w:line="240" w:lineRule="auto"/>
              <w:ind w:firstLine="0" w:firstLineChars="0"/>
              <w:jc w:val="center"/>
              <w:rPr>
                <w:rFonts w:cs="Times New Roman"/>
                <w:kern w:val="0"/>
                <w:sz w:val="21"/>
                <w:szCs w:val="21"/>
              </w:rPr>
            </w:pPr>
            <w:r>
              <w:rPr>
                <w:rFonts w:cs="Times New Roman"/>
                <w:kern w:val="0"/>
                <w:sz w:val="21"/>
                <w:szCs w:val="21"/>
              </w:rPr>
              <w:t>生产设备噪声</w:t>
            </w:r>
          </w:p>
        </w:tc>
        <w:tc>
          <w:tcPr>
            <w:tcW w:w="2257" w:type="dxa"/>
            <w:vAlign w:val="center"/>
          </w:tcPr>
          <w:p>
            <w:pPr>
              <w:spacing w:line="240" w:lineRule="auto"/>
              <w:ind w:firstLine="0" w:firstLineChars="0"/>
              <w:rPr>
                <w:rFonts w:cs="Times New Roman"/>
                <w:sz w:val="21"/>
                <w:szCs w:val="21"/>
              </w:rPr>
            </w:pPr>
            <w:r>
              <w:rPr>
                <w:rFonts w:cs="Times New Roman"/>
                <w:sz w:val="21"/>
                <w:szCs w:val="21"/>
              </w:rPr>
              <w:t>封闭式作业，选用低噪声设备，合理布局，采取消声、减振、隔声等措施</w:t>
            </w:r>
          </w:p>
        </w:tc>
        <w:tc>
          <w:tcPr>
            <w:tcW w:w="2966" w:type="dxa"/>
            <w:vAlign w:val="center"/>
          </w:tcPr>
          <w:p>
            <w:pPr>
              <w:spacing w:line="240" w:lineRule="auto"/>
              <w:ind w:firstLine="0" w:firstLineChars="0"/>
              <w:jc w:val="center"/>
              <w:rPr>
                <w:rFonts w:cs="Times New Roman"/>
                <w:sz w:val="21"/>
                <w:szCs w:val="21"/>
              </w:rPr>
            </w:pPr>
            <w:r>
              <w:rPr>
                <w:rFonts w:cs="Times New Roman"/>
                <w:sz w:val="21"/>
                <w:szCs w:val="21"/>
              </w:rPr>
              <w:t>边界噪声达到《工业企业厂界环境噪声排放标准》（GB12348-2008）3 类标准：昼间≤65B(A)，夜间≤55B(A)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5" w:hRule="atLeast"/>
        </w:trPr>
        <w:tc>
          <w:tcPr>
            <w:tcW w:w="9051" w:type="dxa"/>
            <w:gridSpan w:val="7"/>
          </w:tcPr>
          <w:p>
            <w:pPr>
              <w:ind w:firstLine="0" w:firstLineChars="0"/>
              <w:rPr>
                <w:rFonts w:cs="Times New Roman"/>
                <w:b/>
                <w:sz w:val="21"/>
                <w:szCs w:val="21"/>
              </w:rPr>
            </w:pPr>
            <w:r>
              <w:rPr>
                <w:rFonts w:cs="Times New Roman"/>
                <w:b/>
                <w:sz w:val="21"/>
                <w:szCs w:val="21"/>
              </w:rPr>
              <w:t>生态保护措施及预期效果：</w:t>
            </w:r>
          </w:p>
          <w:p>
            <w:pPr>
              <w:ind w:firstLine="480"/>
              <w:rPr>
                <w:rFonts w:cs="Times New Roman"/>
                <w:szCs w:val="24"/>
              </w:rPr>
            </w:pPr>
            <w:r>
              <w:rPr>
                <w:rFonts w:cs="Times New Roman"/>
                <w:szCs w:val="24"/>
              </w:rPr>
              <w:t>评价区域内无珍稀植被和古、大、奇树木，区域内主要植被为灌丛、绿化树木，无濒危珍稀动植物。本项目位于工业园区内，项目的建设对生态环境影响程度较轻。</w:t>
            </w:r>
          </w:p>
          <w:p>
            <w:pPr>
              <w:ind w:firstLine="0" w:firstLineChars="0"/>
              <w:rPr>
                <w:rFonts w:cs="Times New Roman"/>
                <w:sz w:val="21"/>
                <w:szCs w:val="21"/>
              </w:rPr>
            </w:pPr>
          </w:p>
        </w:tc>
      </w:tr>
    </w:tbl>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numPr>
          <w:ilvl w:val="0"/>
          <w:numId w:val="2"/>
        </w:numPr>
        <w:rPr>
          <w:rFonts w:cs="Times New Roman"/>
        </w:rPr>
      </w:pPr>
      <w:bookmarkStart w:id="19" w:name="_Toc27729838"/>
      <w:r>
        <w:rPr>
          <w:rFonts w:cs="Times New Roman"/>
        </w:rPr>
        <w:t>结论与建议</w:t>
      </w:r>
      <w:bookmarkEnd w:id="19"/>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9286" w:type="dxa"/>
          </w:tcPr>
          <w:p>
            <w:pPr>
              <w:pStyle w:val="20"/>
              <w:ind w:firstLine="0" w:firstLineChars="0"/>
            </w:pPr>
            <w:bookmarkStart w:id="20" w:name="_Toc22823026"/>
            <w:r>
              <w:t>9.1结论</w:t>
            </w:r>
            <w:bookmarkEnd w:id="20"/>
          </w:p>
          <w:p>
            <w:pPr>
              <w:pStyle w:val="4"/>
              <w:rPr>
                <w:rFonts w:ascii="Times New Roman" w:hAnsi="Times New Roman" w:cs="Times New Roman"/>
                <w:lang w:val="zh-CN"/>
              </w:rPr>
            </w:pPr>
            <w:r>
              <w:rPr>
                <w:rFonts w:ascii="Times New Roman" w:hAnsi="Times New Roman" w:cs="Times New Roman"/>
                <w:lang w:val="zh-CN"/>
              </w:rPr>
              <w:t>9.1.1项目概况</w:t>
            </w:r>
          </w:p>
          <w:p>
            <w:pPr>
              <w:adjustRightInd w:val="0"/>
              <w:snapToGrid w:val="0"/>
              <w:ind w:firstLine="480"/>
              <w:rPr>
                <w:rFonts w:cs="Times New Roman"/>
                <w:color w:val="000000"/>
                <w:szCs w:val="24"/>
                <w:lang w:val="zh-CN"/>
              </w:rPr>
            </w:pPr>
            <w:r>
              <w:rPr>
                <w:rFonts w:cs="Times New Roman"/>
                <w:color w:val="000000"/>
                <w:szCs w:val="24"/>
                <w:lang w:val="zh-CN"/>
              </w:rPr>
              <w:t>开平市水口镇新海洋五金水暖塑料厂位于</w:t>
            </w:r>
            <w:r>
              <w:rPr>
                <w:rFonts w:cs="Times New Roman"/>
                <w:bCs/>
                <w:color w:val="000000"/>
                <w:szCs w:val="24"/>
                <w:lang w:val="zh-CN"/>
              </w:rPr>
              <w:t>开平市水口镇水暖城C2区（</w:t>
            </w:r>
            <w:r>
              <w:rPr>
                <w:rFonts w:cs="Times New Roman"/>
                <w:color w:val="000000"/>
                <w:szCs w:val="24"/>
                <w:lang w:val="zh-CN"/>
              </w:rPr>
              <w:t>地理坐标：112.776614°E，22.457876°N</w:t>
            </w:r>
            <w:r>
              <w:rPr>
                <w:rFonts w:cs="Times New Roman"/>
                <w:bCs/>
                <w:color w:val="000000"/>
                <w:szCs w:val="24"/>
                <w:lang w:val="zh-CN"/>
              </w:rPr>
              <w:t>）。项目占地面积</w:t>
            </w:r>
            <w:r>
              <w:rPr>
                <w:rFonts w:cs="Times New Roman"/>
                <w:color w:val="000000"/>
                <w:szCs w:val="24"/>
                <w:lang w:val="zh-CN"/>
              </w:rPr>
              <w:t>1687.5平方米，建筑面积1687.5平方米，拟投资100万元，其中环保投资35万元，主要从事卫浴配件配件的生产，年产卫浴配件拟达到30万件。</w:t>
            </w:r>
          </w:p>
          <w:p>
            <w:pPr>
              <w:pStyle w:val="4"/>
              <w:rPr>
                <w:rFonts w:ascii="Times New Roman" w:hAnsi="Times New Roman" w:cs="Times New Roman"/>
                <w:lang w:val="zh-CN"/>
              </w:rPr>
            </w:pPr>
            <w:r>
              <w:rPr>
                <w:rFonts w:ascii="Times New Roman" w:hAnsi="Times New Roman" w:cs="Times New Roman"/>
                <w:lang w:val="zh-CN"/>
              </w:rPr>
              <w:t>9.1.2项目建设可行性分析</w:t>
            </w:r>
          </w:p>
          <w:p>
            <w:pPr>
              <w:adjustRightInd w:val="0"/>
              <w:snapToGrid w:val="0"/>
              <w:ind w:firstLine="480"/>
              <w:rPr>
                <w:rFonts w:cs="Times New Roman"/>
                <w:color w:val="000000"/>
              </w:rPr>
            </w:pPr>
            <w:r>
              <w:rPr>
                <w:rFonts w:cs="Times New Roman"/>
                <w:color w:val="000000"/>
              </w:rPr>
              <w:t>（1）产业政策相符性</w:t>
            </w:r>
          </w:p>
          <w:p>
            <w:pPr>
              <w:adjustRightInd w:val="0"/>
              <w:snapToGrid w:val="0"/>
              <w:ind w:firstLine="480"/>
              <w:rPr>
                <w:rFonts w:cs="Times New Roman"/>
                <w:bCs/>
                <w:color w:val="000000"/>
              </w:rPr>
            </w:pPr>
            <w:r>
              <w:rPr>
                <w:rFonts w:cs="Times New Roman"/>
                <w:bCs/>
                <w:color w:val="000000"/>
              </w:rPr>
              <w:t>按照《国民经济行业分类代码》中的规定，本项目的行业类别及代码为C制造业——3383，金属制卫生器具制造，不属于《产业结构调整指导目录》（2019年本）、《关于发布珠江三角洲地区产业结构调整优化和产业导向目录的通知》（粤经函[2011]891号）的限制类和淘汰类产业。</w:t>
            </w:r>
          </w:p>
          <w:p>
            <w:pPr>
              <w:adjustRightInd w:val="0"/>
              <w:snapToGrid w:val="0"/>
              <w:ind w:firstLine="480"/>
              <w:rPr>
                <w:rFonts w:cs="Times New Roman"/>
                <w:color w:val="000000"/>
              </w:rPr>
            </w:pPr>
            <w:r>
              <w:rPr>
                <w:rFonts w:cs="Times New Roman"/>
                <w:bCs/>
                <w:color w:val="000000"/>
              </w:rPr>
              <w:t>项目所使用的原辅材料、生产设备及生产工艺均不属于《产业结构调整指导目录》（2019年本）中的限制类和淘汰类产品及设备，符合国家和地方相关产业政策</w:t>
            </w:r>
            <w:r>
              <w:rPr>
                <w:rFonts w:cs="Times New Roman"/>
                <w:color w:val="000000"/>
              </w:rPr>
              <w:t>。</w:t>
            </w:r>
          </w:p>
          <w:p>
            <w:pPr>
              <w:adjustRightInd w:val="0"/>
              <w:snapToGrid w:val="0"/>
              <w:ind w:firstLine="480"/>
              <w:rPr>
                <w:rFonts w:cs="Times New Roman"/>
                <w:color w:val="000000"/>
              </w:rPr>
            </w:pPr>
            <w:r>
              <w:rPr>
                <w:rFonts w:cs="Times New Roman"/>
                <w:color w:val="000000"/>
              </w:rPr>
              <w:t>（2）选址规划相符性</w:t>
            </w:r>
          </w:p>
          <w:p>
            <w:pPr>
              <w:adjustRightInd w:val="0"/>
              <w:snapToGrid w:val="0"/>
              <w:ind w:firstLine="480"/>
              <w:rPr>
                <w:rFonts w:cs="Times New Roman"/>
                <w:color w:val="000000"/>
              </w:rPr>
            </w:pPr>
            <w:r>
              <w:rPr>
                <w:rFonts w:cs="Times New Roman"/>
                <w:color w:val="000000"/>
                <w:szCs w:val="24"/>
                <w:lang w:val="zh-CN"/>
              </w:rPr>
              <w:t>开平市水口镇新海洋五金水暖塑料厂位于</w:t>
            </w:r>
            <w:r>
              <w:rPr>
                <w:rFonts w:cs="Times New Roman"/>
                <w:bCs/>
                <w:color w:val="000000"/>
                <w:szCs w:val="24"/>
                <w:lang w:val="zh-CN"/>
              </w:rPr>
              <w:t>开平市水口镇水暖城C2区</w:t>
            </w:r>
            <w:r>
              <w:rPr>
                <w:rFonts w:cs="Times New Roman"/>
                <w:color w:val="000000"/>
              </w:rPr>
              <w:t>，属二类工业用地，符合《开平市水口中心镇总体规划修编（2004-2024）》的用地性质。</w:t>
            </w:r>
          </w:p>
          <w:p>
            <w:pPr>
              <w:adjustRightInd w:val="0"/>
              <w:snapToGrid w:val="0"/>
              <w:ind w:firstLine="480"/>
              <w:rPr>
                <w:rFonts w:cs="Times New Roman"/>
                <w:color w:val="000000"/>
              </w:rPr>
            </w:pPr>
            <w:r>
              <w:rPr>
                <w:rFonts w:cs="Times New Roman"/>
                <w:color w:val="000000"/>
              </w:rPr>
              <w:t>（3）平面布局合理性分析</w:t>
            </w:r>
          </w:p>
          <w:p>
            <w:pPr>
              <w:adjustRightInd w:val="0"/>
              <w:snapToGrid w:val="0"/>
              <w:ind w:firstLine="480"/>
              <w:rPr>
                <w:rFonts w:cs="Times New Roman"/>
                <w:color w:val="000000"/>
              </w:rPr>
            </w:pPr>
            <w:r>
              <w:rPr>
                <w:rFonts w:cs="Times New Roman"/>
                <w:bCs/>
                <w:color w:val="000000"/>
              </w:rPr>
              <w:t>本项目建筑面积为1687.5</w:t>
            </w:r>
            <w:r>
              <w:rPr>
                <w:rFonts w:cs="Times New Roman"/>
                <w:bCs/>
              </w:rPr>
              <w:t>m</w:t>
            </w:r>
            <w:r>
              <w:rPr>
                <w:rFonts w:cs="Times New Roman"/>
                <w:bCs/>
                <w:vertAlign w:val="superscript"/>
              </w:rPr>
              <w:t>2</w:t>
            </w:r>
            <w:r>
              <w:rPr>
                <w:rFonts w:cs="Times New Roman"/>
                <w:bCs/>
                <w:color w:val="000000"/>
              </w:rPr>
              <w:t>，从厂房门口进入，其布局依次为机加车间、安装车间热冲车间、办公室和抛光车间。根据工艺流程的需要，各车间设置紧凑，保证生产效率；办公室设置在厂房中央，易于办公；安装车间靠近门口，便于出货、节省时间。总的平面布局符合《工业企业总平面设计规范》（GB50187-2012）。</w:t>
            </w:r>
          </w:p>
          <w:p>
            <w:pPr>
              <w:adjustRightInd w:val="0"/>
              <w:snapToGrid w:val="0"/>
              <w:ind w:firstLine="480"/>
              <w:rPr>
                <w:rFonts w:cs="Times New Roman"/>
                <w:color w:val="000000"/>
              </w:rPr>
            </w:pPr>
            <w:r>
              <w:rPr>
                <w:rFonts w:cs="Times New Roman"/>
                <w:color w:val="000000"/>
              </w:rPr>
              <w:t>（4）与环境功能区划的符合性分析</w:t>
            </w:r>
          </w:p>
          <w:p>
            <w:pPr>
              <w:adjustRightInd w:val="0"/>
              <w:snapToGrid w:val="0"/>
              <w:ind w:firstLine="480"/>
              <w:rPr>
                <w:rFonts w:cs="Times New Roman"/>
                <w:bCs/>
                <w:color w:val="000000"/>
              </w:rPr>
            </w:pPr>
            <w:r>
              <w:rPr>
                <w:rFonts w:cs="Times New Roman"/>
                <w:bCs/>
                <w:color w:val="000000"/>
              </w:rPr>
              <w:t>项目所在区域属于开平市水口污水处理厂纳污范围，开平市水口污水处理厂东面排污河涌属III类水体，项目生活污水经三级化粪池预处理达到广东省地方标准《水污染物排放限值》（DB44/26-2001）第二时段三级标准后排入开平市水口污水处理厂处理达标后排放，符合区域水环境功能区划分要求。</w:t>
            </w:r>
          </w:p>
          <w:p>
            <w:pPr>
              <w:adjustRightInd w:val="0"/>
              <w:snapToGrid w:val="0"/>
              <w:ind w:firstLine="480"/>
              <w:rPr>
                <w:rFonts w:cs="Times New Roman"/>
                <w:bCs/>
                <w:color w:val="000000"/>
              </w:rPr>
            </w:pPr>
            <w:r>
              <w:rPr>
                <w:rFonts w:cs="Times New Roman"/>
                <w:bCs/>
                <w:color w:val="000000"/>
              </w:rPr>
              <w:t>项目所在地大气环境为《环境空气质量标准》（GB3095-2012）二类区，项目所在地不属于自然保护区、风景名胜区和其他需要特殊保护的地区，符合区域大气环境功能区划分要求。</w:t>
            </w:r>
          </w:p>
          <w:p>
            <w:pPr>
              <w:adjustRightInd w:val="0"/>
              <w:snapToGrid w:val="0"/>
              <w:ind w:firstLine="480"/>
              <w:rPr>
                <w:rFonts w:cs="Times New Roman"/>
                <w:bCs/>
                <w:color w:val="000000"/>
              </w:rPr>
            </w:pPr>
            <w:r>
              <w:rPr>
                <w:rFonts w:cs="Times New Roman"/>
                <w:bCs/>
                <w:color w:val="000000"/>
              </w:rPr>
              <w:t>项目所在区域边界噪声执行声环境为《声环境质量标准》（GB3096-2008）中的3类功能区，执行《声环境质量标准》（GB3096-2008）中3类标准。因此，项目选址是符合相关规划要求的。</w:t>
            </w:r>
          </w:p>
          <w:p>
            <w:pPr>
              <w:adjustRightInd w:val="0"/>
              <w:snapToGrid w:val="0"/>
              <w:ind w:firstLine="480"/>
              <w:rPr>
                <w:rFonts w:cs="Times New Roman"/>
                <w:color w:val="000000"/>
              </w:rPr>
            </w:pPr>
            <w:r>
              <w:rPr>
                <w:rFonts w:cs="Times New Roman"/>
                <w:color w:val="000000"/>
              </w:rPr>
              <w:t>因此，项目建设符合生产政策，选址符合相关规划要求，平面布局合理，是合理合法的。</w:t>
            </w:r>
          </w:p>
          <w:p>
            <w:pPr>
              <w:pStyle w:val="4"/>
              <w:rPr>
                <w:rFonts w:ascii="Times New Roman" w:hAnsi="Times New Roman" w:cs="Times New Roman"/>
                <w:lang w:val="zh-CN"/>
              </w:rPr>
            </w:pPr>
            <w:r>
              <w:rPr>
                <w:rFonts w:ascii="Times New Roman" w:hAnsi="Times New Roman" w:cs="Times New Roman"/>
              </w:rPr>
              <w:t>9.1.3</w:t>
            </w:r>
            <w:r>
              <w:rPr>
                <w:rFonts w:ascii="Times New Roman" w:hAnsi="Times New Roman" w:cs="Times New Roman"/>
                <w:lang w:val="zh-CN"/>
              </w:rPr>
              <w:t>环境质量现状评价结论</w:t>
            </w:r>
          </w:p>
          <w:p>
            <w:pPr>
              <w:adjustRightInd w:val="0"/>
              <w:snapToGrid w:val="0"/>
              <w:ind w:firstLine="480"/>
              <w:rPr>
                <w:rFonts w:cs="Times New Roman"/>
                <w:bCs/>
                <w:color w:val="000000"/>
              </w:rPr>
            </w:pPr>
            <w:r>
              <w:rPr>
                <w:rFonts w:cs="Times New Roman"/>
                <w:bCs/>
                <w:color w:val="000000"/>
              </w:rPr>
              <w:t>（1）环境空气质量现状评价结论</w:t>
            </w:r>
          </w:p>
          <w:p>
            <w:pPr>
              <w:adjustRightInd w:val="0"/>
              <w:snapToGrid w:val="0"/>
              <w:ind w:firstLine="480"/>
              <w:rPr>
                <w:rFonts w:cs="Times New Roman"/>
                <w:bCs/>
                <w:color w:val="000000"/>
              </w:rPr>
            </w:pPr>
            <w:r>
              <w:rPr>
                <w:rFonts w:cs="Times New Roman"/>
                <w:color w:val="000000"/>
              </w:rPr>
              <w:t>项目所在区域大气环境质量执行《环境空气质量标准》(GB3095-2012)中的二级标准，根据《环境影响评价技术导则  大气环境》（HJ2.2-2018）6.2规定，本评价采用江门市生态环境局于2019年3月6日公开发布的环境质量报告《2018年江门市环境质量状况（公报）》（http://hbj.jiangmen.gov.cn/hjzl/ndhjzkgb/201903/t20190306_1841107.html）中的数据或结论，可知项目所在评价区域为不达标区域，开平市已加快对废气污染企业的监管，将会有效果提高大气环境质量</w:t>
            </w:r>
            <w:r>
              <w:rPr>
                <w:rFonts w:cs="Times New Roman"/>
                <w:bCs/>
                <w:color w:val="000000"/>
              </w:rPr>
              <w:t>。</w:t>
            </w:r>
          </w:p>
          <w:p>
            <w:pPr>
              <w:adjustRightInd w:val="0"/>
              <w:snapToGrid w:val="0"/>
              <w:ind w:firstLine="480"/>
              <w:rPr>
                <w:rFonts w:cs="Times New Roman"/>
                <w:bCs/>
                <w:color w:val="000000"/>
              </w:rPr>
            </w:pPr>
            <w:r>
              <w:rPr>
                <w:rFonts w:hint="eastAsia" w:cs="Times New Roman"/>
                <w:bCs/>
                <w:color w:val="000000"/>
              </w:rPr>
              <w:t>本项目的特征污染物TSP质量现状引用广东中科检测技术股份有限公司于2019年7月29日至8月5日对《开平市乐宇洁具有限公司年产卫浴洁具20万套.压铸卫浴配件20万件项目环境影响报告表》的监测数据，根据监测结果，项目所在区域环境空气中TSP的24小时平均浓度值符合《环境空气质量标准》(GB3095 -2012)及其修改单（生态环境部2018年第29号）的二级标准要求。</w:t>
            </w:r>
          </w:p>
          <w:p>
            <w:pPr>
              <w:adjustRightInd w:val="0"/>
              <w:snapToGrid w:val="0"/>
              <w:ind w:firstLine="480"/>
              <w:rPr>
                <w:rFonts w:cs="Times New Roman"/>
                <w:bCs/>
                <w:color w:val="000000"/>
              </w:rPr>
            </w:pPr>
            <w:r>
              <w:rPr>
                <w:rFonts w:cs="Times New Roman"/>
                <w:bCs/>
                <w:color w:val="000000"/>
              </w:rPr>
              <w:t>（2）水环境质量现状评价结论</w:t>
            </w:r>
          </w:p>
          <w:p>
            <w:pPr>
              <w:adjustRightInd w:val="0"/>
              <w:snapToGrid w:val="0"/>
              <w:ind w:firstLine="480"/>
              <w:rPr>
                <w:rFonts w:cs="Times New Roman"/>
                <w:color w:val="000000"/>
              </w:rPr>
            </w:pPr>
            <w:r>
              <w:rPr>
                <w:rFonts w:hint="eastAsia" w:cs="Times New Roman"/>
                <w:color w:val="000000"/>
              </w:rPr>
              <w:t>根据江门市生态环境局网站（http://hbj.jiangmen.gov.cn/hjzl/）公布江门市近三年的年度环境质量状况公报可以看出，潭江水质指标不能满足《地表水环境质量标准》（GB3838-2002）Ⅱ类标准限值要求，说明水环境质量现状一般，为了改善潭江水环境，开平市已加快周边污水处理厂的建设，以及对潭江流域排水企业实行监管，将会有利于潭江水环境治理的改善，有效削减区域的水污染物。</w:t>
            </w:r>
          </w:p>
          <w:p>
            <w:pPr>
              <w:adjustRightInd w:val="0"/>
              <w:snapToGrid w:val="0"/>
              <w:ind w:firstLine="480"/>
              <w:rPr>
                <w:rFonts w:cs="Times New Roman"/>
                <w:bCs/>
                <w:color w:val="000000"/>
              </w:rPr>
            </w:pPr>
            <w:r>
              <w:rPr>
                <w:rFonts w:cs="Times New Roman"/>
                <w:bCs/>
                <w:color w:val="000000"/>
              </w:rPr>
              <w:t>（3）声环境质量现状评价结论</w:t>
            </w:r>
          </w:p>
          <w:p>
            <w:pPr>
              <w:adjustRightInd w:val="0"/>
              <w:snapToGrid w:val="0"/>
              <w:ind w:firstLine="480"/>
              <w:rPr>
                <w:rFonts w:eastAsia="楷体_GB2312" w:cs="Times New Roman"/>
                <w:color w:val="000000"/>
              </w:rPr>
            </w:pPr>
            <w:r>
              <w:rPr>
                <w:rFonts w:cs="Times New Roman"/>
                <w:bCs/>
                <w:color w:val="000000"/>
              </w:rPr>
              <w:t>由监测结果可知，</w:t>
            </w:r>
            <w:r>
              <w:rPr>
                <w:rFonts w:hint="eastAsia" w:cs="Times New Roman"/>
                <w:color w:val="000000"/>
              </w:rPr>
              <w:t>声环境监测值均符合《声环境质量标准》（GB3096-2008）3类标准；因此，项目所在区域声环境质量尚好。</w:t>
            </w:r>
          </w:p>
          <w:p>
            <w:pPr>
              <w:pStyle w:val="4"/>
              <w:rPr>
                <w:rFonts w:ascii="Times New Roman" w:hAnsi="Times New Roman" w:cs="Times New Roman"/>
                <w:spacing w:val="6"/>
                <w:sz w:val="24"/>
                <w:szCs w:val="20"/>
              </w:rPr>
            </w:pPr>
            <w:r>
              <w:rPr>
                <w:rFonts w:ascii="Times New Roman" w:hAnsi="Times New Roman" w:cs="Times New Roman"/>
                <w:spacing w:val="6"/>
                <w:szCs w:val="20"/>
              </w:rPr>
              <w:t>9.1.4</w:t>
            </w:r>
            <w:r>
              <w:rPr>
                <w:rFonts w:ascii="Times New Roman" w:hAnsi="Times New Roman" w:cs="Times New Roman"/>
                <w:lang w:val="zh-CN"/>
              </w:rPr>
              <w:t>环境影响评价结论</w:t>
            </w:r>
          </w:p>
          <w:p>
            <w:pPr>
              <w:adjustRightInd w:val="0"/>
              <w:snapToGrid w:val="0"/>
              <w:ind w:firstLine="480"/>
              <w:rPr>
                <w:rFonts w:cs="Times New Roman"/>
                <w:color w:val="000000"/>
              </w:rPr>
            </w:pPr>
            <w:r>
              <w:rPr>
                <w:rFonts w:cs="Times New Roman"/>
                <w:color w:val="000000"/>
              </w:rPr>
              <w:t>（1）</w:t>
            </w:r>
            <w:r>
              <w:rPr>
                <w:rFonts w:hint="eastAsia" w:cs="Times New Roman"/>
                <w:color w:val="000000"/>
              </w:rPr>
              <w:t>大气环境影响分析</w:t>
            </w:r>
          </w:p>
          <w:p>
            <w:pPr>
              <w:adjustRightInd w:val="0"/>
              <w:snapToGrid w:val="0"/>
              <w:ind w:firstLine="480"/>
              <w:rPr>
                <w:rFonts w:cs="Times New Roman"/>
                <w:color w:val="000000"/>
              </w:rPr>
            </w:pPr>
            <w:r>
              <w:rPr>
                <w:rFonts w:cs="Times New Roman"/>
                <w:color w:val="000000"/>
              </w:rPr>
              <w:t>金属粉尘分析：项目开料切割、机加工工序会产生少量金属粉尘，金属粉尘颗粒较大，质量较重，可通过自然沉降下落到地面，待金属碎屑沉降后定期清扫地面收集处理并加强通风即可，故本环评中此工序中产生的粉尘废气可忽略不计。</w:t>
            </w:r>
          </w:p>
          <w:p>
            <w:pPr>
              <w:adjustRightInd w:val="0"/>
              <w:snapToGrid w:val="0"/>
              <w:ind w:firstLine="480"/>
              <w:rPr>
                <w:rFonts w:cs="Times New Roman"/>
                <w:color w:val="000000"/>
              </w:rPr>
            </w:pPr>
            <w:r>
              <w:rPr>
                <w:rFonts w:cs="Times New Roman"/>
                <w:color w:val="000000"/>
              </w:rPr>
              <w:t>热冲油烟分析：由工程分析可知，本项目热冲脱模产生的油烟通过集气罩由水喷淋塔</w:t>
            </w:r>
            <w:r>
              <w:rPr>
                <w:rFonts w:hint="eastAsia" w:cs="Times New Roman"/>
                <w:color w:val="000000"/>
              </w:rPr>
              <w:t>A</w:t>
            </w:r>
            <w:r>
              <w:rPr>
                <w:rFonts w:cs="Times New Roman"/>
                <w:color w:val="000000"/>
              </w:rPr>
              <w:t>降温除尘再经过油烟净化器处理后往 15m 高的排气筒排放，油烟净化处理后达到《饮食业油烟排放标准》（GB18483-2001）油烟最高允许排放浓度限值</w:t>
            </w:r>
            <w:r>
              <w:rPr>
                <w:rFonts w:cs="Times New Roman"/>
                <w:color w:val="000000"/>
                <w:szCs w:val="20"/>
              </w:rPr>
              <w:t>2.0 mg/m</w:t>
            </w:r>
            <w:r>
              <w:rPr>
                <w:rFonts w:cs="Times New Roman"/>
                <w:color w:val="000000"/>
                <w:szCs w:val="20"/>
                <w:vertAlign w:val="superscript"/>
              </w:rPr>
              <w:t>3</w:t>
            </w:r>
            <w:r>
              <w:rPr>
                <w:rFonts w:cs="Times New Roman"/>
                <w:color w:val="000000"/>
              </w:rPr>
              <w:t>要求，对环境影响不大。</w:t>
            </w:r>
          </w:p>
          <w:p>
            <w:pPr>
              <w:adjustRightInd w:val="0"/>
              <w:snapToGrid w:val="0"/>
              <w:ind w:firstLine="480"/>
              <w:rPr>
                <w:rFonts w:cs="Times New Roman"/>
                <w:color w:val="000000"/>
              </w:rPr>
            </w:pPr>
            <w:r>
              <w:rPr>
                <w:rFonts w:cs="Times New Roman"/>
                <w:color w:val="000000"/>
              </w:rPr>
              <w:t>抛光打磨工序粉尘分析：由工程分析及预测分析可知，本项目抛光打磨工序产生的粉尘经</w:t>
            </w:r>
            <w:r>
              <w:rPr>
                <w:rFonts w:cs="Times New Roman"/>
                <w:color w:val="000000"/>
                <w:szCs w:val="24"/>
              </w:rPr>
              <w:t>集尘罩+水喷淋塔</w:t>
            </w:r>
            <w:r>
              <w:rPr>
                <w:rFonts w:cs="Times New Roman"/>
                <w:color w:val="000000"/>
              </w:rPr>
              <w:t>处理后</w:t>
            </w:r>
            <w:r>
              <w:rPr>
                <w:rFonts w:hint="eastAsia" w:cs="Times New Roman"/>
                <w:color w:val="000000"/>
              </w:rPr>
              <w:t>往1</w:t>
            </w:r>
            <w:r>
              <w:rPr>
                <w:rFonts w:cs="Times New Roman"/>
                <w:color w:val="000000"/>
              </w:rPr>
              <w:t>5m</w:t>
            </w:r>
            <w:r>
              <w:rPr>
                <w:rFonts w:hint="eastAsia" w:cs="Times New Roman"/>
                <w:color w:val="000000"/>
              </w:rPr>
              <w:t>排气筒高空排放。经大气预测，无组织排放TSP最大落地浓度占标率0.</w:t>
            </w:r>
            <w:r>
              <w:rPr>
                <w:rFonts w:cs="Times New Roman"/>
                <w:color w:val="000000"/>
              </w:rPr>
              <w:t>30</w:t>
            </w:r>
            <w:r>
              <w:rPr>
                <w:rFonts w:hint="eastAsia" w:cs="Times New Roman"/>
                <w:color w:val="000000"/>
              </w:rPr>
              <w:t xml:space="preserve"> %，有组织排放TSP最大落地浓度占标率0.</w:t>
            </w:r>
            <w:r>
              <w:rPr>
                <w:rFonts w:cs="Times New Roman"/>
                <w:color w:val="000000"/>
              </w:rPr>
              <w:t>51</w:t>
            </w:r>
            <w:r>
              <w:rPr>
                <w:rFonts w:hint="eastAsia" w:cs="Times New Roman"/>
                <w:color w:val="000000"/>
              </w:rPr>
              <w:t xml:space="preserve"> %，Pmax＜1%，评价工作等级为三级，根据《环境影响评价技术导则-大气环境》（HJ2.2-2018），三级评价项目不需设置大气环境影响评价范围，三级评价项目不进行进一步预测与评价。本项目</w:t>
            </w:r>
            <w:r>
              <w:rPr>
                <w:rFonts w:cs="Times New Roman"/>
                <w:color w:val="000000"/>
              </w:rPr>
              <w:t>有组织废气排放达到广东省地方标准《大气污染物排放限值》（DB44/27-2001）第二时段二级排放标准（颗粒物标准排放浓度：120mg/m</w:t>
            </w:r>
            <w:r>
              <w:rPr>
                <w:rFonts w:cs="Times New Roman"/>
                <w:color w:val="000000"/>
                <w:vertAlign w:val="superscript"/>
              </w:rPr>
              <w:t>3</w:t>
            </w:r>
            <w:r>
              <w:rPr>
                <w:rFonts w:cs="Times New Roman"/>
                <w:color w:val="000000"/>
              </w:rPr>
              <w:t>；15m，排放速率：1.45kg/h）；无组织废气达到</w:t>
            </w:r>
            <w:r>
              <w:rPr>
                <w:rFonts w:cs="Times New Roman"/>
                <w:color w:val="000000"/>
                <w:szCs w:val="20"/>
              </w:rPr>
              <w:t>广东省地方标准《大气污染物排放限值》（DB44/27-2001）第二时段无组织排放监控点浓度限值1.0 mg/m</w:t>
            </w:r>
            <w:r>
              <w:rPr>
                <w:rFonts w:cs="Times New Roman"/>
                <w:color w:val="000000"/>
                <w:szCs w:val="20"/>
                <w:vertAlign w:val="superscript"/>
              </w:rPr>
              <w:t>3</w:t>
            </w:r>
            <w:r>
              <w:rPr>
                <w:rFonts w:cs="Times New Roman"/>
                <w:color w:val="000000"/>
                <w:szCs w:val="20"/>
              </w:rPr>
              <w:t>,</w:t>
            </w:r>
            <w:r>
              <w:rPr>
                <w:rFonts w:cs="Times New Roman"/>
                <w:color w:val="000000"/>
              </w:rPr>
              <w:t>即项目运行后对所在地的空气质量影响不大。</w:t>
            </w:r>
          </w:p>
          <w:p>
            <w:pPr>
              <w:adjustRightInd w:val="0"/>
              <w:snapToGrid w:val="0"/>
              <w:ind w:firstLine="480"/>
              <w:rPr>
                <w:rFonts w:cs="Times New Roman"/>
                <w:color w:val="000000"/>
              </w:rPr>
            </w:pPr>
            <w:r>
              <w:rPr>
                <w:rFonts w:cs="Times New Roman"/>
                <w:color w:val="000000"/>
                <w:szCs w:val="20"/>
              </w:rPr>
              <w:t>（2）噪声</w:t>
            </w:r>
            <w:r>
              <w:rPr>
                <w:rFonts w:cs="Times New Roman"/>
                <w:color w:val="000000"/>
              </w:rPr>
              <w:t>影响分析：</w:t>
            </w:r>
            <w:r>
              <w:rPr>
                <w:rFonts w:cs="Times New Roman"/>
                <w:color w:val="000000"/>
                <w:szCs w:val="20"/>
              </w:rPr>
              <w:t>项目噪声主要来源于生产过程各机械设备运转时所产生的设备噪声，噪声源强约60-85dB(A)，环评要求建设项目采取封闭式作业，选用低噪声设备，合理布局，采取消声、减振、隔声等措施，</w:t>
            </w:r>
            <w:r>
              <w:rPr>
                <w:rFonts w:cs="Times New Roman"/>
                <w:color w:val="000000"/>
              </w:rPr>
              <w:t>确保边界噪声达到《工业企业厂界环境噪声排放标准》（GB12348-2008）3类标准限值要求，则对区域声环境质量的影响较小。</w:t>
            </w:r>
          </w:p>
          <w:p>
            <w:pPr>
              <w:adjustRightInd w:val="0"/>
              <w:snapToGrid w:val="0"/>
              <w:ind w:firstLine="480"/>
              <w:rPr>
                <w:rFonts w:cs="Times New Roman"/>
                <w:color w:val="000000"/>
              </w:rPr>
            </w:pPr>
            <w:r>
              <w:rPr>
                <w:rFonts w:cs="Times New Roman"/>
                <w:color w:val="000000"/>
              </w:rPr>
              <w:t>（3）固体废弃物影响分析：本项目生活垃圾产生量为1.86t/a，交由当地环卫部门负责清运处理。项目一般固体废物包括边角料、废包装材料、喷淋塔打捞渣等，该类废物分类收集后，统一外售处理或交由专门的回收公司回收处理，</w:t>
            </w:r>
            <w:r>
              <w:rPr>
                <w:rFonts w:hint="eastAsia" w:cs="Times New Roman"/>
                <w:color w:val="000000"/>
              </w:rPr>
              <w:t>煤油</w:t>
            </w:r>
            <w:r>
              <w:rPr>
                <w:rFonts w:cs="Times New Roman"/>
                <w:color w:val="000000"/>
              </w:rPr>
              <w:t>废弃包装桶则交由有资质的危废公司进行处理，本项目产生的固体废物对周围环境影响不大。</w:t>
            </w:r>
          </w:p>
          <w:p>
            <w:pPr>
              <w:adjustRightInd w:val="0"/>
              <w:snapToGrid w:val="0"/>
              <w:ind w:firstLine="480"/>
              <w:rPr>
                <w:rFonts w:cs="Times New Roman"/>
                <w:color w:val="000000"/>
              </w:rPr>
            </w:pPr>
            <w:r>
              <w:rPr>
                <w:rFonts w:cs="Times New Roman"/>
                <w:color w:val="000000"/>
              </w:rPr>
              <w:t>（4）水环境影响分析：本项目无生产废水产生，主要废水为员工办公生活污水。项目生活污水经三级化粪池预处理达到广东省《水污染物排放限值》(DB44/26-2001)第二时</w:t>
            </w:r>
          </w:p>
          <w:p>
            <w:pPr>
              <w:adjustRightInd w:val="0"/>
              <w:snapToGrid w:val="0"/>
              <w:ind w:right="2801" w:rightChars="1167" w:firstLine="562"/>
              <w:jc w:val="right"/>
              <w:rPr>
                <w:rFonts w:cs="Times New Roman"/>
                <w:color w:val="000000"/>
                <w:kern w:val="144"/>
              </w:rPr>
            </w:pPr>
            <w:r>
              <w:rPr>
                <w:rFonts w:cs="Times New Roman"/>
                <w:b/>
                <w:bCs/>
                <w:color w:val="000000"/>
                <w:kern w:val="0"/>
                <w:sz w:val="28"/>
                <w:szCs w:val="32"/>
              </w:rPr>
              <w:drawing>
                <wp:inline distT="0" distB="0" distL="0" distR="0">
                  <wp:extent cx="5290185" cy="7597140"/>
                  <wp:effectExtent l="19050" t="0" r="5715" b="0"/>
                  <wp:docPr id="25" name="图片 16" descr="D:\Desktop\微信图片_2020031614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D:\Desktop\微信图片_202003161400388.jpg"/>
                          <pic:cNvPicPr>
                            <a:picLocks noChangeAspect="1" noChangeArrowheads="1"/>
                          </pic:cNvPicPr>
                        </pic:nvPicPr>
                        <pic:blipFill>
                          <a:blip r:embed="rId22" cstate="print"/>
                          <a:srcRect/>
                          <a:stretch>
                            <a:fillRect/>
                          </a:stretch>
                        </pic:blipFill>
                        <pic:spPr>
                          <a:xfrm>
                            <a:off x="0" y="0"/>
                            <a:ext cx="5290008" cy="7597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3" w:hRule="atLeast"/>
          <w:jc w:val="center"/>
        </w:trPr>
        <w:tc>
          <w:tcPr>
            <w:tcW w:w="9286" w:type="dxa"/>
          </w:tcPr>
          <w:p>
            <w:pPr>
              <w:adjustRightInd w:val="0"/>
              <w:snapToGrid w:val="0"/>
              <w:ind w:firstLine="480"/>
              <w:rPr>
                <w:rFonts w:cs="Times New Roman"/>
                <w:color w:val="000000"/>
              </w:rPr>
            </w:pPr>
            <w:r>
              <w:rPr>
                <w:rFonts w:cs="Times New Roman"/>
                <w:color w:val="000000"/>
              </w:rPr>
              <w:t>预审意见：</w:t>
            </w: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spacing w:line="380" w:lineRule="exact"/>
              <w:ind w:firstLine="0" w:firstLineChars="0"/>
              <w:rPr>
                <w:rFonts w:cs="Times New Roman"/>
                <w:color w:val="000000"/>
                <w:szCs w:val="24"/>
              </w:rPr>
            </w:pPr>
            <w:r>
              <w:rPr>
                <w:rFonts w:cs="Times New Roman"/>
                <w:color w:val="000000"/>
              </w:rPr>
              <w:t xml:space="preserve">                                                              </w:t>
            </w:r>
            <w:r>
              <w:rPr>
                <w:rFonts w:cs="Times New Roman"/>
                <w:color w:val="000000"/>
                <w:szCs w:val="24"/>
              </w:rPr>
              <w:t xml:space="preserve"> 公  章</w:t>
            </w:r>
          </w:p>
          <w:p>
            <w:pPr>
              <w:spacing w:line="380" w:lineRule="exact"/>
              <w:ind w:firstLine="0" w:firstLineChars="0"/>
              <w:rPr>
                <w:rFonts w:cs="Times New Roman"/>
                <w:color w:val="000000"/>
                <w:szCs w:val="24"/>
              </w:rPr>
            </w:pPr>
            <w:r>
              <w:rPr>
                <w:rFonts w:cs="Times New Roman"/>
                <w:color w:val="000000"/>
                <w:szCs w:val="24"/>
              </w:rPr>
              <w:t xml:space="preserve"> 经办人：                                                   年   月    日</w:t>
            </w:r>
          </w:p>
          <w:p>
            <w:pPr>
              <w:adjustRightInd w:val="0"/>
              <w:snapToGrid w:val="0"/>
              <w:ind w:firstLine="480"/>
              <w:rPr>
                <w:rFonts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2" w:hRule="atLeast"/>
          <w:jc w:val="center"/>
        </w:trPr>
        <w:tc>
          <w:tcPr>
            <w:tcW w:w="9286" w:type="dxa"/>
          </w:tcPr>
          <w:p>
            <w:pPr>
              <w:adjustRightInd w:val="0"/>
              <w:snapToGrid w:val="0"/>
              <w:ind w:firstLine="480"/>
              <w:rPr>
                <w:rFonts w:cs="Times New Roman"/>
                <w:color w:val="000000"/>
              </w:rPr>
            </w:pPr>
            <w:r>
              <w:rPr>
                <w:rFonts w:cs="Times New Roman"/>
                <w:color w:val="000000"/>
              </w:rPr>
              <w:t>下一级环境保护行政主管部门审查意见：</w:t>
            </w: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spacing w:line="380" w:lineRule="exact"/>
              <w:ind w:firstLine="0" w:firstLineChars="0"/>
              <w:rPr>
                <w:rFonts w:cs="Times New Roman"/>
                <w:color w:val="000000"/>
                <w:szCs w:val="24"/>
              </w:rPr>
            </w:pPr>
            <w:r>
              <w:rPr>
                <w:rFonts w:cs="Times New Roman"/>
                <w:color w:val="000000"/>
              </w:rPr>
              <w:t xml:space="preserve">                                                                </w:t>
            </w:r>
            <w:r>
              <w:rPr>
                <w:rFonts w:cs="Times New Roman"/>
                <w:color w:val="000000"/>
                <w:szCs w:val="24"/>
              </w:rPr>
              <w:t>公  章</w:t>
            </w:r>
          </w:p>
          <w:p>
            <w:pPr>
              <w:spacing w:line="380" w:lineRule="exact"/>
              <w:ind w:firstLine="0" w:firstLineChars="0"/>
              <w:rPr>
                <w:rFonts w:cs="Times New Roman"/>
                <w:color w:val="000000"/>
              </w:rPr>
            </w:pPr>
            <w:r>
              <w:rPr>
                <w:rFonts w:cs="Times New Roman"/>
                <w:color w:val="000000"/>
                <w:szCs w:val="24"/>
              </w:rPr>
              <w:t xml:space="preserve"> 经办人：                                                   年    月</w:t>
            </w:r>
            <w:r>
              <w:rPr>
                <w:rFonts w:cs="Times New Roman"/>
                <w:color w:val="000000"/>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0" w:hRule="atLeast"/>
          <w:jc w:val="center"/>
        </w:trPr>
        <w:tc>
          <w:tcPr>
            <w:tcW w:w="9286" w:type="dxa"/>
          </w:tcPr>
          <w:p>
            <w:pPr>
              <w:adjustRightInd w:val="0"/>
              <w:snapToGrid w:val="0"/>
              <w:ind w:firstLine="480"/>
              <w:rPr>
                <w:rFonts w:cs="Times New Roman"/>
                <w:color w:val="000000"/>
              </w:rPr>
            </w:pPr>
            <w:r>
              <w:rPr>
                <w:rFonts w:cs="Times New Roman"/>
                <w:color w:val="000000"/>
              </w:rPr>
              <w:t>审批意见：</w:t>
            </w: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adjustRightInd w:val="0"/>
              <w:snapToGrid w:val="0"/>
              <w:ind w:firstLine="480"/>
              <w:rPr>
                <w:rFonts w:cs="Times New Roman"/>
                <w:color w:val="000000"/>
              </w:rPr>
            </w:pPr>
          </w:p>
          <w:p>
            <w:pPr>
              <w:spacing w:line="380" w:lineRule="exact"/>
              <w:ind w:firstLine="0" w:firstLineChars="0"/>
              <w:rPr>
                <w:rFonts w:cs="Times New Roman"/>
                <w:color w:val="000000"/>
                <w:szCs w:val="24"/>
              </w:rPr>
            </w:pPr>
            <w:r>
              <w:rPr>
                <w:rFonts w:cs="Times New Roman"/>
                <w:color w:val="000000"/>
              </w:rPr>
              <w:t xml:space="preserve">                                                                 </w:t>
            </w:r>
            <w:r>
              <w:rPr>
                <w:rFonts w:cs="Times New Roman"/>
                <w:color w:val="000000"/>
                <w:szCs w:val="24"/>
              </w:rPr>
              <w:t>公  章</w:t>
            </w:r>
          </w:p>
          <w:p>
            <w:pPr>
              <w:spacing w:line="380" w:lineRule="exact"/>
              <w:ind w:firstLine="0" w:firstLineChars="0"/>
              <w:rPr>
                <w:rFonts w:cs="Times New Roman"/>
                <w:color w:val="000000"/>
              </w:rPr>
            </w:pPr>
            <w:r>
              <w:rPr>
                <w:rFonts w:cs="Times New Roman"/>
                <w:color w:val="000000"/>
                <w:szCs w:val="24"/>
              </w:rPr>
              <w:t xml:space="preserve"> 经办人：                                                    年    月</w:t>
            </w:r>
            <w:r>
              <w:rPr>
                <w:rFonts w:cs="Times New Roman"/>
                <w:color w:val="000000"/>
              </w:rPr>
              <w:t xml:space="preserve">   日</w:t>
            </w:r>
          </w:p>
          <w:p>
            <w:pPr>
              <w:adjustRightInd w:val="0"/>
              <w:snapToGrid w:val="0"/>
              <w:ind w:firstLine="560"/>
              <w:rPr>
                <w:rFonts w:cs="Times New Roman"/>
                <w:color w:val="000000"/>
                <w:sz w:val="28"/>
              </w:rPr>
            </w:pPr>
          </w:p>
        </w:tc>
      </w:tr>
    </w:tbl>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rPr>
          <w:rFonts w:cs="Times New Roman"/>
        </w:rPr>
      </w:pPr>
      <w:bookmarkStart w:id="21" w:name="_Toc27729839"/>
      <w:r>
        <w:rPr>
          <w:rFonts w:cs="Times New Roman"/>
        </w:rPr>
        <w:t>附图1 项目地理位置</w:t>
      </w:r>
      <w:bookmarkEnd w:id="21"/>
    </w:p>
    <w:p>
      <w:pPr>
        <w:ind w:firstLine="0" w:firstLineChars="0"/>
        <w:jc w:val="center"/>
        <w:rPr>
          <w:rFonts w:cs="Times New Roman"/>
        </w:rPr>
      </w:pPr>
      <w:r>
        <w:rPr>
          <w:rFonts w:cs="Times New Roman"/>
        </w:rPr>
        <w:t xml:space="preserve"> </w:t>
      </w:r>
      <w:r>
        <w:rPr>
          <w:rFonts w:cs="Times New Roman"/>
        </w:rPr>
        <w:drawing>
          <wp:inline distT="0" distB="0" distL="0" distR="0">
            <wp:extent cx="8891270" cy="473583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98691" cy="4739783"/>
                    </a:xfrm>
                    <a:prstGeom prst="rect">
                      <a:avLst/>
                    </a:prstGeom>
                  </pic:spPr>
                </pic:pic>
              </a:graphicData>
            </a:graphic>
          </wp:inline>
        </w:drawing>
      </w:r>
    </w:p>
    <w:p>
      <w:pPr>
        <w:ind w:firstLine="0" w:firstLineChars="0"/>
        <w:rPr>
          <w:rFonts w:cs="Times New Roman"/>
        </w:rPr>
        <w:sectPr>
          <w:pgSz w:w="16838" w:h="11906" w:orient="landscape"/>
          <w:pgMar w:top="1797" w:right="1418" w:bottom="1418" w:left="1418" w:header="851" w:footer="992" w:gutter="0"/>
          <w:cols w:space="425" w:num="1"/>
          <w:docGrid w:type="lines" w:linePitch="326" w:charSpace="0"/>
        </w:sectPr>
      </w:pPr>
    </w:p>
    <w:p>
      <w:pPr>
        <w:ind w:firstLine="0" w:firstLineChars="0"/>
        <w:rPr>
          <w:rFonts w:cs="Times New Roman"/>
        </w:rPr>
        <w:sectPr>
          <w:pgSz w:w="11906" w:h="16838"/>
          <w:pgMar w:top="1418" w:right="1418" w:bottom="1418" w:left="1797" w:header="851" w:footer="992" w:gutter="0"/>
          <w:cols w:space="425" w:num="1"/>
          <w:docGrid w:type="lines" w:linePitch="312" w:charSpace="0"/>
        </w:sectPr>
      </w:pPr>
      <w:r>
        <w:rPr>
          <w:rFonts w:cs="Times New Roman"/>
        </w:rPr>
        <w:drawing>
          <wp:inline distT="0" distB="0" distL="0" distR="0">
            <wp:extent cx="5518785" cy="8663305"/>
            <wp:effectExtent l="19050" t="0" r="5715" b="0"/>
            <wp:docPr id="9" name="图片 12" descr="D:\Desktop\微信图片_2020031614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D:\Desktop\微信图片_202003161400389.jpg"/>
                    <pic:cNvPicPr>
                      <a:picLocks noChangeAspect="1" noChangeArrowheads="1"/>
                    </pic:cNvPicPr>
                  </pic:nvPicPr>
                  <pic:blipFill>
                    <a:blip r:embed="rId24" cstate="print"/>
                    <a:srcRect/>
                    <a:stretch>
                      <a:fillRect/>
                    </a:stretch>
                  </pic:blipFill>
                  <pic:spPr>
                    <a:xfrm>
                      <a:off x="0" y="0"/>
                      <a:ext cx="5518785" cy="8663332"/>
                    </a:xfrm>
                    <a:prstGeom prst="rect">
                      <a:avLst/>
                    </a:prstGeom>
                    <a:noFill/>
                    <a:ln w="9525">
                      <a:noFill/>
                      <a:miter lim="800000"/>
                      <a:headEnd/>
                      <a:tailEnd/>
                    </a:ln>
                  </pic:spPr>
                </pic:pic>
              </a:graphicData>
            </a:graphic>
          </wp:inline>
        </w:drawing>
      </w:r>
    </w:p>
    <w:p>
      <w:pPr>
        <w:pStyle w:val="2"/>
        <w:rPr>
          <w:rFonts w:cs="Times New Roman"/>
        </w:rPr>
      </w:pPr>
    </w:p>
    <w:p>
      <w:pPr>
        <w:ind w:firstLine="0" w:firstLineChars="0"/>
        <w:jc w:val="center"/>
        <w:rPr>
          <w:rFonts w:cs="Times New Roman"/>
        </w:rPr>
      </w:pPr>
      <w:r>
        <w:rPr>
          <w:rFonts w:cs="Times New Roman"/>
        </w:rPr>
        <w:drawing>
          <wp:inline distT="0" distB="0" distL="0" distR="0">
            <wp:extent cx="7412990" cy="497459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stretch>
                      <a:fillRect/>
                    </a:stretch>
                  </pic:blipFill>
                  <pic:spPr>
                    <a:xfrm>
                      <a:off x="0" y="0"/>
                      <a:ext cx="7413114" cy="4974590"/>
                    </a:xfrm>
                    <a:prstGeom prst="rect">
                      <a:avLst/>
                    </a:prstGeom>
                  </pic:spPr>
                </pic:pic>
              </a:graphicData>
            </a:graphic>
          </wp:inline>
        </w:drawing>
      </w:r>
      <w:r>
        <w:rPr>
          <w:rFonts w:cs="Times New Roman"/>
        </w:rPr>
        <w:br w:type="page"/>
      </w:r>
    </w:p>
    <w:p>
      <w:pPr>
        <w:ind w:firstLine="199" w:firstLineChars="83"/>
        <w:jc w:val="center"/>
        <w:rPr>
          <w:rFonts w:cs="Times New Roman"/>
        </w:rPr>
        <w:sectPr>
          <w:pgSz w:w="16838" w:h="11906" w:orient="landscape"/>
          <w:pgMar w:top="1797" w:right="1418" w:bottom="1418" w:left="1418" w:header="851" w:footer="992" w:gutter="0"/>
          <w:cols w:space="425" w:num="1"/>
          <w:docGrid w:type="lines" w:linePitch="326" w:charSpace="0"/>
        </w:sectPr>
      </w:pPr>
    </w:p>
    <w:p>
      <w:pPr>
        <w:ind w:firstLine="0" w:firstLineChars="0"/>
        <w:jc w:val="left"/>
        <w:rPr>
          <w:rFonts w:cs="Times New Roman"/>
        </w:rPr>
      </w:pPr>
      <w:r>
        <w:rPr>
          <w:rFonts w:cs="Times New Roman"/>
        </w:rPr>
        <w:drawing>
          <wp:inline distT="0" distB="0" distL="0" distR="0">
            <wp:extent cx="5657850" cy="7334250"/>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cstate="print"/>
                    <a:stretch>
                      <a:fillRect/>
                    </a:stretch>
                  </pic:blipFill>
                  <pic:spPr>
                    <a:xfrm>
                      <a:off x="0" y="0"/>
                      <a:ext cx="5657850" cy="7334250"/>
                    </a:xfrm>
                    <a:prstGeom prst="rect">
                      <a:avLst/>
                    </a:prstGeom>
                  </pic:spPr>
                </pic:pic>
              </a:graphicData>
            </a:graphic>
          </wp:inline>
        </w:drawing>
      </w:r>
      <w:r>
        <w:rPr>
          <w:rFonts w:cs="Times New Roman"/>
        </w:rPr>
        <w:t xml:space="preserve">  </w:t>
      </w:r>
    </w:p>
    <w:p>
      <w:pPr>
        <w:ind w:firstLine="0" w:firstLineChars="0"/>
        <w:jc w:val="left"/>
        <w:rPr>
          <w:rFonts w:cs="Times New Roman"/>
        </w:rPr>
      </w:pPr>
      <w:r>
        <w:rPr>
          <w:rFonts w:cs="Times New Roman"/>
        </w:rPr>
        <w:t xml:space="preserve">  </w:t>
      </w:r>
    </w:p>
    <w:p>
      <w:pPr>
        <w:ind w:firstLine="0" w:firstLineChars="0"/>
        <w:jc w:val="center"/>
        <w:rPr>
          <w:rFonts w:cs="Times New Roman"/>
          <w:b/>
          <w:bCs/>
        </w:rPr>
        <w:sectPr>
          <w:pgSz w:w="11906" w:h="16838"/>
          <w:pgMar w:top="1418" w:right="1418" w:bottom="1418" w:left="1797" w:header="851" w:footer="992" w:gutter="0"/>
          <w:cols w:space="425" w:num="1"/>
          <w:docGrid w:type="lines" w:linePitch="326" w:charSpace="0"/>
        </w:sectPr>
      </w:pPr>
      <w:r>
        <w:rPr>
          <w:rFonts w:cs="Times New Roman"/>
          <w:b/>
          <w:bCs/>
        </w:rPr>
        <w:t>项目四至照片</w:t>
      </w:r>
    </w:p>
    <w:p>
      <w:pPr>
        <w:pStyle w:val="2"/>
        <w:rPr>
          <w:rFonts w:cs="Times New Roman"/>
        </w:rPr>
      </w:pPr>
      <w:bookmarkStart w:id="22" w:name="_Toc27729842"/>
      <w:r>
        <w:rPr>
          <w:rFonts w:cs="Times New Roman"/>
        </w:rPr>
        <w:t>附图4 项目</w:t>
      </w:r>
      <w:r>
        <w:rPr>
          <w:rFonts w:hint="eastAsia" w:cs="Times New Roman"/>
        </w:rPr>
        <w:t>周边</w:t>
      </w:r>
      <w:r>
        <w:rPr>
          <w:rFonts w:cs="Times New Roman"/>
        </w:rPr>
        <w:t>敏感点</w:t>
      </w:r>
      <w:r>
        <w:rPr>
          <w:rFonts w:hint="eastAsia" w:cs="Times New Roman"/>
        </w:rPr>
        <w:t>分布</w:t>
      </w:r>
      <w:r>
        <w:rPr>
          <w:rFonts w:cs="Times New Roman"/>
        </w:rPr>
        <w:t>图</w:t>
      </w:r>
      <w:bookmarkEnd w:id="22"/>
    </w:p>
    <w:p>
      <w:pPr>
        <w:ind w:firstLine="0" w:firstLineChars="0"/>
        <w:jc w:val="center"/>
        <w:rPr>
          <w:rFonts w:cs="Times New Roman"/>
        </w:rPr>
        <w:sectPr>
          <w:pgSz w:w="16838" w:h="11906" w:orient="landscape"/>
          <w:pgMar w:top="1797" w:right="1418" w:bottom="1418" w:left="1418" w:header="851" w:footer="992" w:gutter="0"/>
          <w:cols w:space="425" w:num="1"/>
          <w:docGrid w:type="lines" w:linePitch="326" w:charSpace="0"/>
        </w:sectPr>
      </w:pPr>
      <w:r>
        <w:rPr>
          <w:rFonts w:cs="Times New Roman"/>
        </w:rPr>
        <w:pict>
          <v:rect id="_x0000_s1076" o:spid="_x0000_s1076" o:spt="1" style="position:absolute;left:0pt;margin-left:232.05pt;margin-top:145.95pt;height:70.1pt;width:95.4pt;z-index:251741184;mso-width-relative:page;mso-height-relative:page;" coordsize="21600,21600">
            <v:path/>
            <v:fill focussize="0,0"/>
            <v:stroke/>
            <v:imagedata o:title=""/>
            <o:lock v:ext="edit"/>
          </v:rect>
        </w:pict>
      </w:r>
      <w:r>
        <w:rPr>
          <w:rFonts w:cs="Times New Roman"/>
        </w:rPr>
        <w:drawing>
          <wp:inline distT="0" distB="0" distL="0" distR="0">
            <wp:extent cx="8891270" cy="4675505"/>
            <wp:effectExtent l="0" t="0" r="508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91270" cy="4675505"/>
                    </a:xfrm>
                    <a:prstGeom prst="rect">
                      <a:avLst/>
                    </a:prstGeom>
                  </pic:spPr>
                </pic:pic>
              </a:graphicData>
            </a:graphic>
          </wp:inline>
        </w:drawing>
      </w:r>
    </w:p>
    <w:p>
      <w:pPr>
        <w:pStyle w:val="2"/>
        <w:rPr>
          <w:rFonts w:cs="Times New Roman"/>
        </w:rPr>
      </w:pPr>
      <w:bookmarkStart w:id="23" w:name="_Toc27729843"/>
      <w:r>
        <w:rPr>
          <w:rFonts w:cs="Times New Roman"/>
        </w:rPr>
        <w:t>附图5 监测点位图</w:t>
      </w:r>
      <w:bookmarkEnd w:id="23"/>
    </w:p>
    <w:p>
      <w:pPr>
        <w:ind w:firstLine="0" w:firstLineChars="0"/>
        <w:rPr>
          <w:rFonts w:cs="Times New Roman"/>
        </w:rPr>
        <w:sectPr>
          <w:pgSz w:w="16838" w:h="11906" w:orient="landscape"/>
          <w:pgMar w:top="1797" w:right="1418" w:bottom="1418" w:left="1418" w:header="851" w:footer="992" w:gutter="0"/>
          <w:cols w:space="425" w:num="1"/>
          <w:docGrid w:type="lines" w:linePitch="326" w:charSpace="0"/>
        </w:sectPr>
      </w:pPr>
      <w:r>
        <w:rPr>
          <w:rFonts w:cs="Times New Roman"/>
        </w:rPr>
        <w:drawing>
          <wp:inline distT="0" distB="0" distL="0" distR="0">
            <wp:extent cx="8836025" cy="5001895"/>
            <wp:effectExtent l="0" t="0" r="3175"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48891" cy="5008830"/>
                    </a:xfrm>
                    <a:prstGeom prst="rect">
                      <a:avLst/>
                    </a:prstGeom>
                  </pic:spPr>
                </pic:pic>
              </a:graphicData>
            </a:graphic>
          </wp:inline>
        </w:drawing>
      </w:r>
    </w:p>
    <w:p>
      <w:pPr>
        <w:pStyle w:val="2"/>
        <w:rPr>
          <w:rFonts w:cs="Times New Roman"/>
        </w:rPr>
      </w:pPr>
      <w:bookmarkStart w:id="24" w:name="_Toc27729844"/>
      <w:r>
        <w:rPr>
          <w:sz w:val="36"/>
        </w:rPr>
        <w:pict>
          <v:rect id="_x0000_s1085" o:spid="_x0000_s1085" o:spt="1" style="position:absolute;left:0pt;margin-left:145.85pt;margin-top:151.65pt;height:12.2pt;width:40.35pt;z-index:251661312;mso-width-relative:page;mso-height-relative:page;" fillcolor="#FFFFFF" filled="t" stroked="t" coordsize="21600,21600">
            <v:path/>
            <v:fill on="t" color2="#FFFFFF" focussize="0,0"/>
            <v:stroke color="#000000"/>
            <v:imagedata o:title=""/>
            <o:lock v:ext="edit" aspectratio="f"/>
          </v:rect>
        </w:pict>
      </w:r>
      <w:r>
        <w:rPr>
          <w:sz w:val="36"/>
        </w:rPr>
        <w:pict>
          <v:rect id="_x0000_s1084" o:spid="_x0000_s1084" o:spt="1" style="position:absolute;left:0pt;margin-left:317.45pt;margin-top:144.25pt;height:25.35pt;width:53.4pt;z-index:251660288;mso-width-relative:page;mso-height-relative:page;" fillcolor="#FFFFFF" filled="t" stroked="t" coordsize="21600,21600">
            <v:path/>
            <v:fill on="t" color2="#FFFFFF" focussize="0,0"/>
            <v:stroke color="#000000"/>
            <v:imagedata o:title=""/>
            <o:lock v:ext="edit" aspectratio="f"/>
          </v:rect>
        </w:pict>
      </w:r>
      <w:r>
        <w:rPr>
          <w:rFonts w:cs="Times New Roman"/>
        </w:rPr>
        <w:drawing>
          <wp:inline distT="0" distB="0" distL="114300" distR="114300">
            <wp:extent cx="5499100" cy="7672705"/>
            <wp:effectExtent l="0" t="0" r="6350" b="4445"/>
            <wp:docPr id="5" name="图片 5" descr="5dbc733ca0f3d30f982691bc08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dbc733ca0f3d30f982691bc0868000"/>
                    <pic:cNvPicPr>
                      <a:picLocks noChangeAspect="1"/>
                    </pic:cNvPicPr>
                  </pic:nvPicPr>
                  <pic:blipFill>
                    <a:blip r:embed="rId29"/>
                    <a:stretch>
                      <a:fillRect/>
                    </a:stretch>
                  </pic:blipFill>
                  <pic:spPr>
                    <a:xfrm>
                      <a:off x="0" y="0"/>
                      <a:ext cx="5499100" cy="7672705"/>
                    </a:xfrm>
                    <a:prstGeom prst="rect">
                      <a:avLst/>
                    </a:prstGeom>
                  </pic:spPr>
                </pic:pic>
              </a:graphicData>
            </a:graphic>
          </wp:inline>
        </w:drawing>
      </w:r>
    </w:p>
    <w:p>
      <w:pPr>
        <w:pStyle w:val="2"/>
        <w:rPr>
          <w:rFonts w:cs="Times New Roman"/>
        </w:rPr>
      </w:pPr>
    </w:p>
    <w:p>
      <w:pPr>
        <w:pStyle w:val="2"/>
        <w:rPr>
          <w:rFonts w:cs="Times New Roman"/>
        </w:rPr>
      </w:pPr>
    </w:p>
    <w:p>
      <w:pPr>
        <w:pStyle w:val="2"/>
        <w:rPr>
          <w:rFonts w:cs="Times New Roman"/>
        </w:rPr>
      </w:pPr>
    </w:p>
    <w:p>
      <w:pPr>
        <w:pStyle w:val="2"/>
        <w:rPr>
          <w:rFonts w:cs="Times New Roman"/>
        </w:rPr>
      </w:pPr>
      <w:r>
        <w:rPr>
          <w:rFonts w:cs="Times New Roman"/>
        </w:rPr>
        <w:drawing>
          <wp:inline distT="0" distB="0" distL="114300" distR="114300">
            <wp:extent cx="5518150" cy="7707630"/>
            <wp:effectExtent l="0" t="0" r="6350" b="7620"/>
            <wp:docPr id="10" name="图片 10" descr="653d3d4970d71bf50bb4ae070156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53d3d4970d71bf50bb4ae070156c1f"/>
                    <pic:cNvPicPr>
                      <a:picLocks noChangeAspect="1"/>
                    </pic:cNvPicPr>
                  </pic:nvPicPr>
                  <pic:blipFill>
                    <a:blip r:embed="rId30"/>
                    <a:stretch>
                      <a:fillRect/>
                    </a:stretch>
                  </pic:blipFill>
                  <pic:spPr>
                    <a:xfrm>
                      <a:off x="0" y="0"/>
                      <a:ext cx="5518150" cy="7707630"/>
                    </a:xfrm>
                    <a:prstGeom prst="rect">
                      <a:avLst/>
                    </a:prstGeom>
                  </pic:spPr>
                </pic:pic>
              </a:graphicData>
            </a:graphic>
          </wp:inline>
        </w:drawing>
      </w:r>
    </w:p>
    <w:p>
      <w:pPr>
        <w:pStyle w:val="2"/>
        <w:rPr>
          <w:rFonts w:cs="Times New Roman"/>
        </w:rPr>
      </w:pPr>
    </w:p>
    <w:p>
      <w:pPr>
        <w:pStyle w:val="2"/>
        <w:rPr>
          <w:rFonts w:cs="Times New Roman"/>
        </w:rPr>
      </w:pPr>
    </w:p>
    <w:p>
      <w:pPr>
        <w:pStyle w:val="2"/>
        <w:rPr>
          <w:rFonts w:cs="Times New Roman"/>
        </w:rPr>
      </w:pPr>
    </w:p>
    <w:p>
      <w:pPr>
        <w:pStyle w:val="2"/>
        <w:rPr>
          <w:rFonts w:cs="Times New Roman"/>
        </w:rPr>
      </w:pPr>
      <w:r>
        <w:rPr>
          <w:rFonts w:cs="Times New Roman"/>
        </w:rPr>
        <w:t>附件1 营业执照</w:t>
      </w:r>
      <w:bookmarkEnd w:id="24"/>
    </w:p>
    <w:p>
      <w:pPr>
        <w:ind w:firstLine="0" w:firstLineChars="0"/>
        <w:jc w:val="center"/>
        <w:rPr>
          <w:rFonts w:cs="Times New Roman"/>
        </w:rPr>
      </w:pPr>
      <w:r>
        <w:rPr>
          <w:rFonts w:cs="Times New Roman"/>
        </w:rPr>
        <w:pict>
          <v:rect id="_x0000_s1075" o:spid="_x0000_s1075" o:spt="1" style="position:absolute;left:0pt;margin-left:187.85pt;margin-top:271.95pt;height:10.25pt;width:26.2pt;z-index:251740160;mso-width-relative:page;mso-height-relative:page;" coordsize="21600,21600">
            <v:path/>
            <v:fill focussize="0,0"/>
            <v:stroke/>
            <v:imagedata o:title=""/>
            <o:lock v:ext="edit"/>
          </v:rect>
        </w:pict>
      </w:r>
      <w:r>
        <w:rPr>
          <w:rFonts w:cs="Times New Roman"/>
        </w:rPr>
        <w:drawing>
          <wp:inline distT="0" distB="0" distL="0" distR="0">
            <wp:extent cx="5064125" cy="7889240"/>
            <wp:effectExtent l="19050" t="0" r="2603"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stretch>
                      <a:fillRect/>
                    </a:stretch>
                  </pic:blipFill>
                  <pic:spPr>
                    <a:xfrm>
                      <a:off x="0" y="0"/>
                      <a:ext cx="5064697" cy="7889240"/>
                    </a:xfrm>
                    <a:prstGeom prst="rect">
                      <a:avLst/>
                    </a:prstGeom>
                  </pic:spPr>
                </pic:pic>
              </a:graphicData>
            </a:graphic>
          </wp:inline>
        </w:drawing>
      </w:r>
    </w:p>
    <w:p>
      <w:pPr>
        <w:ind w:firstLine="0" w:firstLineChars="0"/>
        <w:jc w:val="center"/>
        <w:rPr>
          <w:rFonts w:cs="Times New Roman"/>
        </w:rPr>
        <w:sectPr>
          <w:pgSz w:w="11906" w:h="16838"/>
          <w:pgMar w:top="1418" w:right="1418" w:bottom="1418" w:left="1797" w:header="851" w:footer="992" w:gutter="0"/>
          <w:cols w:space="425" w:num="1"/>
          <w:docGrid w:type="lines" w:linePitch="312" w:charSpace="0"/>
        </w:sectPr>
      </w:pPr>
    </w:p>
    <w:p>
      <w:pPr>
        <w:pStyle w:val="2"/>
        <w:rPr>
          <w:rFonts w:cs="Times New Roman"/>
        </w:rPr>
      </w:pPr>
      <w:bookmarkStart w:id="25" w:name="_Toc27729845"/>
      <w:r>
        <w:rPr>
          <w:rFonts w:cs="Times New Roman"/>
        </w:rPr>
        <w:t>附件2 法人身份证件</w:t>
      </w:r>
      <w:bookmarkEnd w:id="25"/>
    </w:p>
    <w:p>
      <w:pPr>
        <w:ind w:firstLine="0" w:firstLineChars="0"/>
        <w:rPr>
          <w:rFonts w:cs="Times New Roman"/>
        </w:rPr>
      </w:pPr>
      <w:r>
        <w:rPr>
          <w:rFonts w:cs="Times New Roman"/>
        </w:rPr>
        <w:pict>
          <v:rect id="_x0000_s1078" o:spid="_x0000_s1078" o:spt="1" style="position:absolute;left:0pt;margin-left:213.1pt;margin-top:161.6pt;height:76.65pt;width:102.85pt;z-index:251742208;mso-width-relative:page;mso-height-relative:page;" coordsize="21600,21600">
            <v:path/>
            <v:fill focussize="0,0"/>
            <v:stroke/>
            <v:imagedata o:title=""/>
            <o:lock v:ext="edit"/>
          </v:rect>
        </w:pict>
      </w:r>
      <w:r>
        <w:rPr>
          <w:rFonts w:cs="Times New Roman"/>
        </w:rPr>
        <w:drawing>
          <wp:inline distT="0" distB="0" distL="0" distR="0">
            <wp:extent cx="5518785" cy="7899400"/>
            <wp:effectExtent l="1905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cstate="print"/>
                    <a:stretch>
                      <a:fillRect/>
                    </a:stretch>
                  </pic:blipFill>
                  <pic:spPr>
                    <a:xfrm>
                      <a:off x="0" y="0"/>
                      <a:ext cx="5518785" cy="7899437"/>
                    </a:xfrm>
                    <a:prstGeom prst="rect">
                      <a:avLst/>
                    </a:prstGeom>
                  </pic:spPr>
                </pic:pic>
              </a:graphicData>
            </a:graphic>
          </wp:inline>
        </w:drawing>
      </w: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rPr>
          <w:rFonts w:cs="Times New Roman"/>
        </w:rPr>
      </w:pPr>
      <w:bookmarkStart w:id="26" w:name="_Toc27729846"/>
      <w:r>
        <w:rPr>
          <w:rFonts w:cs="Times New Roman"/>
        </w:rPr>
        <w:t>附件3 项目土地证明文件</w:t>
      </w:r>
      <w:bookmarkEnd w:id="26"/>
    </w:p>
    <w:p>
      <w:pPr>
        <w:ind w:firstLine="0" w:firstLineChars="0"/>
        <w:rPr>
          <w:rFonts w:cs="Times New Roman"/>
        </w:rPr>
      </w:pPr>
      <w:r>
        <w:rPr>
          <w:rFonts w:cs="Times New Roman"/>
        </w:rPr>
        <w:drawing>
          <wp:inline distT="0" distB="0" distL="0" distR="0">
            <wp:extent cx="4765040" cy="797687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4765402" cy="7976870"/>
                    </a:xfrm>
                    <a:prstGeom prst="rect">
                      <a:avLst/>
                    </a:prstGeom>
                  </pic:spPr>
                </pic:pic>
              </a:graphicData>
            </a:graphic>
          </wp:inline>
        </w:drawing>
      </w: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ind w:firstLine="0" w:firstLineChars="0"/>
        <w:rPr>
          <w:rFonts w:cs="Times New Roman"/>
        </w:rPr>
      </w:pPr>
      <w:r>
        <w:rPr>
          <w:rFonts w:cs="Times New Roman"/>
        </w:rPr>
        <w:drawing>
          <wp:inline distT="0" distB="0" distL="0" distR="0">
            <wp:extent cx="5453380" cy="586613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print"/>
                    <a:stretch>
                      <a:fillRect/>
                    </a:stretch>
                  </pic:blipFill>
                  <pic:spPr>
                    <a:xfrm>
                      <a:off x="0" y="0"/>
                      <a:ext cx="5450850" cy="5863027"/>
                    </a:xfrm>
                    <a:prstGeom prst="rect">
                      <a:avLst/>
                    </a:prstGeom>
                  </pic:spPr>
                </pic:pic>
              </a:graphicData>
            </a:graphic>
          </wp:inline>
        </w:drawing>
      </w: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ind w:firstLine="0" w:firstLineChars="0"/>
        <w:jc w:val="center"/>
        <w:rPr>
          <w:rFonts w:cs="Times New Roman"/>
        </w:rPr>
        <w:sectPr>
          <w:pgSz w:w="16838" w:h="11906" w:orient="landscape"/>
          <w:pgMar w:top="1797" w:right="1418" w:bottom="1418" w:left="1418" w:header="851" w:footer="992" w:gutter="0"/>
          <w:cols w:space="425" w:num="1"/>
          <w:docGrid w:type="lines" w:linePitch="326" w:charSpace="0"/>
        </w:sectPr>
      </w:pPr>
      <w:r>
        <w:rPr>
          <w:rFonts w:cs="Times New Roman"/>
        </w:rPr>
        <w:pict>
          <v:rect id="_x0000_s1080" o:spid="_x0000_s1080" o:spt="1" style="position:absolute;left:0pt;margin-left:251.7pt;margin-top:113.05pt;height:36.5pt;width:52.35pt;z-index:251744256;mso-width-relative:page;mso-height-relative:page;" coordsize="21600,21600">
            <v:path/>
            <v:fill focussize="0,0"/>
            <v:stroke/>
            <v:imagedata o:title=""/>
            <o:lock v:ext="edit"/>
          </v:rect>
        </w:pict>
      </w:r>
      <w:r>
        <w:rPr>
          <w:rFonts w:cs="Times New Roman"/>
        </w:rPr>
        <w:pict>
          <v:rect id="_x0000_s1079" o:spid="_x0000_s1079" o:spt="1" style="position:absolute;left:0pt;margin-left:149.8pt;margin-top:124.3pt;height:11.2pt;width:38.3pt;z-index:251743232;mso-width-relative:page;mso-height-relative:page;" coordsize="21600,21600">
            <v:path/>
            <v:fill focussize="0,0"/>
            <v:stroke/>
            <v:imagedata o:title=""/>
            <o:lock v:ext="edit"/>
          </v:rect>
        </w:pict>
      </w:r>
      <w:r>
        <w:rPr>
          <w:rFonts w:cs="Times New Roman"/>
        </w:rPr>
        <w:drawing>
          <wp:inline distT="0" distB="0" distL="0" distR="0">
            <wp:extent cx="8257540" cy="557403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cstate="print"/>
                    <a:stretch>
                      <a:fillRect/>
                    </a:stretch>
                  </pic:blipFill>
                  <pic:spPr>
                    <a:xfrm>
                      <a:off x="0" y="0"/>
                      <a:ext cx="8260716" cy="5575981"/>
                    </a:xfrm>
                    <a:prstGeom prst="rect">
                      <a:avLst/>
                    </a:prstGeom>
                  </pic:spPr>
                </pic:pic>
              </a:graphicData>
            </a:graphic>
          </wp:inline>
        </w:drawing>
      </w:r>
    </w:p>
    <w:p>
      <w:pPr>
        <w:ind w:firstLine="0" w:firstLineChars="0"/>
        <w:rPr>
          <w:rFonts w:cs="Times New Roman"/>
        </w:rPr>
      </w:pPr>
      <w:r>
        <w:rPr>
          <w:rFonts w:cs="Times New Roman"/>
        </w:rPr>
        <w:pict>
          <v:rect id="_x0000_s1081" o:spid="_x0000_s1081" o:spt="1" style="position:absolute;left:0pt;margin-left:197.2pt;margin-top:120.8pt;height:19.6pt;width:52.4pt;z-index:251745280;mso-width-relative:page;mso-height-relative:page;" coordsize="21600,21600">
            <v:path/>
            <v:fill focussize="0,0"/>
            <v:stroke/>
            <v:imagedata o:title=""/>
            <o:lock v:ext="edit"/>
          </v:rect>
        </w:pict>
      </w:r>
      <w:r>
        <w:rPr>
          <w:rFonts w:cs="Times New Roman"/>
        </w:rPr>
        <w:drawing>
          <wp:inline distT="0" distB="0" distL="0" distR="0">
            <wp:extent cx="5496560" cy="7985760"/>
            <wp:effectExtent l="19050" t="0" r="8759"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6" cstate="print"/>
                    <a:stretch>
                      <a:fillRect/>
                    </a:stretch>
                  </pic:blipFill>
                  <pic:spPr>
                    <a:xfrm>
                      <a:off x="0" y="0"/>
                      <a:ext cx="5496691" cy="7985760"/>
                    </a:xfrm>
                    <a:prstGeom prst="rect">
                      <a:avLst/>
                    </a:prstGeom>
                  </pic:spPr>
                </pic:pic>
              </a:graphicData>
            </a:graphic>
          </wp:inline>
        </w:drawing>
      </w:r>
    </w:p>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ind w:firstLine="0" w:firstLineChars="0"/>
        <w:rPr>
          <w:rFonts w:cs="Times New Roman"/>
        </w:rPr>
        <w:sectPr>
          <w:pgSz w:w="11906" w:h="16838"/>
          <w:pgMar w:top="1418" w:right="1418" w:bottom="1418" w:left="1797" w:header="851" w:footer="992" w:gutter="0"/>
          <w:cols w:space="425" w:num="1"/>
          <w:docGrid w:type="lines" w:linePitch="312" w:charSpace="0"/>
        </w:sectPr>
      </w:pPr>
      <w:r>
        <w:rPr>
          <w:rFonts w:cs="Times New Roman"/>
        </w:rPr>
        <w:drawing>
          <wp:inline distT="0" distB="0" distL="0" distR="0">
            <wp:extent cx="5161280" cy="8258175"/>
            <wp:effectExtent l="19050" t="0" r="1191"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cstate="print"/>
                    <a:stretch>
                      <a:fillRect/>
                    </a:stretch>
                  </pic:blipFill>
                  <pic:spPr>
                    <a:xfrm>
                      <a:off x="0" y="0"/>
                      <a:ext cx="5161359" cy="8258175"/>
                    </a:xfrm>
                    <a:prstGeom prst="rect">
                      <a:avLst/>
                    </a:prstGeom>
                  </pic:spPr>
                </pic:pic>
              </a:graphicData>
            </a:graphic>
          </wp:inline>
        </w:drawing>
      </w:r>
    </w:p>
    <w:p>
      <w:pPr>
        <w:pStyle w:val="2"/>
        <w:rPr>
          <w:rFonts w:cs="Times New Roman"/>
        </w:rPr>
      </w:pPr>
    </w:p>
    <w:p>
      <w:pPr>
        <w:pStyle w:val="2"/>
        <w:rPr>
          <w:rFonts w:cs="Times New Roman"/>
        </w:rPr>
      </w:pPr>
      <w:bookmarkStart w:id="27" w:name="_Toc27729849"/>
      <w:r>
        <w:rPr>
          <w:rFonts w:cs="Times New Roman"/>
        </w:rPr>
        <w:t>附件6大气估算模型AERSCREEN相关参数</w:t>
      </w:r>
      <w:bookmarkEnd w:id="27"/>
    </w:p>
    <w:p>
      <w:pPr>
        <w:ind w:firstLine="0" w:firstLineChars="0"/>
        <w:jc w:val="left"/>
        <w:rPr>
          <w:rFonts w:cs="Times New Roman"/>
        </w:rPr>
      </w:pPr>
      <w:r>
        <w:rPr>
          <w:rFonts w:hint="eastAsia" w:cs="Times New Roman"/>
        </w:rPr>
        <w:drawing>
          <wp:inline distT="0" distB="0" distL="0" distR="0">
            <wp:extent cx="5518785" cy="3629025"/>
            <wp:effectExtent l="0" t="0" r="571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18785" cy="3629025"/>
                    </a:xfrm>
                    <a:prstGeom prst="rect">
                      <a:avLst/>
                    </a:prstGeom>
                  </pic:spPr>
                </pic:pic>
              </a:graphicData>
            </a:graphic>
          </wp:inline>
        </w:drawing>
      </w:r>
    </w:p>
    <w:p>
      <w:pPr>
        <w:ind w:firstLine="0" w:firstLineChars="0"/>
        <w:jc w:val="left"/>
        <w:rPr>
          <w:rFonts w:cs="Times New Roman"/>
        </w:rPr>
      </w:pPr>
      <w:r>
        <w:rPr>
          <w:rFonts w:cs="Times New Roman"/>
        </w:rPr>
        <w:drawing>
          <wp:inline distT="0" distB="0" distL="0" distR="0">
            <wp:extent cx="5518785" cy="3615690"/>
            <wp:effectExtent l="0" t="0" r="571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18785" cy="3615690"/>
                    </a:xfrm>
                    <a:prstGeom prst="rect">
                      <a:avLst/>
                    </a:prstGeom>
                  </pic:spPr>
                </pic:pic>
              </a:graphicData>
            </a:graphic>
          </wp:inline>
        </w:drawing>
      </w:r>
    </w:p>
    <w:p>
      <w:pPr>
        <w:ind w:firstLine="0" w:firstLineChars="0"/>
        <w:jc w:val="left"/>
        <w:rPr>
          <w:rFonts w:cs="Times New Roman"/>
        </w:rPr>
      </w:pPr>
    </w:p>
    <w:p>
      <w:pPr>
        <w:ind w:firstLine="0" w:firstLineChars="0"/>
        <w:jc w:val="left"/>
        <w:rPr>
          <w:rFonts w:cs="Times New Roman"/>
        </w:rPr>
      </w:pPr>
      <w:r>
        <w:rPr>
          <w:rFonts w:hint="eastAsia" w:cs="Times New Roman"/>
        </w:rPr>
        <w:drawing>
          <wp:inline distT="0" distB="0" distL="0" distR="0">
            <wp:extent cx="5518785" cy="3539490"/>
            <wp:effectExtent l="0" t="0" r="571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18785" cy="3539490"/>
                    </a:xfrm>
                    <a:prstGeom prst="rect">
                      <a:avLst/>
                    </a:prstGeom>
                  </pic:spPr>
                </pic:pic>
              </a:graphicData>
            </a:graphic>
          </wp:inline>
        </w:drawing>
      </w:r>
    </w:p>
    <w:p>
      <w:pPr>
        <w:ind w:firstLine="0" w:firstLineChars="0"/>
        <w:jc w:val="left"/>
        <w:rPr>
          <w:rFonts w:cs="Times New Roman"/>
        </w:rPr>
      </w:pPr>
    </w:p>
    <w:p>
      <w:pPr>
        <w:ind w:firstLine="0" w:firstLineChars="0"/>
        <w:jc w:val="left"/>
        <w:rPr>
          <w:rFonts w:cs="Times New Roman"/>
        </w:rPr>
        <w:sectPr>
          <w:pgSz w:w="11906" w:h="16838"/>
          <w:pgMar w:top="1418" w:right="1418" w:bottom="1418" w:left="1797" w:header="851" w:footer="992" w:gutter="0"/>
          <w:cols w:space="425" w:num="1"/>
          <w:docGrid w:type="lines" w:linePitch="312" w:charSpace="0"/>
        </w:sectPr>
      </w:pPr>
      <w:r>
        <w:rPr>
          <w:rFonts w:hint="eastAsia" w:cs="Times New Roman"/>
        </w:rPr>
        <w:drawing>
          <wp:inline distT="0" distB="0" distL="0" distR="0">
            <wp:extent cx="5518785" cy="358267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18785" cy="3582670"/>
                    </a:xfrm>
                    <a:prstGeom prst="rect">
                      <a:avLst/>
                    </a:prstGeom>
                  </pic:spPr>
                </pic:pic>
              </a:graphicData>
            </a:graphic>
          </wp:inline>
        </w:drawing>
      </w:r>
    </w:p>
    <w:p>
      <w:pPr>
        <w:pStyle w:val="2"/>
        <w:rPr>
          <w:rFonts w:cs="Times New Roman"/>
        </w:rPr>
      </w:pPr>
      <w:bookmarkStart w:id="28" w:name="_Toc27729850"/>
      <w:r>
        <w:rPr>
          <w:rFonts w:cs="Times New Roman"/>
        </w:rPr>
        <w:t>附表1 建设项目大气环境影响评价自查表</w:t>
      </w:r>
      <w:bookmarkEnd w:id="28"/>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633"/>
        <w:gridCol w:w="785"/>
        <w:gridCol w:w="785"/>
        <w:gridCol w:w="326"/>
        <w:gridCol w:w="175"/>
        <w:gridCol w:w="604"/>
        <w:gridCol w:w="1156"/>
        <w:gridCol w:w="1560"/>
        <w:gridCol w:w="689"/>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401" w:type="dxa"/>
            <w:gridSpan w:val="2"/>
            <w:vAlign w:val="center"/>
          </w:tcPr>
          <w:p>
            <w:pPr>
              <w:pStyle w:val="45"/>
              <w:rPr>
                <w:kern w:val="0"/>
                <w:szCs w:val="20"/>
              </w:rPr>
            </w:pPr>
            <w:r>
              <w:rPr>
                <w:kern w:val="0"/>
                <w:szCs w:val="20"/>
              </w:rPr>
              <w:t>工作内容</w:t>
            </w:r>
          </w:p>
        </w:tc>
        <w:tc>
          <w:tcPr>
            <w:tcW w:w="6886" w:type="dxa"/>
            <w:gridSpan w:val="9"/>
            <w:vAlign w:val="center"/>
          </w:tcPr>
          <w:p>
            <w:pPr>
              <w:pStyle w:val="45"/>
              <w:rPr>
                <w:kern w:val="0"/>
                <w:szCs w:val="20"/>
              </w:rPr>
            </w:pPr>
            <w:r>
              <w:rPr>
                <w:kern w:val="0"/>
                <w:szCs w:val="20"/>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评价等级与范围</w:t>
            </w:r>
          </w:p>
        </w:tc>
        <w:tc>
          <w:tcPr>
            <w:tcW w:w="1633" w:type="dxa"/>
            <w:vAlign w:val="center"/>
          </w:tcPr>
          <w:p>
            <w:pPr>
              <w:pStyle w:val="45"/>
              <w:rPr>
                <w:kern w:val="0"/>
                <w:szCs w:val="20"/>
              </w:rPr>
            </w:pPr>
            <w:r>
              <w:rPr>
                <w:kern w:val="0"/>
                <w:szCs w:val="20"/>
              </w:rPr>
              <w:t>评价等级</w:t>
            </w:r>
          </w:p>
        </w:tc>
        <w:tc>
          <w:tcPr>
            <w:tcW w:w="2675" w:type="dxa"/>
            <w:gridSpan w:val="5"/>
            <w:vAlign w:val="center"/>
          </w:tcPr>
          <w:p>
            <w:pPr>
              <w:pStyle w:val="45"/>
              <w:rPr>
                <w:kern w:val="0"/>
                <w:szCs w:val="20"/>
              </w:rPr>
            </w:pPr>
            <w:r>
              <w:rPr>
                <w:kern w:val="0"/>
                <w:szCs w:val="20"/>
              </w:rPr>
              <w:t>一级□</w:t>
            </w:r>
          </w:p>
        </w:tc>
        <w:tc>
          <w:tcPr>
            <w:tcW w:w="2716" w:type="dxa"/>
            <w:gridSpan w:val="2"/>
            <w:vAlign w:val="center"/>
          </w:tcPr>
          <w:p>
            <w:pPr>
              <w:pStyle w:val="45"/>
              <w:rPr>
                <w:kern w:val="0"/>
                <w:szCs w:val="20"/>
              </w:rPr>
            </w:pPr>
            <w:r>
              <w:rPr>
                <w:kern w:val="0"/>
                <w:szCs w:val="20"/>
              </w:rPr>
              <w:t>二级□</w:t>
            </w:r>
          </w:p>
        </w:tc>
        <w:tc>
          <w:tcPr>
            <w:tcW w:w="1495" w:type="dxa"/>
            <w:gridSpan w:val="2"/>
            <w:vAlign w:val="center"/>
          </w:tcPr>
          <w:p>
            <w:pPr>
              <w:pStyle w:val="45"/>
              <w:rPr>
                <w:kern w:val="0"/>
                <w:szCs w:val="20"/>
              </w:rPr>
            </w:pPr>
            <w:r>
              <w:rPr>
                <w:kern w:val="0"/>
                <w:szCs w:val="2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评价范围</w:t>
            </w:r>
          </w:p>
        </w:tc>
        <w:tc>
          <w:tcPr>
            <w:tcW w:w="2675" w:type="dxa"/>
            <w:gridSpan w:val="5"/>
            <w:vAlign w:val="center"/>
          </w:tcPr>
          <w:p>
            <w:pPr>
              <w:pStyle w:val="45"/>
              <w:rPr>
                <w:kern w:val="0"/>
                <w:szCs w:val="20"/>
              </w:rPr>
            </w:pPr>
            <w:r>
              <w:rPr>
                <w:kern w:val="0"/>
                <w:szCs w:val="20"/>
              </w:rPr>
              <w:t>边长=50km□</w:t>
            </w:r>
          </w:p>
        </w:tc>
        <w:tc>
          <w:tcPr>
            <w:tcW w:w="2716" w:type="dxa"/>
            <w:gridSpan w:val="2"/>
            <w:vAlign w:val="center"/>
          </w:tcPr>
          <w:p>
            <w:pPr>
              <w:pStyle w:val="45"/>
              <w:rPr>
                <w:kern w:val="0"/>
                <w:szCs w:val="20"/>
              </w:rPr>
            </w:pPr>
            <w:r>
              <w:rPr>
                <w:kern w:val="0"/>
                <w:szCs w:val="20"/>
              </w:rPr>
              <w:t>边长=5~50km□</w:t>
            </w:r>
          </w:p>
        </w:tc>
        <w:tc>
          <w:tcPr>
            <w:tcW w:w="1495" w:type="dxa"/>
            <w:gridSpan w:val="2"/>
            <w:vAlign w:val="center"/>
          </w:tcPr>
          <w:p>
            <w:pPr>
              <w:pStyle w:val="45"/>
              <w:rPr>
                <w:kern w:val="0"/>
                <w:szCs w:val="20"/>
              </w:rPr>
            </w:pPr>
            <w:r>
              <w:rPr>
                <w:kern w:val="0"/>
                <w:szCs w:val="20"/>
              </w:rPr>
              <w:t>边长=5km</w:t>
            </w:r>
            <w:r>
              <w:rPr>
                <w:kern w:val="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评价因子</w:t>
            </w:r>
          </w:p>
        </w:tc>
        <w:tc>
          <w:tcPr>
            <w:tcW w:w="1633" w:type="dxa"/>
            <w:vAlign w:val="center"/>
          </w:tcPr>
          <w:p>
            <w:pPr>
              <w:pStyle w:val="45"/>
              <w:rPr>
                <w:kern w:val="0"/>
                <w:szCs w:val="20"/>
              </w:rPr>
            </w:pPr>
            <w:r>
              <w:rPr>
                <w:kern w:val="0"/>
                <w:szCs w:val="20"/>
              </w:rPr>
              <w:t>SO2+NOx排放量</w:t>
            </w:r>
          </w:p>
        </w:tc>
        <w:tc>
          <w:tcPr>
            <w:tcW w:w="1896" w:type="dxa"/>
            <w:gridSpan w:val="3"/>
            <w:vAlign w:val="center"/>
          </w:tcPr>
          <w:p>
            <w:pPr>
              <w:pStyle w:val="45"/>
              <w:rPr>
                <w:kern w:val="0"/>
                <w:szCs w:val="20"/>
              </w:rPr>
            </w:pPr>
            <w:r>
              <w:rPr>
                <w:kern w:val="0"/>
                <w:szCs w:val="20"/>
              </w:rPr>
              <w:t>≥2000t/a□</w:t>
            </w:r>
          </w:p>
        </w:tc>
        <w:tc>
          <w:tcPr>
            <w:tcW w:w="1935" w:type="dxa"/>
            <w:gridSpan w:val="3"/>
            <w:vAlign w:val="center"/>
          </w:tcPr>
          <w:p>
            <w:pPr>
              <w:pStyle w:val="45"/>
              <w:rPr>
                <w:kern w:val="0"/>
                <w:szCs w:val="20"/>
              </w:rPr>
            </w:pPr>
            <w:r>
              <w:rPr>
                <w:kern w:val="0"/>
                <w:szCs w:val="20"/>
              </w:rPr>
              <w:t>500~2000t/a□</w:t>
            </w:r>
          </w:p>
        </w:tc>
        <w:tc>
          <w:tcPr>
            <w:tcW w:w="3055" w:type="dxa"/>
            <w:gridSpan w:val="3"/>
            <w:vAlign w:val="center"/>
          </w:tcPr>
          <w:p>
            <w:pPr>
              <w:pStyle w:val="45"/>
              <w:rPr>
                <w:kern w:val="0"/>
                <w:szCs w:val="20"/>
              </w:rPr>
            </w:pPr>
            <w:r>
              <w:rPr>
                <w:kern w:val="0"/>
                <w:szCs w:val="20"/>
              </w:rPr>
              <w:t>&lt;500t/a</w:t>
            </w:r>
            <w:r>
              <w:rPr>
                <w:kern w:val="0"/>
                <w:szCs w:val="2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restart"/>
            <w:vAlign w:val="center"/>
          </w:tcPr>
          <w:p>
            <w:pPr>
              <w:pStyle w:val="45"/>
              <w:rPr>
                <w:kern w:val="0"/>
                <w:szCs w:val="20"/>
              </w:rPr>
            </w:pPr>
            <w:r>
              <w:rPr>
                <w:kern w:val="0"/>
                <w:szCs w:val="20"/>
              </w:rPr>
              <w:t>评价因子</w:t>
            </w:r>
          </w:p>
        </w:tc>
        <w:tc>
          <w:tcPr>
            <w:tcW w:w="3831" w:type="dxa"/>
            <w:gridSpan w:val="6"/>
            <w:vAlign w:val="center"/>
          </w:tcPr>
          <w:p>
            <w:pPr>
              <w:pStyle w:val="45"/>
              <w:rPr>
                <w:kern w:val="0"/>
                <w:szCs w:val="20"/>
              </w:rPr>
            </w:pPr>
            <w:r>
              <w:rPr>
                <w:kern w:val="0"/>
                <w:szCs w:val="20"/>
              </w:rPr>
              <w:t>基本污染物（TSP、PM</w:t>
            </w:r>
            <w:r>
              <w:rPr>
                <w:kern w:val="0"/>
                <w:szCs w:val="20"/>
                <w:vertAlign w:val="subscript"/>
              </w:rPr>
              <w:t>10</w:t>
            </w:r>
            <w:r>
              <w:rPr>
                <w:kern w:val="0"/>
                <w:szCs w:val="20"/>
              </w:rPr>
              <w:t>）</w:t>
            </w:r>
          </w:p>
        </w:tc>
        <w:tc>
          <w:tcPr>
            <w:tcW w:w="3055" w:type="dxa"/>
            <w:gridSpan w:val="3"/>
            <w:vAlign w:val="center"/>
          </w:tcPr>
          <w:p>
            <w:pPr>
              <w:pStyle w:val="45"/>
              <w:rPr>
                <w:kern w:val="0"/>
                <w:szCs w:val="20"/>
              </w:rPr>
            </w:pPr>
            <w:r>
              <w:rPr>
                <w:kern w:val="0"/>
                <w:szCs w:val="20"/>
              </w:rPr>
              <w:t>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3831" w:type="dxa"/>
            <w:gridSpan w:val="6"/>
            <w:vAlign w:val="center"/>
          </w:tcPr>
          <w:p>
            <w:pPr>
              <w:pStyle w:val="45"/>
              <w:rPr>
                <w:kern w:val="0"/>
                <w:szCs w:val="20"/>
              </w:rPr>
            </w:pPr>
            <w:r>
              <w:rPr>
                <w:kern w:val="0"/>
                <w:szCs w:val="20"/>
              </w:rPr>
              <w:t>其他污染物（）</w:t>
            </w:r>
          </w:p>
        </w:tc>
        <w:tc>
          <w:tcPr>
            <w:tcW w:w="3055" w:type="dxa"/>
            <w:gridSpan w:val="3"/>
            <w:vAlign w:val="center"/>
          </w:tcPr>
          <w:p>
            <w:pPr>
              <w:pStyle w:val="45"/>
              <w:rPr>
                <w:kern w:val="0"/>
                <w:szCs w:val="20"/>
              </w:rPr>
            </w:pPr>
            <w:r>
              <w:rPr>
                <w:kern w:val="0"/>
                <w:szCs w:val="20"/>
              </w:rPr>
              <w:t>不包括二次PM2.5</w:t>
            </w:r>
            <w:r>
              <w:rPr>
                <w:kern w:val="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Align w:val="center"/>
          </w:tcPr>
          <w:p>
            <w:pPr>
              <w:pStyle w:val="45"/>
              <w:rPr>
                <w:kern w:val="0"/>
                <w:szCs w:val="20"/>
              </w:rPr>
            </w:pPr>
            <w:r>
              <w:rPr>
                <w:kern w:val="0"/>
                <w:szCs w:val="20"/>
              </w:rPr>
              <w:t>评价标准</w:t>
            </w:r>
          </w:p>
        </w:tc>
        <w:tc>
          <w:tcPr>
            <w:tcW w:w="1633" w:type="dxa"/>
            <w:vAlign w:val="center"/>
          </w:tcPr>
          <w:p>
            <w:pPr>
              <w:pStyle w:val="45"/>
              <w:rPr>
                <w:kern w:val="0"/>
                <w:szCs w:val="20"/>
              </w:rPr>
            </w:pPr>
            <w:r>
              <w:rPr>
                <w:kern w:val="0"/>
                <w:szCs w:val="20"/>
              </w:rPr>
              <w:t>评价标准</w:t>
            </w:r>
          </w:p>
        </w:tc>
        <w:tc>
          <w:tcPr>
            <w:tcW w:w="2071" w:type="dxa"/>
            <w:gridSpan w:val="4"/>
            <w:vAlign w:val="center"/>
          </w:tcPr>
          <w:p>
            <w:pPr>
              <w:pStyle w:val="45"/>
              <w:rPr>
                <w:kern w:val="0"/>
                <w:szCs w:val="20"/>
              </w:rPr>
            </w:pPr>
            <w:r>
              <w:rPr>
                <w:kern w:val="0"/>
                <w:szCs w:val="20"/>
              </w:rPr>
              <w:t>国家标准</w:t>
            </w:r>
            <w:r>
              <w:rPr>
                <w:kern w:val="0"/>
                <w:szCs w:val="20"/>
                <w:lang w:val="en-US"/>
              </w:rPr>
              <w:t>√</w:t>
            </w:r>
          </w:p>
        </w:tc>
        <w:tc>
          <w:tcPr>
            <w:tcW w:w="1760" w:type="dxa"/>
            <w:gridSpan w:val="2"/>
            <w:vAlign w:val="center"/>
          </w:tcPr>
          <w:p>
            <w:pPr>
              <w:pStyle w:val="45"/>
              <w:rPr>
                <w:kern w:val="0"/>
                <w:szCs w:val="20"/>
              </w:rPr>
            </w:pPr>
            <w:r>
              <w:rPr>
                <w:kern w:val="0"/>
                <w:szCs w:val="20"/>
              </w:rPr>
              <w:t>地方标准□</w:t>
            </w:r>
          </w:p>
        </w:tc>
        <w:tc>
          <w:tcPr>
            <w:tcW w:w="1560" w:type="dxa"/>
            <w:vAlign w:val="center"/>
          </w:tcPr>
          <w:p>
            <w:pPr>
              <w:pStyle w:val="45"/>
              <w:rPr>
                <w:kern w:val="0"/>
                <w:szCs w:val="20"/>
              </w:rPr>
            </w:pPr>
            <w:r>
              <w:rPr>
                <w:kern w:val="0"/>
                <w:szCs w:val="20"/>
              </w:rPr>
              <w:t>附录D□</w:t>
            </w:r>
          </w:p>
        </w:tc>
        <w:tc>
          <w:tcPr>
            <w:tcW w:w="1495" w:type="dxa"/>
            <w:gridSpan w:val="2"/>
            <w:vAlign w:val="center"/>
          </w:tcPr>
          <w:p>
            <w:pPr>
              <w:pStyle w:val="45"/>
              <w:rPr>
                <w:kern w:val="0"/>
                <w:szCs w:val="20"/>
              </w:rPr>
            </w:pPr>
            <w:r>
              <w:rPr>
                <w:kern w:val="0"/>
                <w:szCs w:val="20"/>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68" w:type="dxa"/>
            <w:vMerge w:val="restart"/>
            <w:vAlign w:val="center"/>
          </w:tcPr>
          <w:p>
            <w:pPr>
              <w:pStyle w:val="45"/>
              <w:rPr>
                <w:kern w:val="0"/>
                <w:szCs w:val="20"/>
              </w:rPr>
            </w:pPr>
            <w:r>
              <w:rPr>
                <w:kern w:val="0"/>
                <w:szCs w:val="20"/>
              </w:rPr>
              <w:t>现状评价</w:t>
            </w:r>
          </w:p>
        </w:tc>
        <w:tc>
          <w:tcPr>
            <w:tcW w:w="1633" w:type="dxa"/>
            <w:vAlign w:val="center"/>
          </w:tcPr>
          <w:p>
            <w:pPr>
              <w:pStyle w:val="45"/>
              <w:rPr>
                <w:kern w:val="0"/>
                <w:szCs w:val="20"/>
              </w:rPr>
            </w:pPr>
            <w:r>
              <w:rPr>
                <w:kern w:val="0"/>
                <w:szCs w:val="20"/>
              </w:rPr>
              <w:t>评价功能区</w:t>
            </w:r>
          </w:p>
        </w:tc>
        <w:tc>
          <w:tcPr>
            <w:tcW w:w="2675" w:type="dxa"/>
            <w:gridSpan w:val="5"/>
            <w:vAlign w:val="center"/>
          </w:tcPr>
          <w:p>
            <w:pPr>
              <w:pStyle w:val="45"/>
              <w:rPr>
                <w:kern w:val="0"/>
                <w:szCs w:val="20"/>
              </w:rPr>
            </w:pPr>
            <w:r>
              <w:rPr>
                <w:kern w:val="0"/>
                <w:szCs w:val="20"/>
              </w:rPr>
              <w:t>一类区□</w:t>
            </w:r>
          </w:p>
        </w:tc>
        <w:tc>
          <w:tcPr>
            <w:tcW w:w="2716" w:type="dxa"/>
            <w:gridSpan w:val="2"/>
            <w:vAlign w:val="center"/>
          </w:tcPr>
          <w:p>
            <w:pPr>
              <w:pStyle w:val="45"/>
              <w:rPr>
                <w:kern w:val="0"/>
                <w:szCs w:val="20"/>
              </w:rPr>
            </w:pPr>
            <w:r>
              <w:rPr>
                <w:kern w:val="0"/>
                <w:szCs w:val="20"/>
              </w:rPr>
              <w:t>二类区√</w:t>
            </w:r>
          </w:p>
        </w:tc>
        <w:tc>
          <w:tcPr>
            <w:tcW w:w="1495" w:type="dxa"/>
            <w:gridSpan w:val="2"/>
            <w:vAlign w:val="center"/>
          </w:tcPr>
          <w:p>
            <w:pPr>
              <w:pStyle w:val="45"/>
              <w:rPr>
                <w:kern w:val="0"/>
                <w:szCs w:val="20"/>
              </w:rPr>
            </w:pPr>
            <w:r>
              <w:rPr>
                <w:kern w:val="0"/>
                <w:szCs w:val="20"/>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评价基准年</w:t>
            </w:r>
          </w:p>
        </w:tc>
        <w:tc>
          <w:tcPr>
            <w:tcW w:w="6886" w:type="dxa"/>
            <w:gridSpan w:val="9"/>
            <w:vAlign w:val="center"/>
          </w:tcPr>
          <w:p>
            <w:pPr>
              <w:pStyle w:val="45"/>
              <w:rPr>
                <w:kern w:val="0"/>
                <w:szCs w:val="20"/>
              </w:rPr>
            </w:pPr>
            <w:r>
              <w:rPr>
                <w:kern w:val="0"/>
                <w:szCs w:val="20"/>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环境空气质量现状调查数据来源</w:t>
            </w:r>
          </w:p>
        </w:tc>
        <w:tc>
          <w:tcPr>
            <w:tcW w:w="2675" w:type="dxa"/>
            <w:gridSpan w:val="5"/>
            <w:vAlign w:val="center"/>
          </w:tcPr>
          <w:p>
            <w:pPr>
              <w:pStyle w:val="45"/>
              <w:rPr>
                <w:kern w:val="0"/>
                <w:szCs w:val="20"/>
              </w:rPr>
            </w:pPr>
            <w:r>
              <w:rPr>
                <w:kern w:val="0"/>
                <w:szCs w:val="20"/>
              </w:rPr>
              <w:t>长期例行监测数据□</w:t>
            </w:r>
          </w:p>
        </w:tc>
        <w:tc>
          <w:tcPr>
            <w:tcW w:w="2716" w:type="dxa"/>
            <w:gridSpan w:val="2"/>
            <w:vAlign w:val="center"/>
          </w:tcPr>
          <w:p>
            <w:pPr>
              <w:pStyle w:val="45"/>
              <w:rPr>
                <w:kern w:val="0"/>
                <w:szCs w:val="20"/>
              </w:rPr>
            </w:pPr>
            <w:r>
              <w:rPr>
                <w:kern w:val="0"/>
                <w:szCs w:val="20"/>
              </w:rPr>
              <w:t>主管部门发布的数据√</w:t>
            </w:r>
          </w:p>
        </w:tc>
        <w:tc>
          <w:tcPr>
            <w:tcW w:w="1495" w:type="dxa"/>
            <w:gridSpan w:val="2"/>
            <w:vAlign w:val="center"/>
          </w:tcPr>
          <w:p>
            <w:pPr>
              <w:pStyle w:val="45"/>
              <w:rPr>
                <w:kern w:val="0"/>
                <w:szCs w:val="20"/>
              </w:rPr>
            </w:pPr>
            <w:r>
              <w:rPr>
                <w:kern w:val="0"/>
                <w:szCs w:val="20"/>
              </w:rPr>
              <w:t>现状补充检测□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现状评价</w:t>
            </w:r>
          </w:p>
        </w:tc>
        <w:tc>
          <w:tcPr>
            <w:tcW w:w="3831" w:type="dxa"/>
            <w:gridSpan w:val="6"/>
            <w:vAlign w:val="center"/>
          </w:tcPr>
          <w:p>
            <w:pPr>
              <w:pStyle w:val="45"/>
              <w:rPr>
                <w:kern w:val="0"/>
                <w:szCs w:val="20"/>
              </w:rPr>
            </w:pPr>
            <w:r>
              <w:rPr>
                <w:kern w:val="0"/>
                <w:szCs w:val="20"/>
              </w:rPr>
              <w:t>达标区□</w:t>
            </w:r>
          </w:p>
        </w:tc>
        <w:tc>
          <w:tcPr>
            <w:tcW w:w="3055" w:type="dxa"/>
            <w:gridSpan w:val="3"/>
            <w:vAlign w:val="center"/>
          </w:tcPr>
          <w:p>
            <w:pPr>
              <w:pStyle w:val="45"/>
              <w:rPr>
                <w:kern w:val="0"/>
                <w:szCs w:val="20"/>
              </w:rPr>
            </w:pPr>
            <w:r>
              <w:rPr>
                <w:kern w:val="0"/>
                <w:szCs w:val="20"/>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污染源调查</w:t>
            </w:r>
          </w:p>
        </w:tc>
        <w:tc>
          <w:tcPr>
            <w:tcW w:w="1633" w:type="dxa"/>
            <w:vMerge w:val="restart"/>
            <w:vAlign w:val="center"/>
          </w:tcPr>
          <w:p>
            <w:pPr>
              <w:pStyle w:val="45"/>
              <w:rPr>
                <w:kern w:val="0"/>
                <w:szCs w:val="20"/>
              </w:rPr>
            </w:pPr>
            <w:r>
              <w:rPr>
                <w:kern w:val="0"/>
                <w:szCs w:val="20"/>
              </w:rPr>
              <w:t>调查内容</w:t>
            </w:r>
          </w:p>
        </w:tc>
        <w:tc>
          <w:tcPr>
            <w:tcW w:w="2071" w:type="dxa"/>
            <w:gridSpan w:val="4"/>
            <w:vAlign w:val="center"/>
          </w:tcPr>
          <w:p>
            <w:pPr>
              <w:pStyle w:val="45"/>
              <w:rPr>
                <w:kern w:val="0"/>
                <w:szCs w:val="20"/>
              </w:rPr>
            </w:pPr>
            <w:r>
              <w:rPr>
                <w:kern w:val="0"/>
                <w:szCs w:val="20"/>
              </w:rPr>
              <w:t>本项目正常排放源√</w:t>
            </w:r>
          </w:p>
        </w:tc>
        <w:tc>
          <w:tcPr>
            <w:tcW w:w="1760" w:type="dxa"/>
            <w:gridSpan w:val="2"/>
            <w:vMerge w:val="restart"/>
            <w:vAlign w:val="center"/>
          </w:tcPr>
          <w:p>
            <w:pPr>
              <w:pStyle w:val="45"/>
              <w:rPr>
                <w:kern w:val="0"/>
                <w:szCs w:val="20"/>
              </w:rPr>
            </w:pPr>
            <w:r>
              <w:rPr>
                <w:kern w:val="0"/>
                <w:szCs w:val="20"/>
              </w:rPr>
              <w:t>拟替代的污染源□</w:t>
            </w:r>
          </w:p>
        </w:tc>
        <w:tc>
          <w:tcPr>
            <w:tcW w:w="1560" w:type="dxa"/>
            <w:vMerge w:val="restart"/>
            <w:vAlign w:val="center"/>
          </w:tcPr>
          <w:p>
            <w:pPr>
              <w:pStyle w:val="45"/>
              <w:rPr>
                <w:kern w:val="0"/>
                <w:szCs w:val="20"/>
              </w:rPr>
            </w:pPr>
            <w:r>
              <w:rPr>
                <w:kern w:val="0"/>
                <w:szCs w:val="20"/>
              </w:rPr>
              <w:t>其他在建、拟建项目污染源□</w:t>
            </w:r>
          </w:p>
        </w:tc>
        <w:tc>
          <w:tcPr>
            <w:tcW w:w="1495" w:type="dxa"/>
            <w:gridSpan w:val="2"/>
            <w:vMerge w:val="restart"/>
            <w:vAlign w:val="center"/>
          </w:tcPr>
          <w:p>
            <w:pPr>
              <w:pStyle w:val="45"/>
              <w:rPr>
                <w:kern w:val="0"/>
                <w:szCs w:val="20"/>
              </w:rPr>
            </w:pPr>
            <w:r>
              <w:rPr>
                <w:kern w:val="0"/>
                <w:szCs w:val="20"/>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2071" w:type="dxa"/>
            <w:gridSpan w:val="4"/>
            <w:vAlign w:val="center"/>
          </w:tcPr>
          <w:p>
            <w:pPr>
              <w:pStyle w:val="45"/>
              <w:rPr>
                <w:kern w:val="0"/>
                <w:szCs w:val="20"/>
              </w:rPr>
            </w:pPr>
            <w:r>
              <w:rPr>
                <w:kern w:val="0"/>
                <w:szCs w:val="20"/>
              </w:rPr>
              <w:t>本项目非正常排放源</w:t>
            </w:r>
          </w:p>
        </w:tc>
        <w:tc>
          <w:tcPr>
            <w:tcW w:w="1760" w:type="dxa"/>
            <w:gridSpan w:val="2"/>
            <w:vMerge w:val="continue"/>
            <w:vAlign w:val="center"/>
          </w:tcPr>
          <w:p>
            <w:pPr>
              <w:pStyle w:val="45"/>
              <w:rPr>
                <w:kern w:val="0"/>
                <w:szCs w:val="20"/>
              </w:rPr>
            </w:pPr>
          </w:p>
        </w:tc>
        <w:tc>
          <w:tcPr>
            <w:tcW w:w="1560" w:type="dxa"/>
            <w:vMerge w:val="continue"/>
            <w:vAlign w:val="center"/>
          </w:tcPr>
          <w:p>
            <w:pPr>
              <w:pStyle w:val="45"/>
              <w:rPr>
                <w:kern w:val="0"/>
                <w:szCs w:val="20"/>
              </w:rPr>
            </w:pPr>
          </w:p>
        </w:tc>
        <w:tc>
          <w:tcPr>
            <w:tcW w:w="1495" w:type="dxa"/>
            <w:gridSpan w:val="2"/>
            <w:vMerge w:val="continue"/>
            <w:vAlign w:val="center"/>
          </w:tcPr>
          <w:p>
            <w:pPr>
              <w:pStyle w:val="45"/>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2071" w:type="dxa"/>
            <w:gridSpan w:val="4"/>
            <w:vAlign w:val="center"/>
          </w:tcPr>
          <w:p>
            <w:pPr>
              <w:pStyle w:val="45"/>
              <w:rPr>
                <w:kern w:val="0"/>
                <w:szCs w:val="20"/>
              </w:rPr>
            </w:pPr>
            <w:r>
              <w:rPr>
                <w:kern w:val="0"/>
                <w:szCs w:val="20"/>
              </w:rPr>
              <w:t>现有污染源</w:t>
            </w:r>
            <w:r>
              <w:rPr>
                <w:kern w:val="0"/>
                <w:szCs w:val="20"/>
                <w:lang w:val="en-US"/>
              </w:rPr>
              <w:t></w:t>
            </w:r>
          </w:p>
        </w:tc>
        <w:tc>
          <w:tcPr>
            <w:tcW w:w="1760" w:type="dxa"/>
            <w:gridSpan w:val="2"/>
            <w:vMerge w:val="continue"/>
            <w:vAlign w:val="center"/>
          </w:tcPr>
          <w:p>
            <w:pPr>
              <w:pStyle w:val="45"/>
              <w:rPr>
                <w:kern w:val="0"/>
                <w:szCs w:val="20"/>
              </w:rPr>
            </w:pPr>
          </w:p>
        </w:tc>
        <w:tc>
          <w:tcPr>
            <w:tcW w:w="1560" w:type="dxa"/>
            <w:vMerge w:val="continue"/>
            <w:vAlign w:val="center"/>
          </w:tcPr>
          <w:p>
            <w:pPr>
              <w:pStyle w:val="45"/>
              <w:rPr>
                <w:kern w:val="0"/>
                <w:szCs w:val="20"/>
              </w:rPr>
            </w:pPr>
          </w:p>
        </w:tc>
        <w:tc>
          <w:tcPr>
            <w:tcW w:w="1495" w:type="dxa"/>
            <w:gridSpan w:val="2"/>
            <w:vMerge w:val="continue"/>
            <w:vAlign w:val="center"/>
          </w:tcPr>
          <w:p>
            <w:pPr>
              <w:pStyle w:val="45"/>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大气环境影响预测与评价</w:t>
            </w:r>
          </w:p>
          <w:p>
            <w:pPr>
              <w:pStyle w:val="45"/>
              <w:rPr>
                <w:kern w:val="0"/>
                <w:szCs w:val="20"/>
              </w:rPr>
            </w:pPr>
          </w:p>
        </w:tc>
        <w:tc>
          <w:tcPr>
            <w:tcW w:w="1633" w:type="dxa"/>
            <w:vAlign w:val="center"/>
          </w:tcPr>
          <w:p>
            <w:pPr>
              <w:pStyle w:val="45"/>
              <w:rPr>
                <w:kern w:val="0"/>
                <w:szCs w:val="20"/>
              </w:rPr>
            </w:pPr>
            <w:r>
              <w:rPr>
                <w:kern w:val="0"/>
                <w:szCs w:val="20"/>
              </w:rPr>
              <w:t>预测模型</w:t>
            </w:r>
          </w:p>
        </w:tc>
        <w:tc>
          <w:tcPr>
            <w:tcW w:w="785" w:type="dxa"/>
            <w:vAlign w:val="center"/>
          </w:tcPr>
          <w:p>
            <w:pPr>
              <w:pStyle w:val="45"/>
              <w:rPr>
                <w:kern w:val="0"/>
                <w:szCs w:val="20"/>
              </w:rPr>
            </w:pPr>
            <w:r>
              <w:rPr>
                <w:kern w:val="0"/>
                <w:szCs w:val="20"/>
              </w:rPr>
              <w:t>AERMOD□</w:t>
            </w:r>
          </w:p>
        </w:tc>
        <w:tc>
          <w:tcPr>
            <w:tcW w:w="785" w:type="dxa"/>
            <w:vAlign w:val="center"/>
          </w:tcPr>
          <w:p>
            <w:pPr>
              <w:pStyle w:val="45"/>
              <w:rPr>
                <w:kern w:val="0"/>
                <w:szCs w:val="20"/>
              </w:rPr>
            </w:pPr>
            <w:r>
              <w:rPr>
                <w:kern w:val="0"/>
                <w:szCs w:val="20"/>
              </w:rPr>
              <w:t>ADMS□</w:t>
            </w:r>
          </w:p>
        </w:tc>
        <w:tc>
          <w:tcPr>
            <w:tcW w:w="1105" w:type="dxa"/>
            <w:gridSpan w:val="3"/>
            <w:vAlign w:val="center"/>
          </w:tcPr>
          <w:p>
            <w:pPr>
              <w:pStyle w:val="45"/>
              <w:rPr>
                <w:kern w:val="0"/>
                <w:szCs w:val="20"/>
              </w:rPr>
            </w:pPr>
            <w:r>
              <w:rPr>
                <w:kern w:val="0"/>
                <w:szCs w:val="20"/>
              </w:rPr>
              <w:t>AUSTAL2000□</w:t>
            </w:r>
          </w:p>
        </w:tc>
        <w:tc>
          <w:tcPr>
            <w:tcW w:w="1156" w:type="dxa"/>
            <w:vAlign w:val="center"/>
          </w:tcPr>
          <w:p>
            <w:pPr>
              <w:pStyle w:val="45"/>
              <w:rPr>
                <w:kern w:val="0"/>
                <w:szCs w:val="20"/>
              </w:rPr>
            </w:pPr>
            <w:r>
              <w:rPr>
                <w:kern w:val="0"/>
                <w:szCs w:val="20"/>
              </w:rPr>
              <w:t>EDMS/AEDT□</w:t>
            </w:r>
          </w:p>
        </w:tc>
        <w:tc>
          <w:tcPr>
            <w:tcW w:w="1560" w:type="dxa"/>
            <w:vAlign w:val="center"/>
          </w:tcPr>
          <w:p>
            <w:pPr>
              <w:pStyle w:val="45"/>
              <w:rPr>
                <w:kern w:val="0"/>
                <w:szCs w:val="20"/>
              </w:rPr>
            </w:pPr>
            <w:r>
              <w:rPr>
                <w:kern w:val="0"/>
                <w:szCs w:val="20"/>
              </w:rPr>
              <w:t>CALPUFF□</w:t>
            </w:r>
          </w:p>
        </w:tc>
        <w:tc>
          <w:tcPr>
            <w:tcW w:w="689" w:type="dxa"/>
            <w:vAlign w:val="center"/>
          </w:tcPr>
          <w:p>
            <w:pPr>
              <w:pStyle w:val="45"/>
              <w:rPr>
                <w:kern w:val="0"/>
                <w:szCs w:val="20"/>
              </w:rPr>
            </w:pPr>
            <w:r>
              <w:rPr>
                <w:kern w:val="0"/>
                <w:szCs w:val="20"/>
              </w:rPr>
              <w:t>网格模型□</w:t>
            </w:r>
          </w:p>
        </w:tc>
        <w:tc>
          <w:tcPr>
            <w:tcW w:w="806" w:type="dxa"/>
            <w:vAlign w:val="center"/>
          </w:tcPr>
          <w:p>
            <w:pPr>
              <w:pStyle w:val="45"/>
              <w:rPr>
                <w:kern w:val="0"/>
                <w:szCs w:val="20"/>
              </w:rPr>
            </w:pPr>
            <w:r>
              <w:rPr>
                <w:kern w:val="0"/>
                <w:szCs w:val="20"/>
              </w:rPr>
              <w:t>其他</w:t>
            </w:r>
            <w:r>
              <w:rPr>
                <w:kern w:val="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预测范围</w:t>
            </w:r>
          </w:p>
        </w:tc>
        <w:tc>
          <w:tcPr>
            <w:tcW w:w="2675" w:type="dxa"/>
            <w:gridSpan w:val="5"/>
            <w:vAlign w:val="center"/>
          </w:tcPr>
          <w:p>
            <w:pPr>
              <w:pStyle w:val="45"/>
              <w:rPr>
                <w:kern w:val="0"/>
                <w:szCs w:val="20"/>
              </w:rPr>
            </w:pPr>
            <w:r>
              <w:rPr>
                <w:kern w:val="0"/>
                <w:szCs w:val="20"/>
              </w:rPr>
              <w:t>边长≥50km□</w:t>
            </w:r>
          </w:p>
        </w:tc>
        <w:tc>
          <w:tcPr>
            <w:tcW w:w="2716" w:type="dxa"/>
            <w:gridSpan w:val="2"/>
            <w:vAlign w:val="center"/>
          </w:tcPr>
          <w:p>
            <w:pPr>
              <w:pStyle w:val="45"/>
              <w:rPr>
                <w:kern w:val="0"/>
                <w:szCs w:val="20"/>
              </w:rPr>
            </w:pPr>
            <w:r>
              <w:rPr>
                <w:kern w:val="0"/>
                <w:szCs w:val="20"/>
              </w:rPr>
              <w:t>边长5~50km</w:t>
            </w:r>
            <w:r>
              <w:rPr>
                <w:kern w:val="0"/>
                <w:szCs w:val="20"/>
                <w:lang w:val="en-US"/>
              </w:rPr>
              <w:t>√</w:t>
            </w:r>
          </w:p>
        </w:tc>
        <w:tc>
          <w:tcPr>
            <w:tcW w:w="1495" w:type="dxa"/>
            <w:gridSpan w:val="2"/>
            <w:vAlign w:val="center"/>
          </w:tcPr>
          <w:p>
            <w:pPr>
              <w:pStyle w:val="45"/>
              <w:rPr>
                <w:kern w:val="0"/>
                <w:szCs w:val="20"/>
              </w:rPr>
            </w:pPr>
            <w:r>
              <w:rPr>
                <w:kern w:val="0"/>
                <w:szCs w:val="20"/>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restart"/>
            <w:vAlign w:val="center"/>
          </w:tcPr>
          <w:p>
            <w:pPr>
              <w:pStyle w:val="45"/>
              <w:rPr>
                <w:kern w:val="0"/>
                <w:szCs w:val="20"/>
              </w:rPr>
            </w:pPr>
            <w:r>
              <w:rPr>
                <w:kern w:val="0"/>
                <w:szCs w:val="20"/>
              </w:rPr>
              <w:t>预测因子</w:t>
            </w:r>
          </w:p>
        </w:tc>
        <w:tc>
          <w:tcPr>
            <w:tcW w:w="3831" w:type="dxa"/>
            <w:gridSpan w:val="6"/>
            <w:vMerge w:val="restart"/>
            <w:vAlign w:val="center"/>
          </w:tcPr>
          <w:p>
            <w:pPr>
              <w:pStyle w:val="45"/>
              <w:rPr>
                <w:kern w:val="0"/>
                <w:szCs w:val="20"/>
              </w:rPr>
            </w:pPr>
            <w:r>
              <w:rPr>
                <w:kern w:val="0"/>
                <w:szCs w:val="20"/>
              </w:rPr>
              <w:t>预测因子</w:t>
            </w:r>
          </w:p>
        </w:tc>
        <w:tc>
          <w:tcPr>
            <w:tcW w:w="3055" w:type="dxa"/>
            <w:gridSpan w:val="3"/>
            <w:vAlign w:val="center"/>
          </w:tcPr>
          <w:p>
            <w:pPr>
              <w:pStyle w:val="45"/>
              <w:rPr>
                <w:kern w:val="0"/>
                <w:szCs w:val="20"/>
              </w:rPr>
            </w:pPr>
            <w:r>
              <w:rPr>
                <w:kern w:val="0"/>
                <w:szCs w:val="20"/>
              </w:rPr>
              <w:t>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3831" w:type="dxa"/>
            <w:gridSpan w:val="6"/>
            <w:vMerge w:val="continue"/>
            <w:vAlign w:val="center"/>
          </w:tcPr>
          <w:p>
            <w:pPr>
              <w:pStyle w:val="45"/>
              <w:rPr>
                <w:kern w:val="0"/>
                <w:szCs w:val="20"/>
              </w:rPr>
            </w:pPr>
          </w:p>
        </w:tc>
        <w:tc>
          <w:tcPr>
            <w:tcW w:w="3055" w:type="dxa"/>
            <w:gridSpan w:val="3"/>
            <w:vAlign w:val="center"/>
          </w:tcPr>
          <w:p>
            <w:pPr>
              <w:pStyle w:val="45"/>
              <w:rPr>
                <w:kern w:val="0"/>
                <w:szCs w:val="20"/>
              </w:rPr>
            </w:pPr>
            <w:r>
              <w:rPr>
                <w:kern w:val="0"/>
                <w:szCs w:val="20"/>
              </w:rPr>
              <w:t>不包括二次PM2.5</w:t>
            </w:r>
            <w:r>
              <w:rPr>
                <w:kern w:val="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正常排放短期浓度贡献值</w:t>
            </w:r>
          </w:p>
        </w:tc>
        <w:tc>
          <w:tcPr>
            <w:tcW w:w="3831" w:type="dxa"/>
            <w:gridSpan w:val="6"/>
            <w:vAlign w:val="center"/>
          </w:tcPr>
          <w:p>
            <w:pPr>
              <w:pStyle w:val="45"/>
              <w:rPr>
                <w:kern w:val="0"/>
                <w:szCs w:val="20"/>
              </w:rPr>
            </w:pPr>
            <w:r>
              <w:rPr>
                <w:kern w:val="0"/>
                <w:szCs w:val="20"/>
              </w:rPr>
              <w:t>C本项目最大占标率≤100%</w:t>
            </w:r>
            <w:r>
              <w:rPr>
                <w:kern w:val="0"/>
                <w:szCs w:val="20"/>
                <w:lang w:val="en-US"/>
              </w:rPr>
              <w:t>√</w:t>
            </w:r>
          </w:p>
        </w:tc>
        <w:tc>
          <w:tcPr>
            <w:tcW w:w="3055" w:type="dxa"/>
            <w:gridSpan w:val="3"/>
            <w:vAlign w:val="center"/>
          </w:tcPr>
          <w:p>
            <w:pPr>
              <w:pStyle w:val="45"/>
              <w:rPr>
                <w:kern w:val="0"/>
                <w:szCs w:val="20"/>
              </w:rPr>
            </w:pPr>
            <w:r>
              <w:rPr>
                <w:kern w:val="0"/>
                <w:szCs w:val="20"/>
              </w:rPr>
              <w:t>C本项目最大占标率&gt;100%□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restart"/>
            <w:vAlign w:val="center"/>
          </w:tcPr>
          <w:p>
            <w:pPr>
              <w:pStyle w:val="45"/>
              <w:rPr>
                <w:kern w:val="0"/>
                <w:szCs w:val="20"/>
              </w:rPr>
            </w:pPr>
            <w:r>
              <w:rPr>
                <w:kern w:val="0"/>
                <w:szCs w:val="20"/>
              </w:rPr>
              <w:t>正常排放年均浓度贡献值</w:t>
            </w:r>
          </w:p>
        </w:tc>
        <w:tc>
          <w:tcPr>
            <w:tcW w:w="1570" w:type="dxa"/>
            <w:gridSpan w:val="2"/>
            <w:vAlign w:val="center"/>
          </w:tcPr>
          <w:p>
            <w:pPr>
              <w:pStyle w:val="45"/>
              <w:rPr>
                <w:kern w:val="0"/>
                <w:szCs w:val="20"/>
              </w:rPr>
            </w:pPr>
            <w:r>
              <w:rPr>
                <w:kern w:val="0"/>
                <w:szCs w:val="20"/>
              </w:rPr>
              <w:t>一类区</w:t>
            </w:r>
          </w:p>
        </w:tc>
        <w:tc>
          <w:tcPr>
            <w:tcW w:w="2261" w:type="dxa"/>
            <w:gridSpan w:val="4"/>
            <w:vAlign w:val="center"/>
          </w:tcPr>
          <w:p>
            <w:pPr>
              <w:pStyle w:val="45"/>
              <w:rPr>
                <w:kern w:val="0"/>
                <w:szCs w:val="20"/>
              </w:rPr>
            </w:pPr>
            <w:r>
              <w:rPr>
                <w:kern w:val="0"/>
                <w:szCs w:val="20"/>
              </w:rPr>
              <w:t>C本项目最大占标率≤10%□</w:t>
            </w:r>
          </w:p>
        </w:tc>
        <w:tc>
          <w:tcPr>
            <w:tcW w:w="3055" w:type="dxa"/>
            <w:gridSpan w:val="3"/>
            <w:vAlign w:val="center"/>
          </w:tcPr>
          <w:p>
            <w:pPr>
              <w:pStyle w:val="45"/>
              <w:rPr>
                <w:kern w:val="0"/>
                <w:szCs w:val="20"/>
              </w:rPr>
            </w:pPr>
            <w:r>
              <w:rPr>
                <w:kern w:val="0"/>
                <w:szCs w:val="20"/>
              </w:rPr>
              <w:t>C本项目最大占标率&gt;10%□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1570" w:type="dxa"/>
            <w:gridSpan w:val="2"/>
            <w:vAlign w:val="center"/>
          </w:tcPr>
          <w:p>
            <w:pPr>
              <w:pStyle w:val="45"/>
              <w:rPr>
                <w:kern w:val="0"/>
                <w:szCs w:val="20"/>
              </w:rPr>
            </w:pPr>
            <w:r>
              <w:rPr>
                <w:kern w:val="0"/>
                <w:szCs w:val="20"/>
              </w:rPr>
              <w:t>二类区</w:t>
            </w:r>
          </w:p>
        </w:tc>
        <w:tc>
          <w:tcPr>
            <w:tcW w:w="2261" w:type="dxa"/>
            <w:gridSpan w:val="4"/>
            <w:vAlign w:val="center"/>
          </w:tcPr>
          <w:p>
            <w:pPr>
              <w:pStyle w:val="45"/>
              <w:rPr>
                <w:kern w:val="0"/>
                <w:szCs w:val="20"/>
              </w:rPr>
            </w:pPr>
            <w:r>
              <w:rPr>
                <w:kern w:val="0"/>
                <w:szCs w:val="20"/>
              </w:rPr>
              <w:t>C本项目最大占标率≤30%</w:t>
            </w:r>
            <w:r>
              <w:rPr>
                <w:kern w:val="0"/>
                <w:szCs w:val="20"/>
                <w:lang w:val="en-US"/>
              </w:rPr>
              <w:t>√</w:t>
            </w:r>
          </w:p>
        </w:tc>
        <w:tc>
          <w:tcPr>
            <w:tcW w:w="3055" w:type="dxa"/>
            <w:gridSpan w:val="3"/>
            <w:vAlign w:val="center"/>
          </w:tcPr>
          <w:p>
            <w:pPr>
              <w:pStyle w:val="45"/>
              <w:rPr>
                <w:kern w:val="0"/>
                <w:szCs w:val="20"/>
              </w:rPr>
            </w:pPr>
            <w:r>
              <w:rPr>
                <w:kern w:val="0"/>
                <w:szCs w:val="20"/>
              </w:rPr>
              <w:t>C本项目最大占标率&gt;30%□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restart"/>
            <w:vAlign w:val="center"/>
          </w:tcPr>
          <w:p>
            <w:pPr>
              <w:pStyle w:val="45"/>
              <w:rPr>
                <w:kern w:val="0"/>
                <w:szCs w:val="20"/>
              </w:rPr>
            </w:pPr>
            <w:r>
              <w:rPr>
                <w:kern w:val="0"/>
                <w:szCs w:val="20"/>
              </w:rPr>
              <w:t>非正常1h浓度贡献值</w:t>
            </w:r>
          </w:p>
        </w:tc>
        <w:tc>
          <w:tcPr>
            <w:tcW w:w="2071" w:type="dxa"/>
            <w:gridSpan w:val="4"/>
            <w:vAlign w:val="center"/>
          </w:tcPr>
          <w:p>
            <w:pPr>
              <w:pStyle w:val="45"/>
              <w:rPr>
                <w:kern w:val="0"/>
                <w:szCs w:val="20"/>
              </w:rPr>
            </w:pPr>
            <w:r>
              <w:rPr>
                <w:kern w:val="0"/>
                <w:szCs w:val="20"/>
              </w:rPr>
              <w:t>非正常持续时长</w:t>
            </w:r>
          </w:p>
        </w:tc>
        <w:tc>
          <w:tcPr>
            <w:tcW w:w="3320" w:type="dxa"/>
            <w:gridSpan w:val="3"/>
            <w:vMerge w:val="restart"/>
            <w:vAlign w:val="center"/>
          </w:tcPr>
          <w:p>
            <w:pPr>
              <w:pStyle w:val="45"/>
              <w:rPr>
                <w:kern w:val="0"/>
                <w:szCs w:val="20"/>
              </w:rPr>
            </w:pPr>
            <w:r>
              <w:rPr>
                <w:kern w:val="0"/>
                <w:szCs w:val="20"/>
              </w:rPr>
              <w:t>C非正常占标率≤100%□</w:t>
            </w:r>
          </w:p>
        </w:tc>
        <w:tc>
          <w:tcPr>
            <w:tcW w:w="1495" w:type="dxa"/>
            <w:gridSpan w:val="2"/>
            <w:vMerge w:val="restart"/>
            <w:vAlign w:val="center"/>
          </w:tcPr>
          <w:p>
            <w:pPr>
              <w:pStyle w:val="45"/>
              <w:rPr>
                <w:kern w:val="0"/>
                <w:szCs w:val="20"/>
              </w:rPr>
            </w:pPr>
            <w:r>
              <w:rPr>
                <w:kern w:val="0"/>
                <w:szCs w:val="20"/>
              </w:rPr>
              <w:t>C非正常占标率&gt;100%□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2071" w:type="dxa"/>
            <w:gridSpan w:val="4"/>
            <w:vAlign w:val="center"/>
          </w:tcPr>
          <w:p>
            <w:pPr>
              <w:pStyle w:val="45"/>
              <w:rPr>
                <w:kern w:val="0"/>
                <w:szCs w:val="20"/>
              </w:rPr>
            </w:pPr>
            <w:r>
              <w:rPr>
                <w:kern w:val="0"/>
                <w:szCs w:val="20"/>
              </w:rPr>
              <w:t>（  ）h</w:t>
            </w:r>
          </w:p>
        </w:tc>
        <w:tc>
          <w:tcPr>
            <w:tcW w:w="3320" w:type="dxa"/>
            <w:gridSpan w:val="3"/>
            <w:vMerge w:val="continue"/>
            <w:vAlign w:val="center"/>
          </w:tcPr>
          <w:p>
            <w:pPr>
              <w:pStyle w:val="45"/>
              <w:rPr>
                <w:kern w:val="0"/>
                <w:szCs w:val="20"/>
              </w:rPr>
            </w:pPr>
          </w:p>
        </w:tc>
        <w:tc>
          <w:tcPr>
            <w:tcW w:w="1495" w:type="dxa"/>
            <w:gridSpan w:val="2"/>
            <w:vMerge w:val="continue"/>
            <w:vAlign w:val="center"/>
          </w:tcPr>
          <w:p>
            <w:pPr>
              <w:pStyle w:val="45"/>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保证率日平均浓度和年平均浓度叠加值</w:t>
            </w:r>
          </w:p>
        </w:tc>
        <w:tc>
          <w:tcPr>
            <w:tcW w:w="3831" w:type="dxa"/>
            <w:gridSpan w:val="6"/>
            <w:vAlign w:val="center"/>
          </w:tcPr>
          <w:p>
            <w:pPr>
              <w:pStyle w:val="45"/>
              <w:rPr>
                <w:kern w:val="0"/>
                <w:szCs w:val="20"/>
              </w:rPr>
            </w:pPr>
            <w:r>
              <w:rPr>
                <w:kern w:val="0"/>
                <w:szCs w:val="20"/>
              </w:rPr>
              <w:t>C叠加达标□</w:t>
            </w:r>
          </w:p>
        </w:tc>
        <w:tc>
          <w:tcPr>
            <w:tcW w:w="3055" w:type="dxa"/>
            <w:gridSpan w:val="3"/>
            <w:vAlign w:val="center"/>
          </w:tcPr>
          <w:p>
            <w:pPr>
              <w:pStyle w:val="45"/>
              <w:rPr>
                <w:kern w:val="0"/>
                <w:szCs w:val="20"/>
              </w:rPr>
            </w:pPr>
            <w:r>
              <w:rPr>
                <w:kern w:val="0"/>
                <w:szCs w:val="20"/>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区域环境质量的整体变化情况</w:t>
            </w:r>
          </w:p>
        </w:tc>
        <w:tc>
          <w:tcPr>
            <w:tcW w:w="3831" w:type="dxa"/>
            <w:gridSpan w:val="6"/>
            <w:vAlign w:val="center"/>
          </w:tcPr>
          <w:p>
            <w:pPr>
              <w:pStyle w:val="45"/>
              <w:rPr>
                <w:kern w:val="0"/>
                <w:szCs w:val="20"/>
              </w:rPr>
            </w:pPr>
            <w:r>
              <w:rPr>
                <w:kern w:val="0"/>
                <w:szCs w:val="20"/>
              </w:rPr>
              <w:t>k≤-20%□</w:t>
            </w:r>
          </w:p>
        </w:tc>
        <w:tc>
          <w:tcPr>
            <w:tcW w:w="3055" w:type="dxa"/>
            <w:gridSpan w:val="3"/>
            <w:vAlign w:val="center"/>
          </w:tcPr>
          <w:p>
            <w:pPr>
              <w:pStyle w:val="45"/>
              <w:rPr>
                <w:kern w:val="0"/>
                <w:szCs w:val="20"/>
              </w:rPr>
            </w:pPr>
            <w:r>
              <w:rPr>
                <w:kern w:val="0"/>
                <w:szCs w:val="20"/>
              </w:rPr>
              <w:t>k&gt;-20%□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环境监测计划</w:t>
            </w:r>
          </w:p>
        </w:tc>
        <w:tc>
          <w:tcPr>
            <w:tcW w:w="1633" w:type="dxa"/>
            <w:vMerge w:val="restart"/>
            <w:vAlign w:val="center"/>
          </w:tcPr>
          <w:p>
            <w:pPr>
              <w:pStyle w:val="45"/>
              <w:rPr>
                <w:kern w:val="0"/>
                <w:szCs w:val="20"/>
              </w:rPr>
            </w:pPr>
            <w:r>
              <w:rPr>
                <w:kern w:val="0"/>
                <w:szCs w:val="20"/>
              </w:rPr>
              <w:t>污染源</w:t>
            </w:r>
          </w:p>
          <w:p>
            <w:pPr>
              <w:pStyle w:val="45"/>
              <w:rPr>
                <w:kern w:val="0"/>
                <w:szCs w:val="20"/>
              </w:rPr>
            </w:pPr>
            <w:r>
              <w:rPr>
                <w:kern w:val="0"/>
                <w:szCs w:val="20"/>
              </w:rPr>
              <w:t>监测</w:t>
            </w:r>
          </w:p>
        </w:tc>
        <w:tc>
          <w:tcPr>
            <w:tcW w:w="2675" w:type="dxa"/>
            <w:gridSpan w:val="5"/>
            <w:vMerge w:val="restart"/>
            <w:vAlign w:val="center"/>
          </w:tcPr>
          <w:p>
            <w:pPr>
              <w:pStyle w:val="45"/>
              <w:rPr>
                <w:kern w:val="0"/>
                <w:szCs w:val="20"/>
              </w:rPr>
            </w:pPr>
            <w:r>
              <w:rPr>
                <w:kern w:val="0"/>
                <w:szCs w:val="20"/>
              </w:rPr>
              <w:t>监测因子：（PM</w:t>
            </w:r>
            <w:r>
              <w:rPr>
                <w:kern w:val="0"/>
                <w:szCs w:val="20"/>
                <w:vertAlign w:val="subscript"/>
              </w:rPr>
              <w:t>10</w:t>
            </w:r>
            <w:r>
              <w:rPr>
                <w:kern w:val="0"/>
                <w:szCs w:val="20"/>
              </w:rPr>
              <w:t>、TSP、油烟）</w:t>
            </w:r>
          </w:p>
        </w:tc>
        <w:tc>
          <w:tcPr>
            <w:tcW w:w="2716" w:type="dxa"/>
            <w:gridSpan w:val="2"/>
            <w:vAlign w:val="center"/>
          </w:tcPr>
          <w:p>
            <w:pPr>
              <w:pStyle w:val="45"/>
              <w:rPr>
                <w:kern w:val="0"/>
                <w:szCs w:val="20"/>
              </w:rPr>
            </w:pPr>
            <w:r>
              <w:rPr>
                <w:kern w:val="0"/>
                <w:szCs w:val="20"/>
              </w:rPr>
              <w:t>有组织废气监测√</w:t>
            </w:r>
          </w:p>
        </w:tc>
        <w:tc>
          <w:tcPr>
            <w:tcW w:w="1495" w:type="dxa"/>
            <w:gridSpan w:val="2"/>
            <w:vMerge w:val="restart"/>
            <w:vAlign w:val="center"/>
          </w:tcPr>
          <w:p>
            <w:pPr>
              <w:pStyle w:val="45"/>
              <w:rPr>
                <w:kern w:val="0"/>
                <w:szCs w:val="20"/>
              </w:rPr>
            </w:pPr>
            <w:r>
              <w:rPr>
                <w:kern w:val="0"/>
                <w:szCs w:val="20"/>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68" w:type="dxa"/>
            <w:vMerge w:val="continue"/>
            <w:vAlign w:val="center"/>
          </w:tcPr>
          <w:p>
            <w:pPr>
              <w:pStyle w:val="45"/>
              <w:rPr>
                <w:kern w:val="0"/>
                <w:szCs w:val="20"/>
              </w:rPr>
            </w:pPr>
          </w:p>
        </w:tc>
        <w:tc>
          <w:tcPr>
            <w:tcW w:w="1633" w:type="dxa"/>
            <w:vMerge w:val="continue"/>
            <w:vAlign w:val="center"/>
          </w:tcPr>
          <w:p>
            <w:pPr>
              <w:pStyle w:val="45"/>
              <w:rPr>
                <w:kern w:val="0"/>
                <w:szCs w:val="20"/>
              </w:rPr>
            </w:pPr>
          </w:p>
        </w:tc>
        <w:tc>
          <w:tcPr>
            <w:tcW w:w="2675" w:type="dxa"/>
            <w:gridSpan w:val="5"/>
            <w:vMerge w:val="continue"/>
            <w:vAlign w:val="center"/>
          </w:tcPr>
          <w:p>
            <w:pPr>
              <w:pStyle w:val="45"/>
              <w:rPr>
                <w:kern w:val="0"/>
                <w:szCs w:val="20"/>
              </w:rPr>
            </w:pPr>
          </w:p>
        </w:tc>
        <w:tc>
          <w:tcPr>
            <w:tcW w:w="2716" w:type="dxa"/>
            <w:gridSpan w:val="2"/>
            <w:vAlign w:val="center"/>
          </w:tcPr>
          <w:p>
            <w:pPr>
              <w:pStyle w:val="45"/>
              <w:rPr>
                <w:kern w:val="0"/>
                <w:szCs w:val="20"/>
              </w:rPr>
            </w:pPr>
            <w:r>
              <w:rPr>
                <w:kern w:val="0"/>
                <w:szCs w:val="20"/>
              </w:rPr>
              <w:t>无组织废气监测√</w:t>
            </w:r>
          </w:p>
        </w:tc>
        <w:tc>
          <w:tcPr>
            <w:tcW w:w="1495" w:type="dxa"/>
            <w:gridSpan w:val="2"/>
            <w:vMerge w:val="continue"/>
            <w:vAlign w:val="center"/>
          </w:tcPr>
          <w:p>
            <w:pPr>
              <w:pStyle w:val="45"/>
              <w:rPr>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环境质量监测</w:t>
            </w:r>
          </w:p>
        </w:tc>
        <w:tc>
          <w:tcPr>
            <w:tcW w:w="2675" w:type="dxa"/>
            <w:gridSpan w:val="5"/>
            <w:vAlign w:val="center"/>
          </w:tcPr>
          <w:p>
            <w:pPr>
              <w:pStyle w:val="45"/>
              <w:rPr>
                <w:kern w:val="0"/>
                <w:szCs w:val="20"/>
              </w:rPr>
            </w:pPr>
            <w:r>
              <w:rPr>
                <w:kern w:val="0"/>
                <w:szCs w:val="20"/>
              </w:rPr>
              <w:t>监测因子：（）</w:t>
            </w:r>
          </w:p>
        </w:tc>
        <w:tc>
          <w:tcPr>
            <w:tcW w:w="2716" w:type="dxa"/>
            <w:gridSpan w:val="2"/>
            <w:vAlign w:val="center"/>
          </w:tcPr>
          <w:p>
            <w:pPr>
              <w:pStyle w:val="45"/>
              <w:rPr>
                <w:kern w:val="0"/>
                <w:szCs w:val="20"/>
              </w:rPr>
            </w:pPr>
            <w:r>
              <w:rPr>
                <w:kern w:val="0"/>
                <w:szCs w:val="20"/>
              </w:rPr>
              <w:t>监测点位数（）</w:t>
            </w:r>
          </w:p>
        </w:tc>
        <w:tc>
          <w:tcPr>
            <w:tcW w:w="1495" w:type="dxa"/>
            <w:gridSpan w:val="2"/>
            <w:vAlign w:val="center"/>
          </w:tcPr>
          <w:p>
            <w:pPr>
              <w:pStyle w:val="45"/>
              <w:rPr>
                <w:kern w:val="0"/>
                <w:szCs w:val="20"/>
              </w:rPr>
            </w:pPr>
            <w:r>
              <w:rPr>
                <w:kern w:val="0"/>
                <w:szCs w:val="20"/>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restart"/>
            <w:vAlign w:val="center"/>
          </w:tcPr>
          <w:p>
            <w:pPr>
              <w:pStyle w:val="45"/>
              <w:rPr>
                <w:kern w:val="0"/>
                <w:szCs w:val="20"/>
              </w:rPr>
            </w:pPr>
            <w:r>
              <w:rPr>
                <w:kern w:val="0"/>
                <w:szCs w:val="20"/>
              </w:rPr>
              <w:t>评价结论</w:t>
            </w:r>
          </w:p>
        </w:tc>
        <w:tc>
          <w:tcPr>
            <w:tcW w:w="1633" w:type="dxa"/>
            <w:vAlign w:val="center"/>
          </w:tcPr>
          <w:p>
            <w:pPr>
              <w:pStyle w:val="45"/>
              <w:rPr>
                <w:kern w:val="0"/>
                <w:szCs w:val="20"/>
              </w:rPr>
            </w:pPr>
            <w:r>
              <w:rPr>
                <w:kern w:val="0"/>
                <w:szCs w:val="20"/>
              </w:rPr>
              <w:t>环境影响</w:t>
            </w:r>
          </w:p>
        </w:tc>
        <w:tc>
          <w:tcPr>
            <w:tcW w:w="6886" w:type="dxa"/>
            <w:gridSpan w:val="9"/>
            <w:vAlign w:val="center"/>
          </w:tcPr>
          <w:p>
            <w:pPr>
              <w:pStyle w:val="45"/>
              <w:rPr>
                <w:kern w:val="0"/>
                <w:szCs w:val="20"/>
              </w:rPr>
            </w:pPr>
            <w:r>
              <w:rPr>
                <w:kern w:val="0"/>
                <w:szCs w:val="20"/>
              </w:rPr>
              <w:t>可以接受 √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大气环境防护距离</w:t>
            </w:r>
          </w:p>
        </w:tc>
        <w:tc>
          <w:tcPr>
            <w:tcW w:w="6886" w:type="dxa"/>
            <w:gridSpan w:val="9"/>
            <w:vAlign w:val="center"/>
          </w:tcPr>
          <w:p>
            <w:pPr>
              <w:pStyle w:val="45"/>
              <w:rPr>
                <w:kern w:val="0"/>
                <w:szCs w:val="20"/>
              </w:rPr>
            </w:pPr>
            <w:r>
              <w:rPr>
                <w:kern w:val="0"/>
                <w:szCs w:val="20"/>
              </w:rPr>
              <w:t>距（    )厂界最远（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768" w:type="dxa"/>
            <w:vMerge w:val="continue"/>
            <w:vAlign w:val="center"/>
          </w:tcPr>
          <w:p>
            <w:pPr>
              <w:pStyle w:val="45"/>
              <w:rPr>
                <w:kern w:val="0"/>
                <w:szCs w:val="20"/>
              </w:rPr>
            </w:pPr>
          </w:p>
        </w:tc>
        <w:tc>
          <w:tcPr>
            <w:tcW w:w="1633" w:type="dxa"/>
            <w:vAlign w:val="center"/>
          </w:tcPr>
          <w:p>
            <w:pPr>
              <w:pStyle w:val="45"/>
              <w:rPr>
                <w:kern w:val="0"/>
                <w:szCs w:val="20"/>
              </w:rPr>
            </w:pPr>
            <w:r>
              <w:rPr>
                <w:kern w:val="0"/>
                <w:szCs w:val="20"/>
              </w:rPr>
              <w:t>污染源年排放量</w:t>
            </w:r>
          </w:p>
        </w:tc>
        <w:tc>
          <w:tcPr>
            <w:tcW w:w="2071" w:type="dxa"/>
            <w:gridSpan w:val="4"/>
            <w:vAlign w:val="center"/>
          </w:tcPr>
          <w:p>
            <w:pPr>
              <w:pStyle w:val="45"/>
              <w:rPr>
                <w:kern w:val="0"/>
                <w:szCs w:val="20"/>
              </w:rPr>
            </w:pPr>
            <w:r>
              <w:rPr>
                <w:kern w:val="0"/>
                <w:szCs w:val="20"/>
              </w:rPr>
              <w:t>SO</w:t>
            </w:r>
            <w:r>
              <w:rPr>
                <w:color w:val="000000" w:themeColor="text1"/>
                <w:kern w:val="0"/>
                <w:szCs w:val="20"/>
                <w:vertAlign w:val="subscript"/>
              </w:rPr>
              <w:t>2</w:t>
            </w:r>
            <w:r>
              <w:rPr>
                <w:kern w:val="0"/>
                <w:szCs w:val="20"/>
              </w:rPr>
              <w:t>:(  )t/a</w:t>
            </w:r>
          </w:p>
        </w:tc>
        <w:tc>
          <w:tcPr>
            <w:tcW w:w="1760" w:type="dxa"/>
            <w:gridSpan w:val="2"/>
            <w:vAlign w:val="center"/>
          </w:tcPr>
          <w:p>
            <w:pPr>
              <w:pStyle w:val="45"/>
              <w:rPr>
                <w:kern w:val="0"/>
                <w:szCs w:val="20"/>
              </w:rPr>
            </w:pPr>
            <w:r>
              <w:rPr>
                <w:kern w:val="0"/>
                <w:szCs w:val="20"/>
              </w:rPr>
              <w:t>NOx:(  )t/a</w:t>
            </w:r>
          </w:p>
        </w:tc>
        <w:tc>
          <w:tcPr>
            <w:tcW w:w="1560" w:type="dxa"/>
            <w:vAlign w:val="center"/>
          </w:tcPr>
          <w:p>
            <w:pPr>
              <w:pStyle w:val="45"/>
              <w:rPr>
                <w:kern w:val="0"/>
                <w:szCs w:val="20"/>
              </w:rPr>
            </w:pPr>
            <w:r>
              <w:rPr>
                <w:kern w:val="0"/>
                <w:szCs w:val="20"/>
              </w:rPr>
              <w:t>颗粒物:</w:t>
            </w:r>
            <w:r>
              <w:rPr>
                <w:rFonts w:hint="eastAsia"/>
                <w:kern w:val="0"/>
                <w:szCs w:val="20"/>
              </w:rPr>
              <w:t>（0</w:t>
            </w:r>
            <w:r>
              <w:rPr>
                <w:kern w:val="0"/>
                <w:szCs w:val="20"/>
              </w:rPr>
              <w:t>.03518</w:t>
            </w:r>
            <w:r>
              <w:rPr>
                <w:rFonts w:hint="eastAsia"/>
                <w:kern w:val="0"/>
                <w:szCs w:val="20"/>
              </w:rPr>
              <w:t>）</w:t>
            </w:r>
            <w:r>
              <w:rPr>
                <w:kern w:val="0"/>
                <w:szCs w:val="20"/>
              </w:rPr>
              <w:t>t/a</w:t>
            </w:r>
          </w:p>
        </w:tc>
        <w:tc>
          <w:tcPr>
            <w:tcW w:w="1495" w:type="dxa"/>
            <w:gridSpan w:val="2"/>
            <w:vAlign w:val="center"/>
          </w:tcPr>
          <w:p>
            <w:pPr>
              <w:pStyle w:val="45"/>
              <w:rPr>
                <w:kern w:val="0"/>
                <w:szCs w:val="20"/>
              </w:rPr>
            </w:pPr>
            <w:r>
              <w:rPr>
                <w:rFonts w:hint="eastAsia"/>
                <w:kern w:val="0"/>
                <w:szCs w:val="20"/>
              </w:rPr>
              <w:t>油烟</w:t>
            </w:r>
            <w:r>
              <w:rPr>
                <w:kern w:val="0"/>
                <w:szCs w:val="20"/>
              </w:rPr>
              <w:t xml:space="preserve"> ( 0.00466 )t/a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9287" w:type="dxa"/>
            <w:gridSpan w:val="11"/>
            <w:vAlign w:val="center"/>
          </w:tcPr>
          <w:p>
            <w:pPr>
              <w:pStyle w:val="45"/>
              <w:rPr>
                <w:kern w:val="0"/>
                <w:szCs w:val="20"/>
              </w:rPr>
            </w:pPr>
            <w:r>
              <w:rPr>
                <w:kern w:val="0"/>
                <w:szCs w:val="20"/>
              </w:rPr>
              <w:t>注：“□”，填“√”；“（  ）”为内容填写项</w:t>
            </w:r>
          </w:p>
        </w:tc>
      </w:tr>
    </w:tbl>
    <w:p>
      <w:pPr>
        <w:ind w:firstLine="0" w:firstLineChars="0"/>
        <w:rPr>
          <w:rFonts w:cs="Times New Roman"/>
        </w:rPr>
        <w:sectPr>
          <w:pgSz w:w="11906" w:h="16838"/>
          <w:pgMar w:top="1418" w:right="1418" w:bottom="1418" w:left="1797" w:header="851" w:footer="992" w:gutter="0"/>
          <w:cols w:space="425" w:num="1"/>
          <w:docGrid w:type="lines" w:linePitch="312" w:charSpace="0"/>
        </w:sectPr>
      </w:pPr>
    </w:p>
    <w:p>
      <w:pPr>
        <w:pStyle w:val="2"/>
        <w:rPr>
          <w:rFonts w:cs="Times New Roman"/>
        </w:rPr>
      </w:pPr>
      <w:bookmarkStart w:id="29" w:name="_Toc27729851"/>
      <w:r>
        <w:rPr>
          <w:rFonts w:cs="Times New Roman"/>
        </w:rPr>
        <w:t>附表2 建设项目地表水环境影响评价自查表</w:t>
      </w:r>
      <w:bookmarkEnd w:id="29"/>
    </w:p>
    <w:tbl>
      <w:tblPr>
        <w:tblStyle w:val="23"/>
        <w:tblW w:w="13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384"/>
        <w:gridCol w:w="2048"/>
        <w:gridCol w:w="512"/>
        <w:gridCol w:w="854"/>
        <w:gridCol w:w="682"/>
        <w:gridCol w:w="1025"/>
        <w:gridCol w:w="1024"/>
        <w:gridCol w:w="256"/>
        <w:gridCol w:w="427"/>
        <w:gridCol w:w="1365"/>
        <w:gridCol w:w="51"/>
        <w:gridCol w:w="565"/>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377" w:type="dxa"/>
            <w:gridSpan w:val="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工作内容</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restart"/>
            <w:noWrap/>
            <w:textDirection w:val="tbRlV"/>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影响识别</w:t>
            </w: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影响类型</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水污染影响型 √；水文要素影响型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水环境保护目标</w:t>
            </w:r>
          </w:p>
        </w:tc>
        <w:tc>
          <w:tcPr>
            <w:tcW w:w="10242" w:type="dxa"/>
            <w:gridSpan w:val="12"/>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饮用水水源保护区 □；饮用水取水口 □；涉水的自然保护区 □；重要湿地 □；</w:t>
            </w:r>
            <w:r>
              <w:rPr>
                <w:rFonts w:cs="Times New Roman"/>
                <w:color w:val="000000"/>
                <w:kern w:val="0"/>
                <w:sz w:val="20"/>
                <w:szCs w:val="20"/>
                <w:lang w:val="zh-CN"/>
              </w:rPr>
              <w:br w:type="textWrapping"/>
            </w:r>
            <w:r>
              <w:rPr>
                <w:rFonts w:cs="Times New Roman"/>
                <w:color w:val="000000"/>
                <w:kern w:val="0"/>
                <w:sz w:val="20"/>
                <w:szCs w:val="20"/>
                <w:lang w:val="zh-CN"/>
              </w:rPr>
              <w:t>重点保护与珍稀水生生物的栖息地 □；重要水生生物的自然产卵场及索饵场、越冬场和洄游通道、天然渔场等渔业水体 □；涉水的风景名胜区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影响途径</w:t>
            </w: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水污染影响型</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直接排放 □；间接排放√；其他□</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影响因子</w:t>
            </w: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持久性污染物 □；有毒有害污染物 □；非持久性污染物√；pH值 □；热污染 □；富营养化 □；其他 □</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377" w:type="dxa"/>
            <w:gridSpan w:val="2"/>
            <w:vMerge w:val="restart"/>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评价等级</w:t>
            </w:r>
          </w:p>
        </w:tc>
        <w:tc>
          <w:tcPr>
            <w:tcW w:w="5121"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水污染影响型</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377" w:type="dxa"/>
            <w:gridSpan w:val="2"/>
            <w:vMerge w:val="continue"/>
            <w:noWrap/>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5121"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一级 □；二级 □；三级A □；三级B √</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restart"/>
            <w:noWrap/>
            <w:textDirection w:val="tbRlV"/>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现状调查</w:t>
            </w: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区域污染源</w:t>
            </w:r>
          </w:p>
        </w:tc>
        <w:tc>
          <w:tcPr>
            <w:tcW w:w="5121"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调查项目</w:t>
            </w:r>
          </w:p>
        </w:tc>
        <w:tc>
          <w:tcPr>
            <w:tcW w:w="5121" w:type="dxa"/>
            <w:gridSpan w:val="7"/>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560" w:type="dxa"/>
            <w:gridSpan w:val="2"/>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已建 □；在建 □；拟建√ ；其他 □</w:t>
            </w:r>
          </w:p>
        </w:tc>
        <w:tc>
          <w:tcPr>
            <w:tcW w:w="2561" w:type="dxa"/>
            <w:gridSpan w:val="3"/>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拟替代的污染源 □</w:t>
            </w:r>
          </w:p>
        </w:tc>
        <w:tc>
          <w:tcPr>
            <w:tcW w:w="5121" w:type="dxa"/>
            <w:gridSpan w:val="7"/>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排污许可证 □；环评 □；环保验收 □；既有实测√；现场监测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受影响水体水环境质量</w:t>
            </w:r>
          </w:p>
        </w:tc>
        <w:tc>
          <w:tcPr>
            <w:tcW w:w="5121"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调查时期</w:t>
            </w:r>
          </w:p>
        </w:tc>
        <w:tc>
          <w:tcPr>
            <w:tcW w:w="5121" w:type="dxa"/>
            <w:gridSpan w:val="7"/>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丰水期 □；平水期 □；枯水期 □；冰封期 □</w:t>
            </w:r>
            <w:r>
              <w:rPr>
                <w:rFonts w:cs="Times New Roman"/>
                <w:color w:val="000000"/>
                <w:kern w:val="0"/>
                <w:sz w:val="20"/>
                <w:szCs w:val="20"/>
                <w:lang w:val="zh-CN"/>
              </w:rPr>
              <w:br w:type="textWrapping"/>
            </w:r>
            <w:r>
              <w:rPr>
                <w:rFonts w:cs="Times New Roman"/>
                <w:color w:val="000000"/>
                <w:kern w:val="0"/>
                <w:sz w:val="20"/>
                <w:szCs w:val="20"/>
                <w:lang w:val="zh-CN"/>
              </w:rPr>
              <w:t>春季√；夏季□；秋季 □；冬季 □</w:t>
            </w:r>
          </w:p>
        </w:tc>
        <w:tc>
          <w:tcPr>
            <w:tcW w:w="5121" w:type="dxa"/>
            <w:gridSpan w:val="7"/>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生态环境保护主管部门□；补充监测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区域水资源开发利用状况</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未开发 □；开发量40%以下 □；开发量40%以上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水文情势调查</w:t>
            </w:r>
          </w:p>
        </w:tc>
        <w:tc>
          <w:tcPr>
            <w:tcW w:w="5121"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调查时期</w:t>
            </w:r>
          </w:p>
        </w:tc>
        <w:tc>
          <w:tcPr>
            <w:tcW w:w="5121" w:type="dxa"/>
            <w:gridSpan w:val="7"/>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丰水期 □；平水期 □；枯水期 □；冰封期 □</w:t>
            </w:r>
            <w:r>
              <w:rPr>
                <w:rFonts w:cs="Times New Roman"/>
                <w:color w:val="000000"/>
                <w:kern w:val="0"/>
                <w:sz w:val="20"/>
                <w:szCs w:val="20"/>
                <w:lang w:val="zh-CN"/>
              </w:rPr>
              <w:br w:type="textWrapping"/>
            </w:r>
            <w:r>
              <w:rPr>
                <w:rFonts w:cs="Times New Roman"/>
                <w:color w:val="000000"/>
                <w:kern w:val="0"/>
                <w:sz w:val="20"/>
                <w:szCs w:val="20"/>
                <w:lang w:val="zh-CN"/>
              </w:rPr>
              <w:t>春季 □；夏季 □；秋季 □；冬季 □</w:t>
            </w:r>
          </w:p>
        </w:tc>
        <w:tc>
          <w:tcPr>
            <w:tcW w:w="5121" w:type="dxa"/>
            <w:gridSpan w:val="7"/>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补充监测</w:t>
            </w: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监测时期</w:t>
            </w:r>
          </w:p>
        </w:tc>
        <w:tc>
          <w:tcPr>
            <w:tcW w:w="3123"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监测因子</w:t>
            </w:r>
          </w:p>
        </w:tc>
        <w:tc>
          <w:tcPr>
            <w:tcW w:w="1998" w:type="dxa"/>
            <w:gridSpan w:val="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5121" w:type="dxa"/>
            <w:gridSpan w:val="5"/>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丰水期 □；平水期 □；枯水期 □；冰封期 □</w:t>
            </w:r>
            <w:r>
              <w:rPr>
                <w:rFonts w:cs="Times New Roman"/>
                <w:color w:val="000000"/>
                <w:kern w:val="0"/>
                <w:sz w:val="20"/>
                <w:szCs w:val="20"/>
                <w:lang w:val="zh-CN"/>
              </w:rPr>
              <w:br w:type="textWrapping"/>
            </w:r>
            <w:r>
              <w:rPr>
                <w:rFonts w:cs="Times New Roman"/>
                <w:color w:val="000000"/>
                <w:kern w:val="0"/>
                <w:sz w:val="20"/>
                <w:szCs w:val="20"/>
                <w:lang w:val="zh-CN"/>
              </w:rPr>
              <w:t>春季 □；夏季 □；秋季 □；冬季 □</w:t>
            </w:r>
          </w:p>
        </w:tc>
        <w:tc>
          <w:tcPr>
            <w:tcW w:w="3123" w:type="dxa"/>
            <w:gridSpan w:val="5"/>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   ）</w:t>
            </w:r>
          </w:p>
        </w:tc>
        <w:tc>
          <w:tcPr>
            <w:tcW w:w="1998" w:type="dxa"/>
            <w:gridSpan w:val="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监测断面或点位个数（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restart"/>
            <w:noWrap/>
            <w:textDirection w:val="tbRlV"/>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现状评价</w:t>
            </w: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评价范围</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河流：长度（   ）km；湖库、河口及近岸海域：面积（   ）km</w:t>
            </w:r>
            <w:r>
              <w:rPr>
                <w:rFonts w:cs="Times New Roman"/>
                <w:color w:val="000000"/>
                <w:kern w:val="0"/>
                <w:sz w:val="20"/>
                <w:szCs w:val="20"/>
                <w:vertAlign w:val="super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评价因子</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  水温</w:t>
            </w:r>
            <w:r>
              <w:rPr>
                <w:rFonts w:cs="Times New Roman"/>
                <w:color w:val="000000"/>
                <w:kern w:val="0"/>
                <w:sz w:val="20"/>
                <w:szCs w:val="20"/>
                <w:lang w:val="zh-CN"/>
              </w:rPr>
              <w:tab/>
            </w:r>
            <w:r>
              <w:rPr>
                <w:rFonts w:cs="Times New Roman"/>
                <w:color w:val="000000"/>
                <w:kern w:val="0"/>
                <w:sz w:val="20"/>
                <w:szCs w:val="20"/>
                <w:lang w:val="zh-CN"/>
              </w:rPr>
              <w:t>PH</w:t>
            </w:r>
            <w:r>
              <w:rPr>
                <w:rFonts w:cs="Times New Roman"/>
                <w:color w:val="000000"/>
                <w:kern w:val="0"/>
                <w:sz w:val="20"/>
                <w:szCs w:val="20"/>
                <w:lang w:val="zh-CN"/>
              </w:rPr>
              <w:tab/>
            </w:r>
            <w:r>
              <w:rPr>
                <w:rFonts w:cs="Times New Roman"/>
                <w:color w:val="000000"/>
                <w:kern w:val="0"/>
                <w:sz w:val="20"/>
                <w:szCs w:val="20"/>
                <w:lang w:val="zh-CN"/>
              </w:rPr>
              <w:t>DO</w:t>
            </w:r>
            <w:r>
              <w:rPr>
                <w:rFonts w:cs="Times New Roman"/>
                <w:color w:val="000000"/>
                <w:kern w:val="0"/>
                <w:sz w:val="20"/>
                <w:szCs w:val="20"/>
                <w:lang w:val="zh-CN"/>
              </w:rPr>
              <w:tab/>
            </w:r>
            <w:r>
              <w:rPr>
                <w:rFonts w:cs="Times New Roman"/>
                <w:color w:val="000000"/>
                <w:kern w:val="0"/>
                <w:sz w:val="20"/>
                <w:szCs w:val="20"/>
                <w:lang w:val="zh-CN"/>
              </w:rPr>
              <w:t>BOD</w:t>
            </w:r>
            <w:r>
              <w:rPr>
                <w:rFonts w:cs="Times New Roman"/>
                <w:color w:val="000000"/>
                <w:kern w:val="0"/>
                <w:sz w:val="20"/>
                <w:szCs w:val="20"/>
                <w:vertAlign w:val="subscript"/>
                <w:lang w:val="zh-CN"/>
              </w:rPr>
              <w:t>5</w:t>
            </w:r>
            <w:r>
              <w:rPr>
                <w:rFonts w:cs="Times New Roman"/>
                <w:color w:val="000000"/>
                <w:kern w:val="0"/>
                <w:sz w:val="20"/>
                <w:szCs w:val="20"/>
                <w:lang w:val="zh-CN"/>
              </w:rPr>
              <w:tab/>
            </w:r>
            <w:r>
              <w:rPr>
                <w:rFonts w:cs="Times New Roman"/>
                <w:color w:val="000000"/>
                <w:kern w:val="0"/>
                <w:sz w:val="20"/>
                <w:szCs w:val="20"/>
                <w:lang w:val="zh-CN"/>
              </w:rPr>
              <w:t>CODcr</w:t>
            </w:r>
            <w:r>
              <w:rPr>
                <w:rFonts w:cs="Times New Roman"/>
                <w:color w:val="000000"/>
                <w:kern w:val="0"/>
                <w:sz w:val="20"/>
                <w:szCs w:val="20"/>
                <w:lang w:val="zh-CN"/>
              </w:rPr>
              <w:tab/>
            </w:r>
            <w:r>
              <w:rPr>
                <w:rFonts w:cs="Times New Roman"/>
                <w:color w:val="000000"/>
                <w:kern w:val="0"/>
                <w:sz w:val="20"/>
                <w:szCs w:val="20"/>
                <w:lang w:val="zh-CN"/>
              </w:rPr>
              <w:t>COD</w:t>
            </w:r>
            <w:r>
              <w:rPr>
                <w:rFonts w:cs="Times New Roman"/>
                <w:color w:val="000000"/>
                <w:kern w:val="0"/>
                <w:sz w:val="20"/>
                <w:szCs w:val="20"/>
                <w:vertAlign w:val="subscript"/>
                <w:lang w:val="zh-CN"/>
              </w:rPr>
              <w:t>Mn</w:t>
            </w:r>
            <w:r>
              <w:rPr>
                <w:rFonts w:cs="Times New Roman"/>
                <w:color w:val="000000"/>
                <w:kern w:val="0"/>
                <w:sz w:val="20"/>
                <w:szCs w:val="20"/>
                <w:lang w:val="zh-CN"/>
              </w:rPr>
              <w:tab/>
            </w:r>
            <w:r>
              <w:rPr>
                <w:rFonts w:cs="Times New Roman"/>
                <w:color w:val="000000"/>
                <w:kern w:val="0"/>
                <w:sz w:val="20"/>
                <w:szCs w:val="20"/>
                <w:lang w:val="zh-CN"/>
              </w:rPr>
              <w:t>氨氮</w:t>
            </w:r>
            <w:r>
              <w:rPr>
                <w:rFonts w:cs="Times New Roman"/>
                <w:color w:val="000000"/>
                <w:kern w:val="0"/>
                <w:sz w:val="20"/>
                <w:szCs w:val="20"/>
                <w:lang w:val="zh-CN"/>
              </w:rPr>
              <w:tab/>
            </w:r>
            <w:r>
              <w:rPr>
                <w:rFonts w:cs="Times New Roman"/>
                <w:color w:val="000000"/>
                <w:kern w:val="0"/>
                <w:sz w:val="20"/>
                <w:szCs w:val="20"/>
                <w:lang w:val="zh-CN"/>
              </w:rPr>
              <w:t xml:space="preserve"> 总磷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评价标准</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河流、湖库、河口：</w:t>
            </w:r>
            <w:r>
              <w:rPr>
                <w:rFonts w:hint="eastAsia" w:ascii="宋体" w:hAnsi="宋体" w:cs="宋体"/>
                <w:color w:val="000000"/>
                <w:kern w:val="0"/>
                <w:sz w:val="20"/>
                <w:szCs w:val="20"/>
                <w:lang w:val="zh-CN"/>
              </w:rPr>
              <w:t>Ⅰ</w:t>
            </w:r>
            <w:r>
              <w:rPr>
                <w:rFonts w:cs="Times New Roman"/>
                <w:color w:val="000000"/>
                <w:kern w:val="0"/>
                <w:sz w:val="20"/>
                <w:szCs w:val="20"/>
                <w:lang w:val="zh-CN"/>
              </w:rPr>
              <w:t>类 □；</w:t>
            </w:r>
            <w:r>
              <w:rPr>
                <w:rFonts w:hint="eastAsia" w:ascii="宋体" w:hAnsi="宋体" w:cs="宋体"/>
                <w:color w:val="000000"/>
                <w:kern w:val="0"/>
                <w:sz w:val="20"/>
                <w:szCs w:val="20"/>
                <w:lang w:val="zh-CN"/>
              </w:rPr>
              <w:t>Ⅱ</w:t>
            </w:r>
            <w:r>
              <w:rPr>
                <w:rFonts w:cs="Times New Roman"/>
                <w:color w:val="000000"/>
                <w:kern w:val="0"/>
                <w:sz w:val="20"/>
                <w:szCs w:val="20"/>
                <w:lang w:val="zh-CN"/>
              </w:rPr>
              <w:t>类√；</w:t>
            </w:r>
            <w:r>
              <w:rPr>
                <w:rFonts w:hint="eastAsia" w:ascii="宋体" w:hAnsi="宋体" w:cs="宋体"/>
                <w:color w:val="000000"/>
                <w:kern w:val="0"/>
                <w:sz w:val="20"/>
                <w:szCs w:val="20"/>
                <w:lang w:val="zh-CN"/>
              </w:rPr>
              <w:t>Ⅲ</w:t>
            </w:r>
            <w:r>
              <w:rPr>
                <w:rFonts w:cs="Times New Roman"/>
                <w:color w:val="000000"/>
                <w:kern w:val="0"/>
                <w:sz w:val="20"/>
                <w:szCs w:val="20"/>
                <w:lang w:val="zh-CN"/>
              </w:rPr>
              <w:t>类√；</w:t>
            </w:r>
            <w:r>
              <w:rPr>
                <w:rFonts w:hint="eastAsia" w:ascii="宋体" w:hAnsi="宋体" w:cs="宋体"/>
                <w:color w:val="000000"/>
                <w:kern w:val="0"/>
                <w:sz w:val="20"/>
                <w:szCs w:val="20"/>
                <w:lang w:val="zh-CN"/>
              </w:rPr>
              <w:t>Ⅳ</w:t>
            </w:r>
            <w:r>
              <w:rPr>
                <w:rFonts w:cs="Times New Roman"/>
                <w:color w:val="000000"/>
                <w:kern w:val="0"/>
                <w:sz w:val="20"/>
                <w:szCs w:val="20"/>
                <w:lang w:val="zh-CN"/>
              </w:rPr>
              <w:t>类 □；</w:t>
            </w:r>
            <w:r>
              <w:rPr>
                <w:rFonts w:hint="eastAsia" w:ascii="宋体" w:hAnsi="宋体" w:cs="宋体"/>
                <w:color w:val="000000"/>
                <w:kern w:val="0"/>
                <w:sz w:val="20"/>
                <w:szCs w:val="20"/>
                <w:lang w:val="zh-CN"/>
              </w:rPr>
              <w:t>Ⅴ</w:t>
            </w:r>
            <w:r>
              <w:rPr>
                <w:rFonts w:cs="Times New Roman"/>
                <w:color w:val="000000"/>
                <w:kern w:val="0"/>
                <w:sz w:val="20"/>
                <w:szCs w:val="20"/>
                <w:lang w:val="zh-CN"/>
              </w:rPr>
              <w:t>类 □</w:t>
            </w:r>
          </w:p>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近岸海域：第一类 □；第二类 □；第三类□；第四类 □</w:t>
            </w:r>
          </w:p>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评价时期</w:t>
            </w:r>
          </w:p>
        </w:tc>
        <w:tc>
          <w:tcPr>
            <w:tcW w:w="10242" w:type="dxa"/>
            <w:gridSpan w:val="12"/>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丰水期 □；平水期 □；枯水期 □；冰封期 □</w:t>
            </w:r>
            <w:r>
              <w:rPr>
                <w:rFonts w:cs="Times New Roman"/>
                <w:color w:val="000000"/>
                <w:kern w:val="0"/>
                <w:sz w:val="20"/>
                <w:szCs w:val="20"/>
                <w:lang w:val="zh-CN"/>
              </w:rPr>
              <w:br w:type="textWrapping"/>
            </w:r>
            <w:r>
              <w:rPr>
                <w:rFonts w:cs="Times New Roman"/>
                <w:color w:val="000000"/>
                <w:kern w:val="0"/>
                <w:sz w:val="20"/>
                <w:szCs w:val="20"/>
                <w:lang w:val="zh-CN"/>
              </w:rPr>
              <w:t>春季 □；夏季 □；秋季 □；冬季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评价结论</w:t>
            </w:r>
          </w:p>
        </w:tc>
        <w:tc>
          <w:tcPr>
            <w:tcW w:w="8809" w:type="dxa"/>
            <w:gridSpan w:val="11"/>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水环境功能区或水功能区、近岸海域环境功能区水质达标状况：达标□；不达标√</w:t>
            </w:r>
            <w:r>
              <w:rPr>
                <w:rFonts w:cs="Times New Roman"/>
                <w:color w:val="000000"/>
                <w:kern w:val="0"/>
                <w:sz w:val="20"/>
                <w:szCs w:val="20"/>
                <w:lang w:val="zh-CN"/>
              </w:rPr>
              <w:br w:type="textWrapping"/>
            </w:r>
            <w:r>
              <w:rPr>
                <w:rFonts w:cs="Times New Roman"/>
                <w:color w:val="000000"/>
                <w:kern w:val="0"/>
                <w:sz w:val="20"/>
                <w:szCs w:val="20"/>
                <w:lang w:val="zh-CN"/>
              </w:rPr>
              <w:t>水环境控制单元或断面水质达标状况 □：达标 □；不达标 □</w:t>
            </w:r>
            <w:r>
              <w:rPr>
                <w:rFonts w:cs="Times New Roman"/>
                <w:color w:val="000000"/>
                <w:kern w:val="0"/>
                <w:sz w:val="20"/>
                <w:szCs w:val="20"/>
                <w:lang w:val="zh-CN"/>
              </w:rPr>
              <w:br w:type="textWrapping"/>
            </w:r>
            <w:r>
              <w:rPr>
                <w:rFonts w:cs="Times New Roman"/>
                <w:color w:val="000000"/>
                <w:kern w:val="0"/>
                <w:sz w:val="20"/>
                <w:szCs w:val="20"/>
                <w:lang w:val="zh-CN"/>
              </w:rPr>
              <w:t>水环境保护目标质量状况 □：达标 □；不达标 □</w:t>
            </w:r>
            <w:r>
              <w:rPr>
                <w:rFonts w:cs="Times New Roman"/>
                <w:color w:val="000000"/>
                <w:kern w:val="0"/>
                <w:sz w:val="20"/>
                <w:szCs w:val="20"/>
                <w:lang w:val="zh-CN"/>
              </w:rPr>
              <w:br w:type="textWrapping"/>
            </w:r>
            <w:r>
              <w:rPr>
                <w:rFonts w:cs="Times New Roman"/>
                <w:color w:val="000000"/>
                <w:kern w:val="0"/>
                <w:sz w:val="20"/>
                <w:szCs w:val="20"/>
                <w:lang w:val="zh-CN"/>
              </w:rPr>
              <w:t>对照断面、控制断面等代表性断面的水质状况 □：达标 □；不达标 □</w:t>
            </w:r>
          </w:p>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底泥污染评价 □</w:t>
            </w:r>
            <w:r>
              <w:rPr>
                <w:rFonts w:cs="Times New Roman"/>
                <w:color w:val="000000"/>
                <w:kern w:val="0"/>
                <w:sz w:val="20"/>
                <w:szCs w:val="20"/>
                <w:lang w:val="zh-CN"/>
              </w:rPr>
              <w:br w:type="textWrapping"/>
            </w:r>
            <w:r>
              <w:rPr>
                <w:rFonts w:cs="Times New Roman"/>
                <w:color w:val="000000"/>
                <w:kern w:val="0"/>
                <w:sz w:val="20"/>
                <w:szCs w:val="20"/>
                <w:lang w:val="zh-CN"/>
              </w:rPr>
              <w:t>水资源与开发利用程度及其水文情势评价 □</w:t>
            </w:r>
            <w:r>
              <w:rPr>
                <w:rFonts w:cs="Times New Roman"/>
                <w:color w:val="000000"/>
                <w:kern w:val="0"/>
                <w:sz w:val="20"/>
                <w:szCs w:val="20"/>
                <w:lang w:val="zh-CN"/>
              </w:rPr>
              <w:br w:type="textWrapping"/>
            </w:r>
            <w:r>
              <w:rPr>
                <w:rFonts w:cs="Times New Roman"/>
                <w:color w:val="000000"/>
                <w:kern w:val="0"/>
                <w:sz w:val="20"/>
                <w:szCs w:val="20"/>
                <w:lang w:val="zh-CN"/>
              </w:rPr>
              <w:t>水环境质量回顾评价 □</w:t>
            </w:r>
            <w:r>
              <w:rPr>
                <w:rFonts w:cs="Times New Roman"/>
                <w:color w:val="000000"/>
                <w:kern w:val="0"/>
                <w:sz w:val="20"/>
                <w:szCs w:val="20"/>
                <w:lang w:val="zh-CN"/>
              </w:rPr>
              <w:br w:type="textWrapping"/>
            </w:r>
            <w:r>
              <w:rPr>
                <w:rFonts w:cs="Times New Roman"/>
                <w:color w:val="000000"/>
                <w:kern w:val="0"/>
                <w:sz w:val="20"/>
                <w:szCs w:val="20"/>
                <w:lang w:val="zh-CN"/>
              </w:rPr>
              <w:t>流域（区域）水资源（包括水能资源）与开发利用总体状况、生态流量管理要求与现状满足程度、建设项目占用水域空间的水流状况与河湖演变状况 □</w:t>
            </w:r>
          </w:p>
        </w:tc>
        <w:tc>
          <w:tcPr>
            <w:tcW w:w="1433"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达标区 □</w:t>
            </w:r>
          </w:p>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restart"/>
            <w:noWrap/>
            <w:textDirection w:val="tbRlV"/>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影响预测</w:t>
            </w: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预测范围</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河流：长度（   ）km；湖库、河口及近岸海域：面积（   ）km</w:t>
            </w:r>
            <w:r>
              <w:rPr>
                <w:rFonts w:cs="Times New Roman"/>
                <w:color w:val="000000"/>
                <w:kern w:val="0"/>
                <w:sz w:val="20"/>
                <w:szCs w:val="20"/>
                <w:vertAlign w:val="super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预测因子</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预测时期</w:t>
            </w:r>
          </w:p>
        </w:tc>
        <w:tc>
          <w:tcPr>
            <w:tcW w:w="10242" w:type="dxa"/>
            <w:gridSpan w:val="12"/>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丰水期 □；平水期 □；枯水期 □；冰封期 □</w:t>
            </w:r>
            <w:r>
              <w:rPr>
                <w:rFonts w:cs="Times New Roman"/>
                <w:color w:val="000000"/>
                <w:kern w:val="0"/>
                <w:sz w:val="20"/>
                <w:szCs w:val="20"/>
                <w:lang w:val="zh-CN"/>
              </w:rPr>
              <w:br w:type="textWrapping"/>
            </w:r>
            <w:r>
              <w:rPr>
                <w:rFonts w:cs="Times New Roman"/>
                <w:color w:val="000000"/>
                <w:kern w:val="0"/>
                <w:sz w:val="20"/>
                <w:szCs w:val="20"/>
                <w:lang w:val="zh-CN"/>
              </w:rPr>
              <w:t>春季 □；夏季 □；秋季 □；冬季 □</w:t>
            </w:r>
            <w:r>
              <w:rPr>
                <w:rFonts w:cs="Times New Roman"/>
                <w:color w:val="000000"/>
                <w:kern w:val="0"/>
                <w:sz w:val="20"/>
                <w:szCs w:val="20"/>
                <w:lang w:val="zh-CN"/>
              </w:rPr>
              <w:br w:type="textWrapping"/>
            </w:r>
            <w:r>
              <w:rPr>
                <w:rFonts w:cs="Times New Roman"/>
                <w:color w:val="000000"/>
                <w:kern w:val="0"/>
                <w:sz w:val="20"/>
                <w:szCs w:val="20"/>
                <w:lang w:val="zh-CN"/>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0"/>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预测情景</w:t>
            </w:r>
          </w:p>
        </w:tc>
        <w:tc>
          <w:tcPr>
            <w:tcW w:w="10242" w:type="dxa"/>
            <w:gridSpan w:val="12"/>
            <w:vAlign w:val="center"/>
          </w:tcPr>
          <w:p>
            <w:pPr>
              <w:adjustRightInd w:val="0"/>
              <w:snapToGrid w:val="0"/>
              <w:spacing w:line="240" w:lineRule="auto"/>
              <w:ind w:firstLine="420" w:firstLineChars="0"/>
              <w:jc w:val="center"/>
              <w:rPr>
                <w:rFonts w:cs="Times New Roman"/>
                <w:color w:val="000000"/>
                <w:kern w:val="0"/>
                <w:sz w:val="20"/>
                <w:szCs w:val="20"/>
                <w:lang w:val="zh-CN"/>
              </w:rPr>
            </w:pPr>
            <w:r>
              <w:rPr>
                <w:rFonts w:cs="Times New Roman"/>
                <w:color w:val="000000"/>
                <w:kern w:val="0"/>
                <w:sz w:val="20"/>
                <w:szCs w:val="20"/>
                <w:lang w:val="zh-CN"/>
              </w:rPr>
              <w:t>建设期 □；生产运行期 □；服务期满后 □</w:t>
            </w:r>
            <w:r>
              <w:rPr>
                <w:rFonts w:cs="Times New Roman"/>
                <w:color w:val="000000"/>
                <w:kern w:val="0"/>
                <w:sz w:val="20"/>
                <w:szCs w:val="20"/>
                <w:lang w:val="zh-CN"/>
              </w:rPr>
              <w:br w:type="textWrapping"/>
            </w:r>
            <w:r>
              <w:rPr>
                <w:rFonts w:cs="Times New Roman"/>
                <w:color w:val="000000"/>
                <w:kern w:val="0"/>
                <w:sz w:val="20"/>
                <w:szCs w:val="20"/>
                <w:lang w:val="zh-CN"/>
              </w:rPr>
              <w:t>正常工况 □；非正常工况 □</w:t>
            </w:r>
            <w:r>
              <w:rPr>
                <w:rFonts w:cs="Times New Roman"/>
                <w:color w:val="000000"/>
                <w:kern w:val="0"/>
                <w:sz w:val="20"/>
                <w:szCs w:val="20"/>
                <w:lang w:val="zh-CN"/>
              </w:rPr>
              <w:br w:type="textWrapping"/>
            </w:r>
            <w:r>
              <w:rPr>
                <w:rFonts w:cs="Times New Roman"/>
                <w:color w:val="000000"/>
                <w:kern w:val="0"/>
                <w:sz w:val="20"/>
                <w:szCs w:val="20"/>
                <w:lang w:val="zh-CN"/>
              </w:rPr>
              <w:t>污染控制和减缓措施方案 □</w:t>
            </w:r>
            <w:r>
              <w:rPr>
                <w:rFonts w:cs="Times New Roman"/>
                <w:color w:val="000000"/>
                <w:kern w:val="0"/>
                <w:sz w:val="20"/>
                <w:szCs w:val="20"/>
                <w:lang w:val="zh-CN"/>
              </w:rPr>
              <w:br w:type="textWrapping"/>
            </w:r>
            <w:r>
              <w:rPr>
                <w:rFonts w:cs="Times New Roman"/>
                <w:color w:val="000000"/>
                <w:kern w:val="0"/>
                <w:sz w:val="20"/>
                <w:szCs w:val="20"/>
                <w:lang w:val="zh-CN"/>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预测方法</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数值解 □：解析解 □；其他 □</w:t>
            </w:r>
          </w:p>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93" w:type="dxa"/>
            <w:vMerge w:val="restart"/>
            <w:noWrap/>
            <w:textDirection w:val="tbRlV"/>
            <w:vAlign w:val="center"/>
          </w:tcPr>
          <w:p>
            <w:pPr>
              <w:adjustRightInd w:val="0"/>
              <w:snapToGrid w:val="0"/>
              <w:spacing w:line="240" w:lineRule="auto"/>
              <w:ind w:firstLine="0" w:firstLineChars="0"/>
              <w:jc w:val="center"/>
              <w:rPr>
                <w:rFonts w:cs="Times New Roman"/>
                <w:color w:val="000000"/>
                <w:kern w:val="0"/>
                <w:sz w:val="20"/>
                <w:szCs w:val="24"/>
                <w:lang w:val="zh-CN"/>
              </w:rPr>
            </w:pPr>
            <w:r>
              <w:rPr>
                <w:rFonts w:cs="Times New Roman"/>
                <w:color w:val="000000"/>
                <w:kern w:val="0"/>
                <w:sz w:val="20"/>
                <w:szCs w:val="24"/>
                <w:lang w:val="zh-CN"/>
              </w:rPr>
              <w:t>影响评价</w:t>
            </w: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水污染控制和水环境影响减缓措施有效性评价</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区（流）域水环境质量改善目标 □；替代削减源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水环境影响评价</w:t>
            </w:r>
          </w:p>
        </w:tc>
        <w:tc>
          <w:tcPr>
            <w:tcW w:w="10242" w:type="dxa"/>
            <w:gridSpan w:val="12"/>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排放口混合区外满足水环境管理要求 □</w:t>
            </w:r>
            <w:r>
              <w:rPr>
                <w:rFonts w:cs="Times New Roman"/>
                <w:color w:val="000000"/>
                <w:kern w:val="0"/>
                <w:sz w:val="20"/>
                <w:szCs w:val="24"/>
                <w:lang w:val="zh-CN"/>
              </w:rPr>
              <w:br w:type="textWrapping"/>
            </w:r>
            <w:r>
              <w:rPr>
                <w:rFonts w:cs="Times New Roman"/>
                <w:color w:val="000000"/>
                <w:kern w:val="0"/>
                <w:sz w:val="20"/>
                <w:szCs w:val="24"/>
                <w:lang w:val="zh-CN"/>
              </w:rPr>
              <w:t>水环境功能区或水功能区、近岸海域环境功能区水质达标 □</w:t>
            </w:r>
            <w:r>
              <w:rPr>
                <w:rFonts w:cs="Times New Roman"/>
                <w:color w:val="000000"/>
                <w:kern w:val="0"/>
                <w:sz w:val="20"/>
                <w:szCs w:val="24"/>
                <w:lang w:val="zh-CN"/>
              </w:rPr>
              <w:br w:type="textWrapping"/>
            </w:r>
            <w:r>
              <w:rPr>
                <w:rFonts w:cs="Times New Roman"/>
                <w:color w:val="000000"/>
                <w:kern w:val="0"/>
                <w:sz w:val="20"/>
                <w:szCs w:val="24"/>
                <w:lang w:val="zh-CN"/>
              </w:rPr>
              <w:t>满足水环境保护目标水域水环境质量要求 □</w:t>
            </w:r>
            <w:r>
              <w:rPr>
                <w:rFonts w:cs="Times New Roman"/>
                <w:color w:val="000000"/>
                <w:kern w:val="0"/>
                <w:sz w:val="20"/>
                <w:szCs w:val="24"/>
                <w:lang w:val="zh-CN"/>
              </w:rPr>
              <w:br w:type="textWrapping"/>
            </w:r>
            <w:r>
              <w:rPr>
                <w:rFonts w:cs="Times New Roman"/>
                <w:color w:val="000000"/>
                <w:kern w:val="0"/>
                <w:sz w:val="20"/>
                <w:szCs w:val="24"/>
                <w:lang w:val="zh-CN"/>
              </w:rPr>
              <w:t>水环境控制单元或断面水质达标 □</w:t>
            </w:r>
            <w:r>
              <w:rPr>
                <w:rFonts w:cs="Times New Roman"/>
                <w:color w:val="000000"/>
                <w:kern w:val="0"/>
                <w:sz w:val="20"/>
                <w:szCs w:val="24"/>
                <w:lang w:val="zh-CN"/>
              </w:rPr>
              <w:br w:type="textWrapping"/>
            </w:r>
            <w:r>
              <w:rPr>
                <w:rFonts w:cs="Times New Roman"/>
                <w:color w:val="000000"/>
                <w:kern w:val="0"/>
                <w:sz w:val="20"/>
                <w:szCs w:val="24"/>
                <w:lang w:val="zh-CN"/>
              </w:rPr>
              <w:t>满足重点水污染物排放总量控制指标要求，重点行业建设项目， 主要污染物排放满足等量或减量替代要求 □</w:t>
            </w:r>
          </w:p>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满足区（流）域水环境质量改善目标要求 □</w:t>
            </w:r>
            <w:r>
              <w:rPr>
                <w:rFonts w:cs="Times New Roman"/>
                <w:color w:val="000000"/>
                <w:kern w:val="0"/>
                <w:sz w:val="20"/>
                <w:szCs w:val="24"/>
                <w:lang w:val="zh-CN"/>
              </w:rPr>
              <w:br w:type="textWrapping"/>
            </w:r>
            <w:r>
              <w:rPr>
                <w:rFonts w:cs="Times New Roman"/>
                <w:color w:val="000000"/>
                <w:kern w:val="0"/>
                <w:sz w:val="20"/>
                <w:szCs w:val="24"/>
                <w:lang w:val="zh-CN"/>
              </w:rPr>
              <w:t>水文要素影响型建设项目同时应包括水文情势变化评价、主要水文特征值影响评价、生态流量符合性评价 □</w:t>
            </w:r>
            <w:r>
              <w:rPr>
                <w:rFonts w:cs="Times New Roman"/>
                <w:color w:val="000000"/>
                <w:kern w:val="0"/>
                <w:sz w:val="20"/>
                <w:szCs w:val="24"/>
                <w:lang w:val="zh-CN"/>
              </w:rPr>
              <w:br w:type="textWrapping"/>
            </w:r>
            <w:r>
              <w:rPr>
                <w:rFonts w:cs="Times New Roman"/>
                <w:color w:val="000000"/>
                <w:kern w:val="0"/>
                <w:sz w:val="20"/>
                <w:szCs w:val="24"/>
                <w:lang w:val="zh-CN"/>
              </w:rPr>
              <w:t>对于新设或调整入河（湖库、近岸海域）排放口的建设项目，应包括排放口设置的环境合理性评价 □</w:t>
            </w:r>
            <w:r>
              <w:rPr>
                <w:rFonts w:cs="Times New Roman"/>
                <w:color w:val="000000"/>
                <w:kern w:val="0"/>
                <w:sz w:val="20"/>
                <w:szCs w:val="24"/>
                <w:lang w:val="zh-CN"/>
              </w:rPr>
              <w:br w:type="textWrapping"/>
            </w:r>
            <w:r>
              <w:rPr>
                <w:rFonts w:cs="Times New Roman"/>
                <w:color w:val="000000"/>
                <w:kern w:val="0"/>
                <w:sz w:val="20"/>
                <w:szCs w:val="24"/>
                <w:lang w:val="zh-CN"/>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污染源排放量核算</w:t>
            </w:r>
          </w:p>
        </w:tc>
        <w:tc>
          <w:tcPr>
            <w:tcW w:w="3414" w:type="dxa"/>
            <w:gridSpan w:val="3"/>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污染物名称</w:t>
            </w:r>
          </w:p>
        </w:tc>
        <w:tc>
          <w:tcPr>
            <w:tcW w:w="3414"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排放量/（t/a）</w:t>
            </w:r>
          </w:p>
        </w:tc>
        <w:tc>
          <w:tcPr>
            <w:tcW w:w="3414" w:type="dxa"/>
            <w:gridSpan w:val="4"/>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3414" w:type="dxa"/>
            <w:gridSpan w:val="3"/>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3414"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3414" w:type="dxa"/>
            <w:gridSpan w:val="4"/>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替代源排放情况</w:t>
            </w:r>
          </w:p>
        </w:tc>
        <w:tc>
          <w:tcPr>
            <w:tcW w:w="2048" w:type="dxa"/>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污染源名称</w:t>
            </w:r>
          </w:p>
        </w:tc>
        <w:tc>
          <w:tcPr>
            <w:tcW w:w="2048"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排污许可证编号</w:t>
            </w:r>
          </w:p>
        </w:tc>
        <w:tc>
          <w:tcPr>
            <w:tcW w:w="2049" w:type="dxa"/>
            <w:gridSpan w:val="2"/>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污染物名称</w:t>
            </w:r>
          </w:p>
        </w:tc>
        <w:tc>
          <w:tcPr>
            <w:tcW w:w="2048"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排放量/（t/a）</w:t>
            </w:r>
          </w:p>
        </w:tc>
        <w:tc>
          <w:tcPr>
            <w:tcW w:w="2049"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048" w:type="dxa"/>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2048"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2049" w:type="dxa"/>
            <w:gridSpan w:val="2"/>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2048"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2049" w:type="dxa"/>
            <w:gridSpan w:val="3"/>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生态流量确定</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生态流量：一般水期（   ）m</w:t>
            </w:r>
            <w:r>
              <w:rPr>
                <w:rFonts w:cs="Times New Roman"/>
                <w:color w:val="000000"/>
                <w:kern w:val="0"/>
                <w:sz w:val="20"/>
                <w:szCs w:val="24"/>
                <w:vertAlign w:val="superscript"/>
                <w:lang w:val="zh-CN"/>
              </w:rPr>
              <w:t>3</w:t>
            </w:r>
            <w:r>
              <w:rPr>
                <w:rFonts w:cs="Times New Roman"/>
                <w:color w:val="000000"/>
                <w:kern w:val="0"/>
                <w:sz w:val="20"/>
                <w:szCs w:val="24"/>
                <w:lang w:val="zh-CN"/>
              </w:rPr>
              <w:t>/s；鱼类繁殖期（   ）m</w:t>
            </w:r>
            <w:r>
              <w:rPr>
                <w:rFonts w:cs="Times New Roman"/>
                <w:color w:val="000000"/>
                <w:kern w:val="0"/>
                <w:sz w:val="20"/>
                <w:szCs w:val="24"/>
                <w:vertAlign w:val="superscript"/>
                <w:lang w:val="zh-CN"/>
              </w:rPr>
              <w:t>3</w:t>
            </w:r>
            <w:r>
              <w:rPr>
                <w:rFonts w:cs="Times New Roman"/>
                <w:color w:val="000000"/>
                <w:kern w:val="0"/>
                <w:sz w:val="20"/>
                <w:szCs w:val="24"/>
                <w:lang w:val="zh-CN"/>
              </w:rPr>
              <w:t>/s；其他（   ）m</w:t>
            </w:r>
            <w:r>
              <w:rPr>
                <w:rFonts w:cs="Times New Roman"/>
                <w:color w:val="000000"/>
                <w:kern w:val="0"/>
                <w:sz w:val="20"/>
                <w:szCs w:val="24"/>
                <w:vertAlign w:val="superscript"/>
                <w:lang w:val="zh-CN"/>
              </w:rPr>
              <w:t>3</w:t>
            </w:r>
            <w:r>
              <w:rPr>
                <w:rFonts w:cs="Times New Roman"/>
                <w:color w:val="000000"/>
                <w:kern w:val="0"/>
                <w:sz w:val="20"/>
                <w:szCs w:val="24"/>
                <w:lang w:val="zh-CN"/>
              </w:rPr>
              <w:t>/s</w:t>
            </w:r>
          </w:p>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restart"/>
            <w:noWrap/>
            <w:textDirection w:val="tbRlV"/>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防治措施</w:t>
            </w: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环保措施</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污水处理设施√；水文减缓设施 □；生态流量保障设施 □；区域削减 □；依托其他工程措施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restart"/>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监测计划</w:t>
            </w:r>
          </w:p>
        </w:tc>
        <w:tc>
          <w:tcPr>
            <w:tcW w:w="2560" w:type="dxa"/>
            <w:gridSpan w:val="2"/>
            <w:noWrap/>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环境质量</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560" w:type="dxa"/>
            <w:gridSpan w:val="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监测方式</w:t>
            </w:r>
          </w:p>
        </w:tc>
        <w:tc>
          <w:tcPr>
            <w:tcW w:w="3841" w:type="dxa"/>
            <w:gridSpan w:val="5"/>
            <w:vAlign w:val="center"/>
          </w:tcPr>
          <w:p>
            <w:pPr>
              <w:adjustRightInd w:val="0"/>
              <w:snapToGrid w:val="0"/>
              <w:spacing w:line="240" w:lineRule="auto"/>
              <w:ind w:firstLine="420" w:firstLineChars="0"/>
              <w:jc w:val="center"/>
              <w:rPr>
                <w:rFonts w:cs="Times New Roman"/>
                <w:b/>
                <w:color w:val="000000"/>
                <w:kern w:val="0"/>
                <w:sz w:val="20"/>
                <w:szCs w:val="24"/>
                <w:lang w:val="zh-CN"/>
              </w:rPr>
            </w:pPr>
            <w:r>
              <w:rPr>
                <w:rFonts w:cs="Times New Roman"/>
                <w:color w:val="000000"/>
                <w:kern w:val="0"/>
                <w:sz w:val="20"/>
                <w:szCs w:val="24"/>
                <w:lang w:val="zh-CN"/>
              </w:rPr>
              <w:t>手动 □；自动 □；无监测√</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手动 □；自动 □；无监测√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560" w:type="dxa"/>
            <w:gridSpan w:val="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监测点位</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560" w:type="dxa"/>
            <w:gridSpan w:val="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监测因子</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c>
          <w:tcPr>
            <w:tcW w:w="3841" w:type="dxa"/>
            <w:gridSpan w:val="5"/>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93" w:type="dxa"/>
            <w:vMerge w:val="continue"/>
            <w:vAlign w:val="center"/>
          </w:tcPr>
          <w:p>
            <w:pPr>
              <w:adjustRightInd w:val="0"/>
              <w:snapToGrid w:val="0"/>
              <w:spacing w:line="240" w:lineRule="auto"/>
              <w:ind w:firstLine="420" w:firstLineChars="0"/>
              <w:jc w:val="center"/>
              <w:rPr>
                <w:rFonts w:cs="Times New Roman"/>
                <w:color w:val="000000"/>
                <w:kern w:val="0"/>
                <w:sz w:val="20"/>
                <w:szCs w:val="24"/>
                <w:lang w:val="zh-CN"/>
              </w:rPr>
            </w:pPr>
          </w:p>
        </w:tc>
        <w:tc>
          <w:tcPr>
            <w:tcW w:w="2384" w:type="dxa"/>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污染物排放清单</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377" w:type="dxa"/>
            <w:gridSpan w:val="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评价结论</w:t>
            </w:r>
          </w:p>
        </w:tc>
        <w:tc>
          <w:tcPr>
            <w:tcW w:w="10242" w:type="dxa"/>
            <w:gridSpan w:val="12"/>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可以接受√；不可以接受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19" w:type="dxa"/>
            <w:gridSpan w:val="14"/>
            <w:noWrap/>
            <w:vAlign w:val="center"/>
          </w:tcPr>
          <w:p>
            <w:pPr>
              <w:adjustRightInd w:val="0"/>
              <w:snapToGrid w:val="0"/>
              <w:spacing w:line="240" w:lineRule="auto"/>
              <w:ind w:firstLine="420" w:firstLineChars="0"/>
              <w:jc w:val="center"/>
              <w:rPr>
                <w:rFonts w:cs="Times New Roman"/>
                <w:color w:val="000000"/>
                <w:kern w:val="0"/>
                <w:sz w:val="20"/>
                <w:szCs w:val="24"/>
                <w:lang w:val="zh-CN"/>
              </w:rPr>
            </w:pPr>
            <w:r>
              <w:rPr>
                <w:rFonts w:cs="Times New Roman"/>
                <w:color w:val="000000"/>
                <w:kern w:val="0"/>
                <w:sz w:val="20"/>
                <w:szCs w:val="24"/>
                <w:lang w:val="zh-CN"/>
              </w:rPr>
              <w:t>注：“□”为勾选项，可√；“（   ）”为内容填写项；“备注”为其他补充内容。</w:t>
            </w:r>
          </w:p>
        </w:tc>
      </w:tr>
    </w:tbl>
    <w:p>
      <w:pPr>
        <w:ind w:firstLine="0" w:firstLineChars="0"/>
        <w:rPr>
          <w:rFonts w:cs="Times New Roman"/>
        </w:rPr>
        <w:sectPr>
          <w:pgSz w:w="16838" w:h="11906" w:orient="landscape"/>
          <w:pgMar w:top="1797" w:right="1418" w:bottom="1418" w:left="1418" w:header="851" w:footer="992" w:gutter="0"/>
          <w:cols w:space="425" w:num="1"/>
          <w:docGrid w:type="lines" w:linePitch="326" w:charSpace="0"/>
        </w:sectPr>
      </w:pPr>
    </w:p>
    <w:p>
      <w:pPr>
        <w:pStyle w:val="2"/>
      </w:pPr>
      <w:bookmarkStart w:id="30" w:name="_Toc27729852"/>
      <w:r>
        <w:rPr>
          <w:rFonts w:hint="eastAsia"/>
        </w:rPr>
        <w:t>附表3</w:t>
      </w:r>
      <w:r>
        <w:t xml:space="preserve"> </w:t>
      </w:r>
      <w:r>
        <w:rPr>
          <w:rFonts w:hint="eastAsia"/>
        </w:rPr>
        <w:t>环境风险评价自查表</w:t>
      </w:r>
      <w:bookmarkEnd w:id="30"/>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425"/>
        <w:gridCol w:w="728"/>
        <w:gridCol w:w="1196"/>
        <w:gridCol w:w="262"/>
        <w:gridCol w:w="644"/>
        <w:gridCol w:w="994"/>
        <w:gridCol w:w="785"/>
        <w:gridCol w:w="257"/>
        <w:gridCol w:w="126"/>
        <w:gridCol w:w="144"/>
        <w:gridCol w:w="513"/>
        <w:gridCol w:w="132"/>
        <w:gridCol w:w="475"/>
        <w:gridCol w:w="153"/>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shd w:val="clear" w:color="auto" w:fill="auto"/>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工作内容</w:t>
            </w:r>
          </w:p>
        </w:tc>
        <w:tc>
          <w:tcPr>
            <w:tcW w:w="6854" w:type="dxa"/>
            <w:gridSpan w:val="13"/>
            <w:shd w:val="clear" w:color="auto" w:fill="auto"/>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restart"/>
            <w:vAlign w:val="center"/>
          </w:tcPr>
          <w:p>
            <w:pPr>
              <w:adjustRightInd w:val="0"/>
              <w:snapToGrid w:val="0"/>
              <w:spacing w:line="240" w:lineRule="auto"/>
              <w:ind w:firstLine="0" w:firstLineChars="0"/>
              <w:rPr>
                <w:rFonts w:eastAsia="等线" w:cs="Times New Roman"/>
                <w:color w:val="000000" w:themeColor="text1"/>
                <w:kern w:val="0"/>
                <w:sz w:val="21"/>
                <w:szCs w:val="21"/>
              </w:rPr>
            </w:pPr>
            <w:r>
              <w:rPr>
                <w:rFonts w:hint="eastAsia" w:eastAsia="等线" w:cs="Times New Roman"/>
                <w:color w:val="000000" w:themeColor="text1"/>
                <w:kern w:val="0"/>
                <w:sz w:val="21"/>
                <w:szCs w:val="21"/>
              </w:rPr>
              <w:t>风</w:t>
            </w:r>
            <w:r>
              <w:rPr>
                <w:rFonts w:hint="eastAsia" w:cs="Times New Roman"/>
                <w:color w:val="000000" w:themeColor="text1"/>
                <w:kern w:val="0"/>
                <w:sz w:val="21"/>
                <w:szCs w:val="24"/>
                <w:lang w:val="zh-CN"/>
              </w:rPr>
              <w:t>险调查</w:t>
            </w:r>
          </w:p>
        </w:tc>
        <w:tc>
          <w:tcPr>
            <w:tcW w:w="1153" w:type="dxa"/>
            <w:gridSpan w:val="2"/>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危险废物</w:t>
            </w: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名称</w:t>
            </w:r>
          </w:p>
        </w:tc>
        <w:tc>
          <w:tcPr>
            <w:tcW w:w="2942"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含油抹布</w:t>
            </w:r>
          </w:p>
        </w:tc>
        <w:tc>
          <w:tcPr>
            <w:tcW w:w="2716" w:type="dxa"/>
            <w:gridSpan w:val="7"/>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废煤油包装桶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存在总量/t</w:t>
            </w:r>
          </w:p>
        </w:tc>
        <w:tc>
          <w:tcPr>
            <w:tcW w:w="2942"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0</w:t>
            </w:r>
            <w:r>
              <w:rPr>
                <w:rFonts w:cs="Times New Roman"/>
                <w:color w:val="000000" w:themeColor="text1"/>
                <w:kern w:val="0"/>
                <w:sz w:val="21"/>
                <w:szCs w:val="24"/>
                <w:lang w:val="zh-CN"/>
              </w:rPr>
              <w:t>.01</w:t>
            </w:r>
          </w:p>
        </w:tc>
        <w:tc>
          <w:tcPr>
            <w:tcW w:w="2716" w:type="dxa"/>
            <w:gridSpan w:val="7"/>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0</w:t>
            </w:r>
            <w:r>
              <w:rPr>
                <w:rFonts w:cs="Times New Roman"/>
                <w:color w:val="000000" w:themeColor="text1"/>
                <w:kern w:val="0"/>
                <w:sz w:val="21"/>
                <w:szCs w:val="24"/>
                <w:lang w:val="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环境敏感性</w:t>
            </w:r>
          </w:p>
        </w:tc>
        <w:tc>
          <w:tcPr>
            <w:tcW w:w="1196" w:type="dxa"/>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w:t>
            </w:r>
          </w:p>
        </w:tc>
        <w:tc>
          <w:tcPr>
            <w:tcW w:w="2942"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500m范围内人口数</w:t>
            </w:r>
            <w:r>
              <w:rPr>
                <w:rFonts w:hint="eastAsia" w:cs="Times New Roman"/>
                <w:color w:val="000000" w:themeColor="text1"/>
                <w:kern w:val="0"/>
                <w:sz w:val="21"/>
                <w:szCs w:val="24"/>
                <w:u w:val="single"/>
                <w:lang w:val="zh-CN"/>
              </w:rPr>
              <w:t xml:space="preserve"> </w:t>
            </w:r>
            <w:r>
              <w:rPr>
                <w:rFonts w:cs="Times New Roman"/>
                <w:color w:val="000000" w:themeColor="text1"/>
                <w:kern w:val="0"/>
                <w:sz w:val="21"/>
                <w:szCs w:val="24"/>
                <w:u w:val="single"/>
                <w:lang w:val="zh-CN"/>
              </w:rPr>
              <w:t>3100</w:t>
            </w:r>
            <w:r>
              <w:rPr>
                <w:rFonts w:hint="eastAsia" w:cs="Times New Roman"/>
                <w:color w:val="000000" w:themeColor="text1"/>
                <w:kern w:val="0"/>
                <w:sz w:val="21"/>
                <w:szCs w:val="24"/>
                <w:u w:val="single"/>
                <w:lang w:val="zh-CN"/>
              </w:rPr>
              <w:t xml:space="preserve"> </w:t>
            </w:r>
            <w:r>
              <w:rPr>
                <w:rFonts w:hint="eastAsia" w:cs="Times New Roman"/>
                <w:color w:val="000000" w:themeColor="text1"/>
                <w:kern w:val="0"/>
                <w:sz w:val="21"/>
                <w:szCs w:val="24"/>
                <w:lang w:val="zh-CN"/>
              </w:rPr>
              <w:t>人</w:t>
            </w:r>
          </w:p>
        </w:tc>
        <w:tc>
          <w:tcPr>
            <w:tcW w:w="2716" w:type="dxa"/>
            <w:gridSpan w:val="7"/>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5km范围内人口数</w:t>
            </w:r>
            <w:r>
              <w:rPr>
                <w:rFonts w:cs="Times New Roman"/>
                <w:color w:val="000000" w:themeColor="text1"/>
                <w:kern w:val="0"/>
                <w:sz w:val="21"/>
                <w:szCs w:val="24"/>
                <w:u w:val="single"/>
                <w:lang w:val="zh-CN"/>
              </w:rPr>
              <w:t>5</w:t>
            </w:r>
            <w:r>
              <w:rPr>
                <w:rFonts w:hint="eastAsia" w:cs="Times New Roman"/>
                <w:color w:val="000000" w:themeColor="text1"/>
                <w:kern w:val="0"/>
                <w:sz w:val="21"/>
                <w:szCs w:val="24"/>
                <w:u w:val="single"/>
                <w:lang w:val="zh-CN"/>
              </w:rPr>
              <w:t>万</w:t>
            </w:r>
            <w:r>
              <w:rPr>
                <w:rFonts w:hint="eastAsia" w:cs="Times New Roman"/>
                <w:color w:val="000000" w:themeColor="text1"/>
                <w:kern w:val="0"/>
                <w:sz w:val="21"/>
                <w:szCs w:val="24"/>
                <w:lang w:val="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4485" w:type="dxa"/>
            <w:gridSpan w:val="11"/>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每公里管段周围200m范围内人口数（最大）</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地表水</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地表水功能敏感性</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F1□</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F2□</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环境敏感目标分级</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S1□</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S2□</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S4□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地下水</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地下水功能敏感性</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G1□</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G2□</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包气带防污性能</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D1</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D2□</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D4□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物质及工艺系统危险性</w:t>
            </w: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Q值</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Q&lt;1</w:t>
            </w:r>
            <w:r>
              <w:rPr>
                <w:rFonts w:cs="Times New Roman"/>
                <w:color w:val="000000" w:themeColor="text1"/>
                <w:kern w:val="0"/>
                <w:sz w:val="21"/>
                <w:szCs w:val="24"/>
                <w:lang w:val="zh-CN"/>
              </w:rPr>
              <w:t></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1≤Q&lt;10□</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10≤Q&lt;100□</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Q&gt;100□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M值</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M1□</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M2□</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M3□</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P值</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P1□</w:t>
            </w:r>
          </w:p>
        </w:tc>
        <w:tc>
          <w:tcPr>
            <w:tcW w:w="11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P2□</w:t>
            </w:r>
          </w:p>
        </w:tc>
        <w:tc>
          <w:tcPr>
            <w:tcW w:w="1417"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P3□</w:t>
            </w:r>
          </w:p>
        </w:tc>
        <w:tc>
          <w:tcPr>
            <w:tcW w:w="1173"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环境敏感程度</w:t>
            </w: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E1□</w:t>
            </w:r>
          </w:p>
        </w:tc>
        <w:tc>
          <w:tcPr>
            <w:tcW w:w="1957" w:type="dxa"/>
            <w:gridSpan w:val="6"/>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E2□</w:t>
            </w:r>
          </w:p>
        </w:tc>
        <w:tc>
          <w:tcPr>
            <w:tcW w:w="1801"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地表水</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E1□</w:t>
            </w:r>
          </w:p>
        </w:tc>
        <w:tc>
          <w:tcPr>
            <w:tcW w:w="1957" w:type="dxa"/>
            <w:gridSpan w:val="6"/>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E2□</w:t>
            </w:r>
          </w:p>
        </w:tc>
        <w:tc>
          <w:tcPr>
            <w:tcW w:w="1801"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地下水</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E1□</w:t>
            </w:r>
          </w:p>
        </w:tc>
        <w:tc>
          <w:tcPr>
            <w:tcW w:w="1957" w:type="dxa"/>
            <w:gridSpan w:val="6"/>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E2□</w:t>
            </w:r>
          </w:p>
        </w:tc>
        <w:tc>
          <w:tcPr>
            <w:tcW w:w="1801"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环境风险潜势</w:t>
            </w:r>
          </w:p>
        </w:tc>
        <w:tc>
          <w:tcPr>
            <w:tcW w:w="1196"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Ⅳ+□</w:t>
            </w:r>
          </w:p>
        </w:tc>
        <w:tc>
          <w:tcPr>
            <w:tcW w:w="190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Ⅳ□</w:t>
            </w:r>
          </w:p>
        </w:tc>
        <w:tc>
          <w:tcPr>
            <w:tcW w:w="1312"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Ⅲ□</w:t>
            </w:r>
          </w:p>
        </w:tc>
        <w:tc>
          <w:tcPr>
            <w:tcW w:w="1120"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Ⅱ□</w:t>
            </w:r>
          </w:p>
        </w:tc>
        <w:tc>
          <w:tcPr>
            <w:tcW w:w="1326"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Ⅰ</w:t>
            </w:r>
            <w:r>
              <w:rPr>
                <w:rFonts w:cs="Times New Roman"/>
                <w:color w:val="000000" w:themeColor="text1"/>
                <w:kern w:val="0"/>
                <w:sz w:val="21"/>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评价等级</w:t>
            </w:r>
          </w:p>
        </w:tc>
        <w:tc>
          <w:tcPr>
            <w:tcW w:w="2102"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一级□</w:t>
            </w:r>
          </w:p>
        </w:tc>
        <w:tc>
          <w:tcPr>
            <w:tcW w:w="1779"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二级□</w:t>
            </w:r>
          </w:p>
        </w:tc>
        <w:tc>
          <w:tcPr>
            <w:tcW w:w="1647" w:type="dxa"/>
            <w:gridSpan w:val="6"/>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三级□</w:t>
            </w:r>
          </w:p>
        </w:tc>
        <w:tc>
          <w:tcPr>
            <w:tcW w:w="1326"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简单分析</w:t>
            </w:r>
            <w:r>
              <w:rPr>
                <w:rFonts w:cs="Times New Roman"/>
                <w:color w:val="000000" w:themeColor="text1"/>
                <w:kern w:val="0"/>
                <w:sz w:val="21"/>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restart"/>
            <w:vAlign w:val="center"/>
          </w:tcPr>
          <w:p>
            <w:pPr>
              <w:adjustRightInd w:val="0"/>
              <w:snapToGrid w:val="0"/>
              <w:spacing w:line="240" w:lineRule="auto"/>
              <w:ind w:firstLine="0" w:firstLineChars="0"/>
              <w:jc w:val="center"/>
              <w:rPr>
                <w:rFonts w:eastAsia="等线" w:cs="Times New Roman"/>
                <w:color w:val="000000" w:themeColor="text1"/>
                <w:kern w:val="0"/>
                <w:sz w:val="21"/>
                <w:szCs w:val="21"/>
              </w:rPr>
            </w:pPr>
            <w:r>
              <w:rPr>
                <w:rFonts w:hint="eastAsia" w:cs="Times New Roman"/>
                <w:color w:val="000000" w:themeColor="text1"/>
                <w:kern w:val="0"/>
                <w:sz w:val="21"/>
                <w:szCs w:val="24"/>
                <w:lang w:val="zh-CN"/>
              </w:rPr>
              <w:t>风险识别</w:t>
            </w:r>
          </w:p>
        </w:tc>
        <w:tc>
          <w:tcPr>
            <w:tcW w:w="1153"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物质危险性</w:t>
            </w:r>
          </w:p>
        </w:tc>
        <w:tc>
          <w:tcPr>
            <w:tcW w:w="3096"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有毒有害</w:t>
            </w:r>
            <w:r>
              <w:rPr>
                <w:rFonts w:cs="Times New Roman"/>
                <w:color w:val="000000" w:themeColor="text1"/>
                <w:kern w:val="0"/>
                <w:sz w:val="21"/>
                <w:szCs w:val="24"/>
                <w:lang w:val="zh-CN"/>
              </w:rPr>
              <w:t></w:t>
            </w:r>
          </w:p>
        </w:tc>
        <w:tc>
          <w:tcPr>
            <w:tcW w:w="3758" w:type="dxa"/>
            <w:gridSpan w:val="9"/>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易燃易爆</w:t>
            </w:r>
            <w:r>
              <w:rPr>
                <w:rFonts w:cs="Times New Roman"/>
                <w:color w:val="000000" w:themeColor="text1"/>
                <w:kern w:val="0"/>
                <w:sz w:val="21"/>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环境风险类型</w:t>
            </w:r>
          </w:p>
        </w:tc>
        <w:tc>
          <w:tcPr>
            <w:tcW w:w="3096"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泄漏</w:t>
            </w:r>
            <w:r>
              <w:rPr>
                <w:rFonts w:cs="Times New Roman"/>
                <w:color w:val="000000" w:themeColor="text1"/>
                <w:kern w:val="0"/>
                <w:sz w:val="21"/>
                <w:szCs w:val="24"/>
                <w:lang w:val="zh-CN"/>
              </w:rPr>
              <w:t>√</w:t>
            </w:r>
          </w:p>
        </w:tc>
        <w:tc>
          <w:tcPr>
            <w:tcW w:w="3758" w:type="dxa"/>
            <w:gridSpan w:val="9"/>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火灾爆炸引发伴生/次生污染物排放</w:t>
            </w:r>
            <w:r>
              <w:rPr>
                <w:rFonts w:cs="Times New Roman"/>
                <w:color w:val="000000" w:themeColor="text1"/>
                <w:kern w:val="0"/>
                <w:sz w:val="21"/>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dxa"/>
            <w:vMerge w:val="continue"/>
            <w:vAlign w:val="center"/>
          </w:tcPr>
          <w:p>
            <w:pPr>
              <w:adjustRightInd w:val="0"/>
              <w:snapToGrid w:val="0"/>
              <w:ind w:firstLine="0" w:firstLineChars="0"/>
              <w:jc w:val="center"/>
              <w:rPr>
                <w:rFonts w:eastAsia="等线" w:cs="Times New Roman"/>
                <w:color w:val="000000" w:themeColor="text1"/>
                <w:kern w:val="0"/>
                <w:sz w:val="21"/>
                <w:szCs w:val="21"/>
              </w:rPr>
            </w:pPr>
          </w:p>
        </w:tc>
        <w:tc>
          <w:tcPr>
            <w:tcW w:w="1153"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影响途径</w:t>
            </w:r>
          </w:p>
        </w:tc>
        <w:tc>
          <w:tcPr>
            <w:tcW w:w="3096"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w:t>
            </w:r>
            <w:r>
              <w:rPr>
                <w:rFonts w:cs="Times New Roman"/>
                <w:color w:val="000000" w:themeColor="text1"/>
                <w:kern w:val="0"/>
                <w:sz w:val="21"/>
                <w:szCs w:val="24"/>
                <w:lang w:val="zh-CN"/>
              </w:rPr>
              <w:t></w:t>
            </w:r>
          </w:p>
        </w:tc>
        <w:tc>
          <w:tcPr>
            <w:tcW w:w="1825"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地表水</w:t>
            </w:r>
            <w:r>
              <w:rPr>
                <w:rFonts w:cs="Times New Roman"/>
                <w:color w:val="000000" w:themeColor="text1"/>
                <w:kern w:val="0"/>
                <w:sz w:val="21"/>
                <w:szCs w:val="24"/>
                <w:lang w:val="zh-CN"/>
              </w:rPr>
              <w:t>√</w:t>
            </w:r>
          </w:p>
        </w:tc>
        <w:tc>
          <w:tcPr>
            <w:tcW w:w="1933"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事故情形分析</w:t>
            </w:r>
          </w:p>
        </w:tc>
        <w:tc>
          <w:tcPr>
            <w:tcW w:w="1458"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源强设定方法</w:t>
            </w:r>
          </w:p>
        </w:tc>
        <w:tc>
          <w:tcPr>
            <w:tcW w:w="1638"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计算法□</w:t>
            </w:r>
          </w:p>
        </w:tc>
        <w:tc>
          <w:tcPr>
            <w:tcW w:w="1825"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经验估算法□</w:t>
            </w:r>
          </w:p>
        </w:tc>
        <w:tc>
          <w:tcPr>
            <w:tcW w:w="1933"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风险预测与评价</w:t>
            </w:r>
          </w:p>
        </w:tc>
        <w:tc>
          <w:tcPr>
            <w:tcW w:w="728" w:type="dxa"/>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w:t>
            </w:r>
          </w:p>
        </w:tc>
        <w:tc>
          <w:tcPr>
            <w:tcW w:w="1458"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预测模型</w:t>
            </w:r>
          </w:p>
        </w:tc>
        <w:tc>
          <w:tcPr>
            <w:tcW w:w="1638" w:type="dxa"/>
            <w:gridSpan w:val="2"/>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SLAB□</w:t>
            </w:r>
          </w:p>
        </w:tc>
        <w:tc>
          <w:tcPr>
            <w:tcW w:w="1825" w:type="dxa"/>
            <w:gridSpan w:val="5"/>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AFTOX□</w:t>
            </w:r>
          </w:p>
        </w:tc>
        <w:tc>
          <w:tcPr>
            <w:tcW w:w="1933" w:type="dxa"/>
            <w:gridSpan w:val="4"/>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728"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458" w:type="dxa"/>
            <w:gridSpan w:val="2"/>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预测结果</w:t>
            </w:r>
          </w:p>
        </w:tc>
        <w:tc>
          <w:tcPr>
            <w:tcW w:w="5396" w:type="dxa"/>
            <w:gridSpan w:val="11"/>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大气毒性终点浓度-1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728"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1458"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5396" w:type="dxa"/>
            <w:gridSpan w:val="11"/>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大气毒性终点浓度-2 最大影响范围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728" w:type="dxa"/>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地表水</w:t>
            </w:r>
          </w:p>
        </w:tc>
        <w:tc>
          <w:tcPr>
            <w:tcW w:w="6854" w:type="dxa"/>
            <w:gridSpan w:val="1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728" w:type="dxa"/>
            <w:vMerge w:val="restart"/>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地下水</w:t>
            </w:r>
          </w:p>
        </w:tc>
        <w:tc>
          <w:tcPr>
            <w:tcW w:w="6854" w:type="dxa"/>
            <w:gridSpan w:val="1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0" w:type="dxa"/>
            <w:gridSpan w:val="2"/>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728" w:type="dxa"/>
            <w:vMerge w:val="continue"/>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p>
        </w:tc>
        <w:tc>
          <w:tcPr>
            <w:tcW w:w="6854" w:type="dxa"/>
            <w:gridSpan w:val="1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highlight w:val="yellow"/>
                <w:lang w:val="zh-CN"/>
              </w:rPr>
            </w:pPr>
            <w:r>
              <w:rPr>
                <w:rFonts w:hint="eastAsia" w:cs="Times New Roman"/>
                <w:color w:val="000000" w:themeColor="text1"/>
                <w:kern w:val="0"/>
                <w:sz w:val="21"/>
                <w:szCs w:val="24"/>
                <w:lang w:val="zh-CN"/>
              </w:rPr>
              <w:t>重点风险防范措施</w:t>
            </w:r>
          </w:p>
        </w:tc>
        <w:tc>
          <w:tcPr>
            <w:tcW w:w="6854" w:type="dxa"/>
            <w:gridSpan w:val="13"/>
            <w:vAlign w:val="center"/>
          </w:tcPr>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1、加强易燃易爆物质管理</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（1）减少贮存和工艺过程中存放的危险物质的贮存量，满足小周期内物料的使用量即可。危险物的数量是造成危害的首要因素之一，可通过减少贮存，以使危害见到尽可能小的程度。</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（2）贮存和运输采用多次小规模进行。</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（3）改进密封设备或采用自动密封系统，减少泄露和缩短缩放时间。</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（4）强化管理，提高操作人员业务素质。</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2、加强废气治理设施的日常管理和维护，安排专职或兼职人员负责，并建立台账管理制度，确保废气治理系统的正常稳定运行。</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3、建立废气治理系统操作规程，并严格执行，当废气治理系统出现故障时，应立即停止作业，待废气治理系统正常运行时，方可重新进行作业。</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4、配备一定数量的灭火器、消防沙、吸附棉等应急资源。</w:t>
            </w:r>
          </w:p>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5、对生产过程中产生的危险废物，分类收集，分别包装临时储存，定期交有相应类别处理资质的单位处理。</w:t>
            </w:r>
          </w:p>
          <w:p>
            <w:pPr>
              <w:adjustRightInd w:val="0"/>
              <w:snapToGrid w:val="0"/>
              <w:spacing w:line="240" w:lineRule="auto"/>
              <w:ind w:firstLine="0" w:firstLineChars="0"/>
              <w:rPr>
                <w:rFonts w:cs="Times New Roman"/>
                <w:color w:val="000000" w:themeColor="text1"/>
                <w:kern w:val="0"/>
                <w:sz w:val="21"/>
                <w:szCs w:val="24"/>
                <w:highlight w:val="yellow"/>
                <w:lang w:val="zh-CN"/>
              </w:rPr>
            </w:pPr>
            <w:r>
              <w:rPr>
                <w:rFonts w:hint="eastAsia" w:cs="Times New Roman"/>
                <w:color w:val="000000" w:themeColor="text1"/>
                <w:kern w:val="0"/>
                <w:sz w:val="21"/>
                <w:szCs w:val="24"/>
                <w:lang w:val="zh-CN"/>
              </w:rPr>
              <w:t>6、环境事故应急培训与教育，加强员工的安全生产和环境风险防范意识，提高员工的岗位操作技能，定期组织员工进行应急培训教育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gridSpan w:val="3"/>
            <w:vAlign w:val="center"/>
          </w:tcPr>
          <w:p>
            <w:pPr>
              <w:adjustRightInd w:val="0"/>
              <w:snapToGrid w:val="0"/>
              <w:spacing w:line="240" w:lineRule="auto"/>
              <w:ind w:firstLine="0" w:firstLineChars="0"/>
              <w:jc w:val="center"/>
              <w:rPr>
                <w:rFonts w:cs="Times New Roman"/>
                <w:color w:val="000000" w:themeColor="text1"/>
                <w:kern w:val="0"/>
                <w:sz w:val="21"/>
                <w:szCs w:val="24"/>
                <w:lang w:val="zh-CN"/>
              </w:rPr>
            </w:pPr>
            <w:r>
              <w:rPr>
                <w:rFonts w:hint="eastAsia" w:cs="Times New Roman"/>
                <w:color w:val="000000" w:themeColor="text1"/>
                <w:kern w:val="0"/>
                <w:sz w:val="21"/>
                <w:szCs w:val="24"/>
                <w:lang w:val="zh-CN"/>
              </w:rPr>
              <w:t>结论与建议</w:t>
            </w:r>
          </w:p>
        </w:tc>
        <w:tc>
          <w:tcPr>
            <w:tcW w:w="6854" w:type="dxa"/>
            <w:gridSpan w:val="13"/>
            <w:vAlign w:val="center"/>
          </w:tcPr>
          <w:p>
            <w:pPr>
              <w:adjustRightInd w:val="0"/>
              <w:snapToGrid w:val="0"/>
              <w:spacing w:line="240" w:lineRule="auto"/>
              <w:ind w:firstLine="420"/>
              <w:jc w:val="left"/>
              <w:rPr>
                <w:rFonts w:cs="Times New Roman"/>
                <w:color w:val="000000" w:themeColor="text1"/>
                <w:kern w:val="0"/>
                <w:sz w:val="21"/>
                <w:szCs w:val="24"/>
                <w:lang w:val="zh-CN"/>
              </w:rPr>
            </w:pPr>
            <w:r>
              <w:rPr>
                <w:rFonts w:hint="eastAsia" w:cs="Times New Roman"/>
                <w:color w:val="000000" w:themeColor="text1"/>
                <w:kern w:val="0"/>
                <w:sz w:val="21"/>
                <w:szCs w:val="24"/>
                <w:lang w:val="zh-CN"/>
              </w:rPr>
              <w:t>本项目风险物质实际储存量与临界量的比值Q</w:t>
            </w:r>
            <w:r>
              <w:rPr>
                <w:rFonts w:cs="Times New Roman"/>
                <w:color w:val="000000"/>
                <w:kern w:val="0"/>
                <w:szCs w:val="24"/>
              </w:rPr>
              <w:t>＜</w:t>
            </w:r>
            <w:r>
              <w:rPr>
                <w:rFonts w:hint="eastAsia" w:cs="Times New Roman"/>
                <w:color w:val="000000"/>
                <w:kern w:val="0"/>
                <w:szCs w:val="24"/>
              </w:rPr>
              <w:t>1</w:t>
            </w:r>
            <w:r>
              <w:rPr>
                <w:rFonts w:hint="eastAsia" w:cs="Times New Roman"/>
                <w:color w:val="000000" w:themeColor="text1"/>
                <w:kern w:val="0"/>
                <w:sz w:val="21"/>
                <w:szCs w:val="24"/>
                <w:lang w:val="zh-CN"/>
              </w:rPr>
              <w:t>，环境风险潜势为“Ⅰ”；环境风险事故影响小，本评价提出来一系列风险防范措施，只有建设单位加强职工安全教育和培训，做好各项风险防范措施和应急处置措施的情况下，所产生的环境风险可以控制在可接受风险水平之内，因此本项目的环境风险水平在可接受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16"/>
            <w:vAlign w:val="center"/>
          </w:tcPr>
          <w:p>
            <w:pPr>
              <w:adjustRightInd w:val="0"/>
              <w:snapToGrid w:val="0"/>
              <w:spacing w:line="240" w:lineRule="auto"/>
              <w:ind w:firstLine="0" w:firstLineChars="0"/>
              <w:rPr>
                <w:rFonts w:cs="Times New Roman"/>
                <w:color w:val="000000" w:themeColor="text1"/>
                <w:kern w:val="0"/>
                <w:sz w:val="21"/>
                <w:szCs w:val="24"/>
                <w:lang w:val="zh-CN"/>
              </w:rPr>
            </w:pPr>
            <w:r>
              <w:rPr>
                <w:rFonts w:hint="eastAsia" w:cs="Times New Roman"/>
                <w:color w:val="000000" w:themeColor="text1"/>
                <w:kern w:val="0"/>
                <w:sz w:val="21"/>
                <w:szCs w:val="24"/>
                <w:lang w:val="zh-CN"/>
              </w:rPr>
              <w:t>注：“□”为勾选项，“    ”为填写项</w:t>
            </w:r>
          </w:p>
        </w:tc>
      </w:tr>
    </w:tbl>
    <w:p>
      <w:pPr>
        <w:ind w:firstLine="0" w:firstLineChars="0"/>
        <w:jc w:val="center"/>
        <w:sectPr>
          <w:pgSz w:w="11906" w:h="16838"/>
          <w:pgMar w:top="1418" w:right="1134" w:bottom="1418" w:left="1134" w:header="851" w:footer="992" w:gutter="0"/>
          <w:cols w:space="425" w:num="1"/>
          <w:docGrid w:type="lines" w:linePitch="326" w:charSpace="0"/>
        </w:sectPr>
      </w:pPr>
    </w:p>
    <w:p>
      <w:pPr>
        <w:pStyle w:val="2"/>
      </w:pPr>
      <w:bookmarkStart w:id="31" w:name="_Toc27729853"/>
      <w:r>
        <w:rPr>
          <w:rFonts w:hint="eastAsia"/>
        </w:rPr>
        <w:t>附表4</w:t>
      </w:r>
      <w:r>
        <w:t xml:space="preserve"> </w:t>
      </w:r>
      <w:r>
        <w:rPr>
          <w:rFonts w:hint="eastAsia"/>
        </w:rPr>
        <w:t>污染源源强核实结果</w:t>
      </w:r>
      <w:bookmarkEnd w:id="31"/>
    </w:p>
    <w:p>
      <w:pPr>
        <w:pStyle w:val="45"/>
        <w:spacing w:beforeLines="50"/>
        <w:rPr>
          <w:b/>
          <w:bCs/>
        </w:rPr>
      </w:pPr>
      <w:r>
        <w:rPr>
          <w:rFonts w:hint="eastAsia"/>
          <w:b/>
          <w:bCs/>
        </w:rPr>
        <w:t xml:space="preserve">附表 </w:t>
      </w:r>
      <w:r>
        <w:rPr>
          <w:b/>
          <w:bCs/>
        </w:rPr>
        <w:t xml:space="preserve">4-1 </w:t>
      </w:r>
      <w:r>
        <w:rPr>
          <w:rFonts w:hint="eastAsia"/>
          <w:b/>
          <w:bCs/>
        </w:rPr>
        <w:t>本项目废气污染源源强核算结果及相关参数一览表</w:t>
      </w:r>
    </w:p>
    <w:tbl>
      <w:tblPr>
        <w:tblStyle w:val="22"/>
        <w:tblW w:w="52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680"/>
        <w:gridCol w:w="677"/>
        <w:gridCol w:w="677"/>
        <w:gridCol w:w="677"/>
        <w:gridCol w:w="828"/>
        <w:gridCol w:w="994"/>
        <w:gridCol w:w="899"/>
        <w:gridCol w:w="710"/>
        <w:gridCol w:w="2182"/>
        <w:gridCol w:w="1079"/>
        <w:gridCol w:w="710"/>
        <w:gridCol w:w="852"/>
        <w:gridCol w:w="994"/>
        <w:gridCol w:w="852"/>
        <w:gridCol w:w="695"/>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jc w:val="center"/>
        </w:trPr>
        <w:tc>
          <w:tcPr>
            <w:tcW w:w="178" w:type="pct"/>
            <w:vMerge w:val="restar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工序</w:t>
            </w:r>
          </w:p>
        </w:tc>
        <w:tc>
          <w:tcPr>
            <w:tcW w:w="230" w:type="pct"/>
            <w:vMerge w:val="restar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装置</w:t>
            </w:r>
          </w:p>
        </w:tc>
        <w:tc>
          <w:tcPr>
            <w:tcW w:w="229" w:type="pct"/>
            <w:vMerge w:val="restar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污染源</w:t>
            </w:r>
          </w:p>
        </w:tc>
        <w:tc>
          <w:tcPr>
            <w:tcW w:w="229" w:type="pct"/>
            <w:vMerge w:val="restar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污染物</w:t>
            </w:r>
          </w:p>
        </w:tc>
        <w:tc>
          <w:tcPr>
            <w:tcW w:w="1389" w:type="pct"/>
            <w:gridSpan w:val="5"/>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污染物产生</w:t>
            </w:r>
          </w:p>
        </w:tc>
        <w:tc>
          <w:tcPr>
            <w:tcW w:w="1103" w:type="pct"/>
            <w:gridSpan w:val="2"/>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治理措施</w:t>
            </w:r>
          </w:p>
        </w:tc>
        <w:tc>
          <w:tcPr>
            <w:tcW w:w="1387" w:type="pct"/>
            <w:gridSpan w:val="5"/>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污染物排放</w:t>
            </w:r>
          </w:p>
        </w:tc>
        <w:tc>
          <w:tcPr>
            <w:tcW w:w="255" w:type="pct"/>
            <w:vMerge w:val="restart"/>
            <w:tcBorders>
              <w:top w:val="single" w:color="auto" w:sz="4" w:space="0"/>
              <w:left w:val="single" w:color="auto" w:sz="4" w:space="0"/>
              <w:right w:val="single" w:color="auto" w:sz="4" w:space="0"/>
            </w:tcBorders>
            <w:vAlign w:val="center"/>
          </w:tcPr>
          <w:p>
            <w:pPr>
              <w:pStyle w:val="45"/>
              <w:rPr>
                <w:color w:val="000000" w:themeColor="text1"/>
              </w:rPr>
            </w:pPr>
            <w:r>
              <w:rPr>
                <w:rFonts w:hint="eastAsia"/>
                <w:color w:val="000000" w:themeColor="text1"/>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vMerge w:val="continue"/>
            <w:tcBorders>
              <w:top w:val="single" w:color="auto" w:sz="4" w:space="0"/>
              <w:left w:val="single" w:color="auto" w:sz="4" w:space="0"/>
              <w:bottom w:val="single" w:color="auto" w:sz="4" w:space="0"/>
              <w:right w:val="single" w:color="auto" w:sz="4" w:space="0"/>
            </w:tcBorders>
            <w:vAlign w:val="center"/>
          </w:tcPr>
          <w:p>
            <w:pPr>
              <w:pStyle w:val="45"/>
              <w:rPr>
                <w:color w:val="000000" w:themeColor="text1"/>
                <w:lang w:eastAsia="en-US"/>
              </w:rPr>
            </w:pPr>
          </w:p>
        </w:tc>
        <w:tc>
          <w:tcPr>
            <w:tcW w:w="230" w:type="pct"/>
            <w:vMerge w:val="continue"/>
            <w:tcBorders>
              <w:top w:val="single" w:color="auto" w:sz="4" w:space="0"/>
              <w:left w:val="nil"/>
              <w:bottom w:val="single" w:color="auto" w:sz="4" w:space="0"/>
              <w:right w:val="single" w:color="auto" w:sz="4" w:space="0"/>
            </w:tcBorders>
            <w:vAlign w:val="center"/>
          </w:tcPr>
          <w:p>
            <w:pPr>
              <w:pStyle w:val="45"/>
              <w:rPr>
                <w:color w:val="000000" w:themeColor="text1"/>
                <w:lang w:eastAsia="en-US"/>
              </w:rPr>
            </w:pPr>
          </w:p>
        </w:tc>
        <w:tc>
          <w:tcPr>
            <w:tcW w:w="229" w:type="pct"/>
            <w:vMerge w:val="continue"/>
            <w:tcBorders>
              <w:left w:val="nil"/>
              <w:bottom w:val="single" w:color="auto" w:sz="4" w:space="0"/>
              <w:right w:val="single" w:color="auto" w:sz="4" w:space="0"/>
            </w:tcBorders>
            <w:vAlign w:val="center"/>
          </w:tcPr>
          <w:p>
            <w:pPr>
              <w:pStyle w:val="45"/>
              <w:rPr>
                <w:color w:val="000000" w:themeColor="text1"/>
                <w:lang w:eastAsia="en-US"/>
              </w:rPr>
            </w:pPr>
          </w:p>
        </w:tc>
        <w:tc>
          <w:tcPr>
            <w:tcW w:w="229" w:type="pct"/>
            <w:vMerge w:val="continue"/>
            <w:tcBorders>
              <w:top w:val="single" w:color="auto" w:sz="4" w:space="0"/>
              <w:left w:val="nil"/>
              <w:bottom w:val="single" w:color="auto" w:sz="4" w:space="0"/>
              <w:right w:val="single" w:color="auto" w:sz="4" w:space="0"/>
            </w:tcBorders>
            <w:vAlign w:val="center"/>
          </w:tcPr>
          <w:p>
            <w:pPr>
              <w:pStyle w:val="45"/>
              <w:rPr>
                <w:color w:val="000000" w:themeColor="text1"/>
                <w:lang w:eastAsia="en-US"/>
              </w:rPr>
            </w:pP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核算</w:t>
            </w:r>
          </w:p>
          <w:p>
            <w:pPr>
              <w:pStyle w:val="45"/>
              <w:rPr>
                <w:color w:val="000000" w:themeColor="text1"/>
              </w:rPr>
            </w:pPr>
            <w:r>
              <w:rPr>
                <w:rFonts w:hint="eastAsia"/>
                <w:color w:val="000000" w:themeColor="text1"/>
              </w:rPr>
              <w:t>方法</w:t>
            </w:r>
          </w:p>
        </w:tc>
        <w:tc>
          <w:tcPr>
            <w:tcW w:w="28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废气产生量（m</w:t>
            </w:r>
            <w:r>
              <w:rPr>
                <w:rFonts w:hint="eastAsia"/>
                <w:color w:val="000000" w:themeColor="text1"/>
                <w:vertAlign w:val="superscript"/>
              </w:rPr>
              <w:t>3</w:t>
            </w:r>
            <w:r>
              <w:rPr>
                <w:rFonts w:hint="eastAsia"/>
                <w:color w:val="000000" w:themeColor="text1"/>
              </w:rPr>
              <w:t>/h）</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color w:val="000000" w:themeColor="text1"/>
              </w:rPr>
              <w:t>产生浓度</w:t>
            </w:r>
          </w:p>
          <w:p>
            <w:pPr>
              <w:pStyle w:val="45"/>
              <w:rPr>
                <w:color w:val="000000" w:themeColor="text1"/>
              </w:rPr>
            </w:pPr>
            <w:r>
              <w:rPr>
                <w:color w:val="000000" w:themeColor="text1"/>
              </w:rPr>
              <w:t>（mg/m</w:t>
            </w:r>
            <w:r>
              <w:rPr>
                <w:color w:val="000000" w:themeColor="text1"/>
                <w:vertAlign w:val="superscript"/>
              </w:rPr>
              <w:t>3</w:t>
            </w:r>
            <w:r>
              <w:rPr>
                <w:color w:val="000000" w:themeColor="text1"/>
              </w:rPr>
              <w:t>）</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color w:val="000000" w:themeColor="text1"/>
              </w:rPr>
              <w:t>产生</w:t>
            </w:r>
            <w:r>
              <w:rPr>
                <w:rFonts w:hint="eastAsia"/>
                <w:color w:val="000000" w:themeColor="text1"/>
              </w:rPr>
              <w:t>速率</w:t>
            </w:r>
            <w:r>
              <w:rPr>
                <w:color w:val="000000" w:themeColor="text1"/>
              </w:rPr>
              <w:t>（kg/h</w:t>
            </w:r>
            <w:r>
              <w:rPr>
                <w:rFonts w:hint="eastAsia"/>
                <w:color w:val="000000" w:themeColor="text1"/>
              </w:rPr>
              <w:t>）</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产生量（t/a）</w:t>
            </w:r>
          </w:p>
        </w:tc>
        <w:tc>
          <w:tcPr>
            <w:tcW w:w="738"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工艺</w:t>
            </w:r>
          </w:p>
        </w:tc>
        <w:tc>
          <w:tcPr>
            <w:tcW w:w="36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效率%</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核算</w:t>
            </w:r>
          </w:p>
          <w:p>
            <w:pPr>
              <w:pStyle w:val="45"/>
              <w:rPr>
                <w:color w:val="000000" w:themeColor="text1"/>
              </w:rPr>
            </w:pPr>
            <w:r>
              <w:rPr>
                <w:rFonts w:hint="eastAsia"/>
                <w:color w:val="000000" w:themeColor="text1"/>
              </w:rPr>
              <w:t>方法</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废气排</w:t>
            </w:r>
          </w:p>
          <w:p>
            <w:pPr>
              <w:pStyle w:val="45"/>
              <w:rPr>
                <w:color w:val="000000" w:themeColor="text1"/>
              </w:rPr>
            </w:pPr>
            <w:r>
              <w:rPr>
                <w:rFonts w:hint="eastAsia"/>
                <w:color w:val="000000" w:themeColor="text1"/>
              </w:rPr>
              <w:t>放量（m</w:t>
            </w:r>
            <w:r>
              <w:rPr>
                <w:rFonts w:hint="eastAsia"/>
                <w:color w:val="000000" w:themeColor="text1"/>
                <w:vertAlign w:val="superscript"/>
              </w:rPr>
              <w:t>3</w:t>
            </w:r>
            <w:r>
              <w:rPr>
                <w:rFonts w:hint="eastAsia"/>
                <w:color w:val="000000" w:themeColor="text1"/>
              </w:rPr>
              <w:t>/h）</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排放</w:t>
            </w:r>
            <w:r>
              <w:rPr>
                <w:color w:val="000000" w:themeColor="text1"/>
              </w:rPr>
              <w:t>浓度</w:t>
            </w:r>
          </w:p>
          <w:p>
            <w:pPr>
              <w:pStyle w:val="45"/>
              <w:rPr>
                <w:color w:val="000000" w:themeColor="text1"/>
              </w:rPr>
            </w:pPr>
            <w:r>
              <w:rPr>
                <w:color w:val="000000" w:themeColor="text1"/>
              </w:rPr>
              <w:t>（mg/m</w:t>
            </w:r>
            <w:r>
              <w:rPr>
                <w:color w:val="000000" w:themeColor="text1"/>
                <w:vertAlign w:val="superscript"/>
              </w:rPr>
              <w:t>3</w:t>
            </w:r>
            <w:r>
              <w:rPr>
                <w:color w:val="000000" w:themeColor="text1"/>
              </w:rPr>
              <w:t>）</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color w:val="000000" w:themeColor="text1"/>
              </w:rPr>
              <w:t>排放</w:t>
            </w:r>
            <w:r>
              <w:rPr>
                <w:rFonts w:hint="eastAsia"/>
                <w:color w:val="000000" w:themeColor="text1"/>
              </w:rPr>
              <w:t>速率</w:t>
            </w:r>
            <w:r>
              <w:rPr>
                <w:color w:val="000000" w:themeColor="text1"/>
              </w:rPr>
              <w:t>（kg/h）</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排放量（t/a）</w:t>
            </w:r>
          </w:p>
        </w:tc>
        <w:tc>
          <w:tcPr>
            <w:tcW w:w="255" w:type="pct"/>
            <w:vMerge w:val="continue"/>
            <w:tcBorders>
              <w:left w:val="single" w:color="auto" w:sz="4" w:space="0"/>
              <w:bottom w:val="single" w:color="auto" w:sz="4" w:space="0"/>
              <w:right w:val="single" w:color="auto" w:sz="4" w:space="0"/>
            </w:tcBorders>
            <w:vAlign w:val="center"/>
          </w:tcPr>
          <w:p>
            <w:pPr>
              <w:pStyle w:val="45"/>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tcBorders>
              <w:top w:val="single" w:color="auto" w:sz="4" w:space="0"/>
              <w:left w:val="single" w:color="auto" w:sz="4" w:space="0"/>
              <w:right w:val="single" w:color="auto" w:sz="4" w:space="0"/>
            </w:tcBorders>
            <w:vAlign w:val="center"/>
          </w:tcPr>
          <w:p>
            <w:pPr>
              <w:pStyle w:val="45"/>
              <w:rPr>
                <w:color w:val="000000" w:themeColor="text1"/>
              </w:rPr>
            </w:pPr>
            <w:r>
              <w:rPr>
                <w:rFonts w:hint="eastAsia"/>
                <w:color w:val="000000" w:themeColor="text1"/>
              </w:rPr>
              <w:t>热冲</w:t>
            </w:r>
          </w:p>
          <w:p>
            <w:pPr>
              <w:pStyle w:val="45"/>
              <w:rPr>
                <w:color w:val="000000" w:themeColor="text1"/>
              </w:rPr>
            </w:pPr>
            <w:r>
              <w:rPr>
                <w:rFonts w:hint="eastAsia"/>
                <w:color w:val="000000" w:themeColor="text1"/>
              </w:rPr>
              <w:t>脱模</w:t>
            </w:r>
          </w:p>
        </w:tc>
        <w:tc>
          <w:tcPr>
            <w:tcW w:w="23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热冲</w:t>
            </w:r>
          </w:p>
          <w:p>
            <w:pPr>
              <w:pStyle w:val="45"/>
              <w:rPr>
                <w:color w:val="000000" w:themeColor="text1"/>
              </w:rPr>
            </w:pPr>
            <w:r>
              <w:rPr>
                <w:rFonts w:hint="eastAsia"/>
                <w:color w:val="000000" w:themeColor="text1"/>
              </w:rPr>
              <w:t>车间</w:t>
            </w:r>
          </w:p>
        </w:tc>
        <w:tc>
          <w:tcPr>
            <w:tcW w:w="229"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G</w:t>
            </w:r>
            <w:r>
              <w:rPr>
                <w:color w:val="000000" w:themeColor="text1"/>
              </w:rPr>
              <w:t>1</w:t>
            </w:r>
            <w:r>
              <w:rPr>
                <w:rFonts w:hint="eastAsia"/>
                <w:color w:val="000000" w:themeColor="text1"/>
              </w:rPr>
              <w:t>排气筒</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油烟</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0"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color w:val="000000" w:themeColor="text1"/>
              </w:rPr>
              <w:t>5.65</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.01696</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.038</w:t>
            </w:r>
          </w:p>
        </w:tc>
        <w:tc>
          <w:tcPr>
            <w:tcW w:w="73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集气罩+</w:t>
            </w:r>
            <w:r>
              <w:rPr>
                <w:color w:val="000000" w:themeColor="text1"/>
              </w:rPr>
              <w:t>1</w:t>
            </w:r>
            <w:r>
              <w:rPr>
                <w:rFonts w:hint="eastAsia"/>
                <w:color w:val="000000" w:themeColor="text1"/>
              </w:rPr>
              <w:t>套水喷淋塔A+</w:t>
            </w:r>
            <w:r>
              <w:rPr>
                <w:color w:val="000000" w:themeColor="text1"/>
              </w:rPr>
              <w:t>1</w:t>
            </w:r>
            <w:r>
              <w:rPr>
                <w:rFonts w:hint="eastAsia"/>
                <w:color w:val="000000" w:themeColor="text1"/>
              </w:rPr>
              <w:t>套油烟净化器+一根15m</w:t>
            </w:r>
            <w:r>
              <w:rPr>
                <w:color w:val="000000" w:themeColor="text1"/>
              </w:rPr>
              <w:t xml:space="preserve"> G1</w:t>
            </w:r>
            <w:r>
              <w:rPr>
                <w:rFonts w:hint="eastAsia"/>
                <w:color w:val="000000" w:themeColor="text1"/>
              </w:rPr>
              <w:t>排气筒</w:t>
            </w:r>
          </w:p>
        </w:tc>
        <w:tc>
          <w:tcPr>
            <w:tcW w:w="365" w:type="pct"/>
            <w:tcBorders>
              <w:top w:val="single" w:color="auto" w:sz="4" w:space="0"/>
              <w:left w:val="nil"/>
              <w:bottom w:val="single" w:color="auto" w:sz="4" w:space="0"/>
              <w:right w:val="single" w:color="auto" w:sz="4" w:space="0"/>
            </w:tcBorders>
            <w:vAlign w:val="center"/>
          </w:tcPr>
          <w:p>
            <w:pPr>
              <w:pStyle w:val="45"/>
              <w:rPr>
                <w:color w:val="000000" w:themeColor="text1"/>
                <w:szCs w:val="21"/>
              </w:rPr>
            </w:pPr>
            <w:r>
              <w:rPr>
                <w:rFonts w:hint="eastAsia"/>
                <w:color w:val="000000" w:themeColor="text1"/>
                <w:szCs w:val="21"/>
              </w:rPr>
              <w:t>水喷淋塔8</w:t>
            </w:r>
            <w:r>
              <w:rPr>
                <w:color w:val="000000" w:themeColor="text1"/>
                <w:szCs w:val="21"/>
              </w:rPr>
              <w:t>0%</w:t>
            </w:r>
          </w:p>
          <w:p>
            <w:pPr>
              <w:spacing w:line="240" w:lineRule="auto"/>
              <w:ind w:firstLine="0" w:firstLineChars="0"/>
              <w:jc w:val="center"/>
              <w:rPr>
                <w:sz w:val="21"/>
                <w:szCs w:val="21"/>
                <w:lang w:val="zh-CN"/>
              </w:rPr>
            </w:pPr>
            <w:r>
              <w:rPr>
                <w:rFonts w:hint="eastAsia"/>
                <w:sz w:val="21"/>
                <w:szCs w:val="21"/>
                <w:lang w:val="zh-CN"/>
              </w:rPr>
              <w:t>油烟净化器6</w:t>
            </w:r>
            <w:r>
              <w:rPr>
                <w:sz w:val="21"/>
                <w:szCs w:val="21"/>
                <w:lang w:val="zh-CN"/>
              </w:rPr>
              <w:t>5%</w:t>
            </w:r>
          </w:p>
        </w:tc>
        <w:tc>
          <w:tcPr>
            <w:tcW w:w="240" w:type="pct"/>
            <w:tcBorders>
              <w:top w:val="single" w:color="auto" w:sz="4" w:space="0"/>
              <w:left w:val="nil"/>
              <w:bottom w:val="single" w:color="auto" w:sz="4" w:space="0"/>
              <w:right w:val="single" w:color="auto" w:sz="4" w:space="0"/>
            </w:tcBorders>
            <w:vAlign w:val="center"/>
          </w:tcPr>
          <w:p>
            <w:pPr>
              <w:pStyle w:val="45"/>
              <w:rPr>
                <w:color w:val="000000" w:themeColor="text1"/>
                <w:szCs w:val="21"/>
              </w:rPr>
            </w:pPr>
            <w:r>
              <w:rPr>
                <w:rFonts w:hint="eastAsia"/>
                <w:color w:val="000000" w:themeColor="text1"/>
                <w:szCs w:val="21"/>
              </w:rPr>
              <w:t>产污系数法</w:t>
            </w:r>
          </w:p>
        </w:tc>
        <w:tc>
          <w:tcPr>
            <w:tcW w:w="28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.40</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.0019</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.00266</w:t>
            </w:r>
          </w:p>
        </w:tc>
        <w:tc>
          <w:tcPr>
            <w:tcW w:w="25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2</w:t>
            </w:r>
            <w:r>
              <w:rPr>
                <w:color w:val="000000" w:themeColor="text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vMerge w:val="restart"/>
            <w:tcBorders>
              <w:left w:val="single" w:color="auto" w:sz="4" w:space="0"/>
              <w:right w:val="single" w:color="auto" w:sz="4" w:space="0"/>
            </w:tcBorders>
            <w:vAlign w:val="center"/>
          </w:tcPr>
          <w:p>
            <w:pPr>
              <w:pStyle w:val="45"/>
              <w:rPr>
                <w:color w:val="000000" w:themeColor="text1"/>
              </w:rPr>
            </w:pPr>
            <w:r>
              <w:rPr>
                <w:rFonts w:hint="eastAsia"/>
                <w:color w:val="000000" w:themeColor="text1"/>
              </w:rPr>
              <w:t>抛光</w:t>
            </w:r>
          </w:p>
          <w:p>
            <w:pPr>
              <w:pStyle w:val="45"/>
              <w:rPr>
                <w:color w:val="000000" w:themeColor="text1"/>
              </w:rPr>
            </w:pPr>
            <w:r>
              <w:rPr>
                <w:color w:val="000000" w:themeColor="text1"/>
              </w:rPr>
              <w:t>打磨</w:t>
            </w:r>
          </w:p>
        </w:tc>
        <w:tc>
          <w:tcPr>
            <w:tcW w:w="23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1号抛光车间</w:t>
            </w:r>
          </w:p>
        </w:tc>
        <w:tc>
          <w:tcPr>
            <w:tcW w:w="229"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G</w:t>
            </w:r>
            <w:r>
              <w:rPr>
                <w:color w:val="000000" w:themeColor="text1"/>
              </w:rPr>
              <w:t>1</w:t>
            </w:r>
            <w:r>
              <w:rPr>
                <w:rFonts w:hint="eastAsia"/>
                <w:color w:val="000000" w:themeColor="text1"/>
              </w:rPr>
              <w:t>排气筒</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颗粒物</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0"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.69</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.05542</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.02494</w:t>
            </w:r>
          </w:p>
        </w:tc>
        <w:tc>
          <w:tcPr>
            <w:tcW w:w="73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集气罩+</w:t>
            </w:r>
            <w:r>
              <w:rPr>
                <w:color w:val="000000" w:themeColor="text1"/>
              </w:rPr>
              <w:t>1</w:t>
            </w:r>
            <w:r>
              <w:rPr>
                <w:rFonts w:hint="eastAsia"/>
                <w:color w:val="000000" w:themeColor="text1"/>
              </w:rPr>
              <w:t>套水喷淋塔B+一根15m</w:t>
            </w:r>
            <w:r>
              <w:rPr>
                <w:color w:val="000000" w:themeColor="text1"/>
              </w:rPr>
              <w:t xml:space="preserve"> G1</w:t>
            </w:r>
            <w:r>
              <w:rPr>
                <w:rFonts w:hint="eastAsia"/>
                <w:color w:val="000000" w:themeColor="text1"/>
              </w:rPr>
              <w:t>排气筒</w:t>
            </w:r>
          </w:p>
        </w:tc>
        <w:tc>
          <w:tcPr>
            <w:tcW w:w="36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7</w:t>
            </w:r>
            <w:r>
              <w:rPr>
                <w:color w:val="000000" w:themeColor="text1"/>
              </w:rPr>
              <w:t>0</w:t>
            </w:r>
          </w:p>
        </w:tc>
        <w:tc>
          <w:tcPr>
            <w:tcW w:w="24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.11</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color w:val="000000" w:themeColor="text1"/>
              </w:rPr>
              <w:t>0.01663</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.00748</w:t>
            </w:r>
          </w:p>
        </w:tc>
        <w:tc>
          <w:tcPr>
            <w:tcW w:w="25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4</w:t>
            </w:r>
            <w:r>
              <w:rPr>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vMerge w:val="continue"/>
            <w:tcBorders>
              <w:left w:val="single" w:color="auto" w:sz="4" w:space="0"/>
              <w:right w:val="single" w:color="auto" w:sz="4" w:space="0"/>
            </w:tcBorders>
            <w:vAlign w:val="center"/>
          </w:tcPr>
          <w:p>
            <w:pPr>
              <w:pStyle w:val="45"/>
              <w:rPr>
                <w:color w:val="000000" w:themeColor="text1"/>
              </w:rPr>
            </w:pPr>
          </w:p>
        </w:tc>
        <w:tc>
          <w:tcPr>
            <w:tcW w:w="23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2号抛光车间</w:t>
            </w:r>
          </w:p>
        </w:tc>
        <w:tc>
          <w:tcPr>
            <w:tcW w:w="229"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G</w:t>
            </w:r>
            <w:r>
              <w:rPr>
                <w:color w:val="000000" w:themeColor="text1"/>
              </w:rPr>
              <w:t>2</w:t>
            </w:r>
            <w:r>
              <w:rPr>
                <w:rFonts w:hint="eastAsia"/>
                <w:color w:val="000000" w:themeColor="text1"/>
              </w:rPr>
              <w:t>排气筒</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颗粒物</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0"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.69</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.05542</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.02494</w:t>
            </w:r>
          </w:p>
        </w:tc>
        <w:tc>
          <w:tcPr>
            <w:tcW w:w="73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集气罩+1套水喷淋塔C+一根15m G</w:t>
            </w:r>
            <w:r>
              <w:rPr>
                <w:color w:val="000000" w:themeColor="text1"/>
              </w:rPr>
              <w:t>2</w:t>
            </w:r>
            <w:r>
              <w:rPr>
                <w:rFonts w:hint="eastAsia"/>
                <w:color w:val="000000" w:themeColor="text1"/>
              </w:rPr>
              <w:t>排气筒</w:t>
            </w:r>
          </w:p>
        </w:tc>
        <w:tc>
          <w:tcPr>
            <w:tcW w:w="36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7</w:t>
            </w:r>
            <w:r>
              <w:rPr>
                <w:color w:val="000000" w:themeColor="text1"/>
              </w:rPr>
              <w:t>0</w:t>
            </w:r>
          </w:p>
        </w:tc>
        <w:tc>
          <w:tcPr>
            <w:tcW w:w="24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.11</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.01663</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.00748</w:t>
            </w:r>
          </w:p>
        </w:tc>
        <w:tc>
          <w:tcPr>
            <w:tcW w:w="25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4</w:t>
            </w:r>
            <w:r>
              <w:rPr>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vMerge w:val="continue"/>
            <w:tcBorders>
              <w:left w:val="single" w:color="auto" w:sz="4" w:space="0"/>
              <w:right w:val="single" w:color="auto" w:sz="4" w:space="0"/>
            </w:tcBorders>
            <w:vAlign w:val="center"/>
          </w:tcPr>
          <w:p>
            <w:pPr>
              <w:pStyle w:val="45"/>
              <w:rPr>
                <w:color w:val="000000" w:themeColor="text1"/>
              </w:rPr>
            </w:pPr>
          </w:p>
        </w:tc>
        <w:tc>
          <w:tcPr>
            <w:tcW w:w="23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3号抛光车间</w:t>
            </w:r>
          </w:p>
        </w:tc>
        <w:tc>
          <w:tcPr>
            <w:tcW w:w="229"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G</w:t>
            </w:r>
            <w:r>
              <w:rPr>
                <w:color w:val="000000" w:themeColor="text1"/>
              </w:rPr>
              <w:t>2</w:t>
            </w:r>
            <w:r>
              <w:rPr>
                <w:rFonts w:hint="eastAsia"/>
                <w:color w:val="000000" w:themeColor="text1"/>
              </w:rPr>
              <w:t>排气筒</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颗粒物</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0"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.69</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.05542</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.02494</w:t>
            </w:r>
          </w:p>
        </w:tc>
        <w:tc>
          <w:tcPr>
            <w:tcW w:w="73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集气罩+1套水喷淋塔D+一根15m G</w:t>
            </w:r>
            <w:r>
              <w:rPr>
                <w:color w:val="000000" w:themeColor="text1"/>
              </w:rPr>
              <w:t>2</w:t>
            </w:r>
            <w:r>
              <w:rPr>
                <w:rFonts w:hint="eastAsia"/>
                <w:color w:val="000000" w:themeColor="text1"/>
              </w:rPr>
              <w:t>排气筒</w:t>
            </w:r>
          </w:p>
        </w:tc>
        <w:tc>
          <w:tcPr>
            <w:tcW w:w="36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7</w:t>
            </w:r>
            <w:r>
              <w:rPr>
                <w:color w:val="000000" w:themeColor="text1"/>
              </w:rPr>
              <w:t>0</w:t>
            </w:r>
          </w:p>
        </w:tc>
        <w:tc>
          <w:tcPr>
            <w:tcW w:w="24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.11</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.01663</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.00748</w:t>
            </w:r>
          </w:p>
        </w:tc>
        <w:tc>
          <w:tcPr>
            <w:tcW w:w="25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4</w:t>
            </w:r>
            <w:r>
              <w:rPr>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178" w:type="pct"/>
            <w:vMerge w:val="continue"/>
            <w:tcBorders>
              <w:left w:val="single" w:color="auto" w:sz="4" w:space="0"/>
              <w:right w:val="single" w:color="auto" w:sz="4" w:space="0"/>
            </w:tcBorders>
            <w:vAlign w:val="center"/>
          </w:tcPr>
          <w:p>
            <w:pPr>
              <w:pStyle w:val="45"/>
              <w:rPr>
                <w:color w:val="000000" w:themeColor="text1"/>
              </w:rPr>
            </w:pPr>
          </w:p>
        </w:tc>
        <w:tc>
          <w:tcPr>
            <w:tcW w:w="23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4号抛光车间</w:t>
            </w:r>
          </w:p>
        </w:tc>
        <w:tc>
          <w:tcPr>
            <w:tcW w:w="229"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G</w:t>
            </w:r>
            <w:r>
              <w:rPr>
                <w:color w:val="000000" w:themeColor="text1"/>
              </w:rPr>
              <w:t>3</w:t>
            </w:r>
            <w:r>
              <w:rPr>
                <w:rFonts w:hint="eastAsia"/>
                <w:color w:val="000000" w:themeColor="text1"/>
              </w:rPr>
              <w:t>排气筒</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颗粒物</w:t>
            </w:r>
          </w:p>
        </w:tc>
        <w:tc>
          <w:tcPr>
            <w:tcW w:w="229"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0"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3</w:t>
            </w:r>
            <w:r>
              <w:rPr>
                <w:color w:val="000000" w:themeColor="text1"/>
              </w:rPr>
              <w:t>.69</w:t>
            </w:r>
          </w:p>
        </w:tc>
        <w:tc>
          <w:tcPr>
            <w:tcW w:w="304"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.05542</w:t>
            </w:r>
          </w:p>
        </w:tc>
        <w:tc>
          <w:tcPr>
            <w:tcW w:w="240"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.02494</w:t>
            </w:r>
          </w:p>
        </w:tc>
        <w:tc>
          <w:tcPr>
            <w:tcW w:w="73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集气罩+1套水喷淋塔E+一根15m G</w:t>
            </w:r>
            <w:r>
              <w:rPr>
                <w:color w:val="000000" w:themeColor="text1"/>
              </w:rPr>
              <w:t>3</w:t>
            </w:r>
            <w:r>
              <w:rPr>
                <w:rFonts w:hint="eastAsia"/>
                <w:color w:val="000000" w:themeColor="text1"/>
              </w:rPr>
              <w:t>排气筒</w:t>
            </w:r>
          </w:p>
        </w:tc>
        <w:tc>
          <w:tcPr>
            <w:tcW w:w="36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7</w:t>
            </w:r>
            <w:r>
              <w:rPr>
                <w:color w:val="000000" w:themeColor="text1"/>
              </w:rPr>
              <w:t>0</w:t>
            </w:r>
          </w:p>
        </w:tc>
        <w:tc>
          <w:tcPr>
            <w:tcW w:w="240"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产污系数法</w:t>
            </w:r>
          </w:p>
        </w:tc>
        <w:tc>
          <w:tcPr>
            <w:tcW w:w="288" w:type="pct"/>
            <w:tcBorders>
              <w:top w:val="single" w:color="auto" w:sz="4" w:space="0"/>
              <w:left w:val="nil"/>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5000</w:t>
            </w:r>
          </w:p>
        </w:tc>
        <w:tc>
          <w:tcPr>
            <w:tcW w:w="336"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1</w:t>
            </w:r>
            <w:r>
              <w:rPr>
                <w:color w:val="000000" w:themeColor="text1"/>
              </w:rPr>
              <w:t>.11</w:t>
            </w:r>
          </w:p>
        </w:tc>
        <w:tc>
          <w:tcPr>
            <w:tcW w:w="288"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.01663</w:t>
            </w:r>
          </w:p>
        </w:tc>
        <w:tc>
          <w:tcPr>
            <w:tcW w:w="235" w:type="pct"/>
            <w:tcBorders>
              <w:top w:val="single" w:color="auto" w:sz="4" w:space="0"/>
              <w:left w:val="single" w:color="auto" w:sz="4" w:space="0"/>
              <w:bottom w:val="single" w:color="auto" w:sz="4" w:space="0"/>
              <w:right w:val="single" w:color="auto" w:sz="4" w:space="0"/>
            </w:tcBorders>
            <w:vAlign w:val="center"/>
          </w:tcPr>
          <w:p>
            <w:pPr>
              <w:pStyle w:val="45"/>
              <w:rPr>
                <w:color w:val="000000" w:themeColor="text1"/>
              </w:rPr>
            </w:pPr>
            <w:r>
              <w:rPr>
                <w:rFonts w:hint="eastAsia"/>
                <w:color w:val="000000" w:themeColor="text1"/>
              </w:rPr>
              <w:t>0</w:t>
            </w:r>
            <w:r>
              <w:rPr>
                <w:color w:val="000000" w:themeColor="text1"/>
              </w:rPr>
              <w:t>.00748</w:t>
            </w:r>
          </w:p>
        </w:tc>
        <w:tc>
          <w:tcPr>
            <w:tcW w:w="255" w:type="pct"/>
            <w:tcBorders>
              <w:top w:val="single" w:color="auto" w:sz="4" w:space="0"/>
              <w:left w:val="nil"/>
              <w:bottom w:val="single" w:color="auto" w:sz="4" w:space="0"/>
              <w:right w:val="single" w:color="auto" w:sz="4" w:space="0"/>
            </w:tcBorders>
            <w:vAlign w:val="center"/>
          </w:tcPr>
          <w:p>
            <w:pPr>
              <w:pStyle w:val="45"/>
              <w:rPr>
                <w:color w:val="000000" w:themeColor="text1"/>
              </w:rPr>
            </w:pPr>
            <w:r>
              <w:rPr>
                <w:rFonts w:hint="eastAsia"/>
                <w:color w:val="000000" w:themeColor="text1"/>
              </w:rPr>
              <w:t>4</w:t>
            </w:r>
            <w:r>
              <w:rPr>
                <w:color w:val="000000" w:themeColor="text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5000" w:type="pct"/>
            <w:gridSpan w:val="17"/>
            <w:vAlign w:val="center"/>
          </w:tcPr>
          <w:p>
            <w:pPr>
              <w:pStyle w:val="45"/>
              <w:rPr>
                <w:color w:val="000000" w:themeColor="text1"/>
              </w:rPr>
            </w:pPr>
            <w:r>
              <w:rPr>
                <w:rFonts w:hint="eastAsia"/>
                <w:color w:val="000000" w:themeColor="text1"/>
              </w:rPr>
              <w:t>注：对于新（改、扩）建工程污染源源强核算，应为最大值。</w:t>
            </w:r>
          </w:p>
        </w:tc>
      </w:tr>
    </w:tbl>
    <w:p>
      <w:pPr>
        <w:spacing w:beforeLines="50" w:line="240" w:lineRule="auto"/>
        <w:ind w:firstLine="0" w:firstLineChars="0"/>
        <w:jc w:val="center"/>
        <w:rPr>
          <w:rFonts w:cs="Calibri"/>
          <w:b/>
          <w:bCs/>
          <w:color w:val="000000" w:themeColor="text1"/>
          <w:sz w:val="21"/>
          <w:szCs w:val="21"/>
        </w:rPr>
      </w:pPr>
      <w:r>
        <w:rPr>
          <w:rFonts w:hint="eastAsia" w:cs="Calibri"/>
          <w:b/>
          <w:bCs/>
          <w:color w:val="000000" w:themeColor="text1"/>
          <w:sz w:val="21"/>
          <w:szCs w:val="21"/>
        </w:rPr>
        <w:t>附表4-2 本项目生活污水污染源源强核算结果及相关参数一览表</w:t>
      </w:r>
    </w:p>
    <w:tbl>
      <w:tblPr>
        <w:tblStyle w:val="22"/>
        <w:tblW w:w="46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
        <w:gridCol w:w="949"/>
        <w:gridCol w:w="949"/>
        <w:gridCol w:w="789"/>
        <w:gridCol w:w="1025"/>
        <w:gridCol w:w="1162"/>
        <w:gridCol w:w="1049"/>
        <w:gridCol w:w="726"/>
        <w:gridCol w:w="962"/>
        <w:gridCol w:w="640"/>
        <w:gridCol w:w="941"/>
        <w:gridCol w:w="1241"/>
        <w:gridCol w:w="942"/>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62" w:type="pct"/>
            <w:vMerge w:val="restart"/>
            <w:tcBorders>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r>
              <w:rPr>
                <w:rFonts w:hint="eastAsia" w:cs="Times New Roman"/>
                <w:color w:val="000000" w:themeColor="text1"/>
                <w:sz w:val="21"/>
                <w:lang w:val="zh-CN"/>
              </w:rPr>
              <w:t>工序/生产线</w:t>
            </w:r>
          </w:p>
        </w:tc>
        <w:tc>
          <w:tcPr>
            <w:tcW w:w="362" w:type="pct"/>
            <w:vMerge w:val="restart"/>
            <w:tcBorders>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r>
              <w:rPr>
                <w:rFonts w:hint="eastAsia" w:cs="Times New Roman"/>
                <w:color w:val="000000" w:themeColor="text1"/>
                <w:sz w:val="21"/>
                <w:lang w:val="zh-CN"/>
              </w:rPr>
              <w:t>装置</w:t>
            </w:r>
          </w:p>
        </w:tc>
        <w:tc>
          <w:tcPr>
            <w:tcW w:w="362" w:type="pct"/>
            <w:vMerge w:val="restart"/>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污染物</w:t>
            </w:r>
          </w:p>
        </w:tc>
        <w:tc>
          <w:tcPr>
            <w:tcW w:w="1535" w:type="pct"/>
            <w:gridSpan w:val="4"/>
            <w:tcBorders>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污染物产生</w:t>
            </w:r>
          </w:p>
        </w:tc>
        <w:tc>
          <w:tcPr>
            <w:tcW w:w="644" w:type="pct"/>
            <w:gridSpan w:val="2"/>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治理措施</w:t>
            </w:r>
          </w:p>
        </w:tc>
        <w:tc>
          <w:tcPr>
            <w:tcW w:w="1435" w:type="pct"/>
            <w:gridSpan w:val="4"/>
            <w:tcBorders>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污染物排放</w:t>
            </w:r>
          </w:p>
        </w:tc>
        <w:tc>
          <w:tcPr>
            <w:tcW w:w="301" w:type="pct"/>
            <w:vMerge w:val="restart"/>
            <w:tcBorders>
              <w:lef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362" w:type="pct"/>
            <w:vMerge w:val="continue"/>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362" w:type="pct"/>
            <w:vMerge w:val="continue"/>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362"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30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核算</w:t>
            </w:r>
          </w:p>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方法</w:t>
            </w:r>
          </w:p>
        </w:tc>
        <w:tc>
          <w:tcPr>
            <w:tcW w:w="391"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产生量废水（t/a）</w:t>
            </w:r>
          </w:p>
        </w:tc>
        <w:tc>
          <w:tcPr>
            <w:tcW w:w="443"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产生浓度</w:t>
            </w:r>
          </w:p>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（mg/</w:t>
            </w:r>
            <w:r>
              <w:rPr>
                <w:rFonts w:hint="eastAsia" w:cs="Times New Roman"/>
                <w:color w:val="000000" w:themeColor="text1"/>
                <w:sz w:val="21"/>
                <w:lang w:val="zh-CN"/>
              </w:rPr>
              <w:t>L</w:t>
            </w:r>
            <w:r>
              <w:rPr>
                <w:rFonts w:cs="Times New Roman"/>
                <w:color w:val="000000" w:themeColor="text1"/>
                <w:sz w:val="21"/>
                <w:lang w:val="zh-CN"/>
              </w:rPr>
              <w:t>）</w:t>
            </w:r>
          </w:p>
        </w:tc>
        <w:tc>
          <w:tcPr>
            <w:tcW w:w="399"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产生</w:t>
            </w:r>
            <w:r>
              <w:rPr>
                <w:rFonts w:hint="eastAsia" w:cs="Times New Roman"/>
                <w:color w:val="000000" w:themeColor="text1"/>
                <w:sz w:val="21"/>
                <w:lang w:val="zh-CN"/>
              </w:rPr>
              <w:t>量</w:t>
            </w:r>
            <w:r>
              <w:rPr>
                <w:rFonts w:cs="Times New Roman"/>
                <w:color w:val="000000" w:themeColor="text1"/>
                <w:sz w:val="21"/>
                <w:lang w:val="zh-CN"/>
              </w:rPr>
              <w:t>（</w:t>
            </w:r>
            <w:r>
              <w:rPr>
                <w:rFonts w:hint="eastAsia" w:cs="Times New Roman"/>
                <w:color w:val="000000" w:themeColor="text1"/>
                <w:sz w:val="21"/>
                <w:lang w:val="zh-CN"/>
              </w:rPr>
              <w:t>t/a）</w:t>
            </w:r>
          </w:p>
        </w:tc>
        <w:tc>
          <w:tcPr>
            <w:tcW w:w="27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工艺</w:t>
            </w:r>
          </w:p>
        </w:tc>
        <w:tc>
          <w:tcPr>
            <w:tcW w:w="3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效率%</w:t>
            </w:r>
          </w:p>
        </w:tc>
        <w:tc>
          <w:tcPr>
            <w:tcW w:w="24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核算方法</w:t>
            </w:r>
          </w:p>
        </w:tc>
        <w:tc>
          <w:tcPr>
            <w:tcW w:w="359"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废水排放量（t/a）</w:t>
            </w:r>
          </w:p>
        </w:tc>
        <w:tc>
          <w:tcPr>
            <w:tcW w:w="473"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排放</w:t>
            </w:r>
            <w:r>
              <w:rPr>
                <w:rFonts w:cs="Times New Roman"/>
                <w:color w:val="000000" w:themeColor="text1"/>
                <w:sz w:val="21"/>
                <w:lang w:val="zh-CN"/>
              </w:rPr>
              <w:t>浓度</w:t>
            </w:r>
          </w:p>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（mg/</w:t>
            </w:r>
            <w:r>
              <w:rPr>
                <w:rFonts w:hint="eastAsia" w:cs="Times New Roman"/>
                <w:color w:val="000000" w:themeColor="text1"/>
                <w:sz w:val="21"/>
                <w:lang w:val="zh-CN"/>
              </w:rPr>
              <w:t>L</w:t>
            </w:r>
            <w:r>
              <w:rPr>
                <w:rFonts w:cs="Times New Roman"/>
                <w:color w:val="000000" w:themeColor="text1"/>
                <w:sz w:val="21"/>
                <w:lang w:val="zh-CN"/>
              </w:rPr>
              <w:t>）</w:t>
            </w:r>
          </w:p>
        </w:tc>
        <w:tc>
          <w:tcPr>
            <w:tcW w:w="359"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排放</w:t>
            </w:r>
            <w:r>
              <w:rPr>
                <w:rFonts w:hint="eastAsia" w:cs="Times New Roman"/>
                <w:color w:val="000000" w:themeColor="text1"/>
                <w:sz w:val="21"/>
                <w:lang w:val="zh-CN"/>
              </w:rPr>
              <w:t>量</w:t>
            </w:r>
            <w:r>
              <w:rPr>
                <w:rFonts w:cs="Times New Roman"/>
                <w:color w:val="000000" w:themeColor="text1"/>
                <w:sz w:val="21"/>
                <w:lang w:val="zh-CN"/>
              </w:rPr>
              <w:t>（</w:t>
            </w:r>
            <w:r>
              <w:rPr>
                <w:rFonts w:hint="eastAsia" w:cs="Times New Roman"/>
                <w:color w:val="000000" w:themeColor="text1"/>
                <w:sz w:val="21"/>
                <w:lang w:val="zh-CN"/>
              </w:rPr>
              <w:t>t/a</w:t>
            </w:r>
            <w:r>
              <w:rPr>
                <w:rFonts w:cs="Times New Roman"/>
                <w:color w:val="000000" w:themeColor="text1"/>
                <w:sz w:val="21"/>
                <w:lang w:val="zh-CN"/>
              </w:rPr>
              <w:t>）</w:t>
            </w:r>
          </w:p>
        </w:tc>
        <w:tc>
          <w:tcPr>
            <w:tcW w:w="301" w:type="pct"/>
            <w:vMerge w:val="continue"/>
            <w:tcBorders>
              <w:left w:val="single" w:color="auto" w:sz="4" w:space="0"/>
              <w:bottom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62"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COD</w:t>
            </w:r>
            <w:r>
              <w:rPr>
                <w:rFonts w:cs="Times New Roman"/>
                <w:color w:val="000000" w:themeColor="text1"/>
                <w:sz w:val="21"/>
                <w:vertAlign w:val="subscript"/>
                <w:lang w:val="zh-CN"/>
              </w:rPr>
              <w:t>Cr</w:t>
            </w:r>
          </w:p>
        </w:tc>
        <w:tc>
          <w:tcPr>
            <w:tcW w:w="301" w:type="pct"/>
            <w:vMerge w:val="restar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类比法</w:t>
            </w:r>
          </w:p>
        </w:tc>
        <w:tc>
          <w:tcPr>
            <w:tcW w:w="391" w:type="pct"/>
            <w:vMerge w:val="restar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133.92</w:t>
            </w:r>
          </w:p>
        </w:tc>
        <w:tc>
          <w:tcPr>
            <w:tcW w:w="443"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300</w:t>
            </w:r>
          </w:p>
        </w:tc>
        <w:tc>
          <w:tcPr>
            <w:tcW w:w="399"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.0402</w:t>
            </w:r>
          </w:p>
        </w:tc>
        <w:tc>
          <w:tcPr>
            <w:tcW w:w="277" w:type="pct"/>
            <w:vMerge w:val="restar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三级化粪池</w:t>
            </w:r>
          </w:p>
        </w:tc>
        <w:tc>
          <w:tcPr>
            <w:tcW w:w="367"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6.7</w:t>
            </w:r>
          </w:p>
        </w:tc>
        <w:tc>
          <w:tcPr>
            <w:tcW w:w="244" w:type="pct"/>
            <w:vMerge w:val="restar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排污系数法</w:t>
            </w:r>
          </w:p>
        </w:tc>
        <w:tc>
          <w:tcPr>
            <w:tcW w:w="359" w:type="pct"/>
            <w:vMerge w:val="restar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33.92</w:t>
            </w:r>
          </w:p>
        </w:tc>
        <w:tc>
          <w:tcPr>
            <w:tcW w:w="473"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w:t>
            </w:r>
            <w:r>
              <w:rPr>
                <w:rFonts w:cs="Times New Roman"/>
                <w:color w:val="000000" w:themeColor="text1"/>
                <w:sz w:val="21"/>
                <w:lang w:val="zh-CN"/>
              </w:rPr>
              <w:t>50</w:t>
            </w:r>
          </w:p>
        </w:tc>
        <w:tc>
          <w:tcPr>
            <w:tcW w:w="359"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.0335</w:t>
            </w:r>
          </w:p>
        </w:tc>
        <w:tc>
          <w:tcPr>
            <w:tcW w:w="301" w:type="pct"/>
            <w:vMerge w:val="restart"/>
            <w:tcBorders>
              <w:top w:val="single" w:color="auto" w:sz="4" w:space="0"/>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w:t>
            </w:r>
            <w:r>
              <w:rPr>
                <w:rFonts w:cs="Times New Roman"/>
                <w:color w:val="000000" w:themeColor="text1"/>
                <w:sz w:val="21"/>
                <w:lang w:val="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BOD</w:t>
            </w:r>
            <w:r>
              <w:rPr>
                <w:rFonts w:cs="Times New Roman"/>
                <w:color w:val="000000" w:themeColor="text1"/>
                <w:sz w:val="21"/>
                <w:vertAlign w:val="subscript"/>
                <w:lang w:val="zh-CN"/>
              </w:rPr>
              <w:t>5</w:t>
            </w:r>
          </w:p>
        </w:tc>
        <w:tc>
          <w:tcPr>
            <w:tcW w:w="30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9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4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180</w:t>
            </w:r>
          </w:p>
        </w:tc>
        <w:tc>
          <w:tcPr>
            <w:tcW w:w="39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.0241</w:t>
            </w:r>
          </w:p>
        </w:tc>
        <w:tc>
          <w:tcPr>
            <w:tcW w:w="277"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6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1.1</w:t>
            </w:r>
          </w:p>
        </w:tc>
        <w:tc>
          <w:tcPr>
            <w:tcW w:w="244"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59"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7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60</w:t>
            </w:r>
          </w:p>
        </w:tc>
        <w:tc>
          <w:tcPr>
            <w:tcW w:w="35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.0214</w:t>
            </w:r>
          </w:p>
        </w:tc>
        <w:tc>
          <w:tcPr>
            <w:tcW w:w="301" w:type="pct"/>
            <w:vMerge w:val="continue"/>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SS</w:t>
            </w:r>
          </w:p>
        </w:tc>
        <w:tc>
          <w:tcPr>
            <w:tcW w:w="30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9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4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200</w:t>
            </w:r>
          </w:p>
        </w:tc>
        <w:tc>
          <w:tcPr>
            <w:tcW w:w="39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.0268</w:t>
            </w:r>
          </w:p>
        </w:tc>
        <w:tc>
          <w:tcPr>
            <w:tcW w:w="277"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6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3</w:t>
            </w:r>
            <w:r>
              <w:rPr>
                <w:rFonts w:cs="Times New Roman"/>
                <w:color w:val="000000" w:themeColor="text1"/>
                <w:sz w:val="21"/>
                <w:lang w:val="zh-CN"/>
              </w:rPr>
              <w:t>0</w:t>
            </w:r>
          </w:p>
        </w:tc>
        <w:tc>
          <w:tcPr>
            <w:tcW w:w="244"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59"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7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40</w:t>
            </w:r>
          </w:p>
        </w:tc>
        <w:tc>
          <w:tcPr>
            <w:tcW w:w="35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.0187</w:t>
            </w:r>
          </w:p>
        </w:tc>
        <w:tc>
          <w:tcPr>
            <w:tcW w:w="301" w:type="pct"/>
            <w:vMerge w:val="continue"/>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6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氨氮</w:t>
            </w:r>
          </w:p>
        </w:tc>
        <w:tc>
          <w:tcPr>
            <w:tcW w:w="30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91"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4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35</w:t>
            </w:r>
          </w:p>
        </w:tc>
        <w:tc>
          <w:tcPr>
            <w:tcW w:w="39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.0047</w:t>
            </w:r>
          </w:p>
        </w:tc>
        <w:tc>
          <w:tcPr>
            <w:tcW w:w="277"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6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8</w:t>
            </w:r>
            <w:r>
              <w:rPr>
                <w:rFonts w:cs="Times New Roman"/>
                <w:color w:val="000000" w:themeColor="text1"/>
                <w:sz w:val="21"/>
                <w:lang w:val="zh-CN"/>
              </w:rPr>
              <w:t>.6</w:t>
            </w:r>
          </w:p>
        </w:tc>
        <w:tc>
          <w:tcPr>
            <w:tcW w:w="244"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59" w:type="pct"/>
            <w:vMerge w:val="continue"/>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73"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3</w:t>
            </w:r>
            <w:r>
              <w:rPr>
                <w:rFonts w:cs="Times New Roman"/>
                <w:color w:val="000000" w:themeColor="text1"/>
                <w:sz w:val="21"/>
                <w:lang w:val="zh-CN"/>
              </w:rPr>
              <w:t>2</w:t>
            </w:r>
          </w:p>
        </w:tc>
        <w:tc>
          <w:tcPr>
            <w:tcW w:w="35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.0043</w:t>
            </w:r>
          </w:p>
        </w:tc>
        <w:tc>
          <w:tcPr>
            <w:tcW w:w="301" w:type="pct"/>
            <w:vMerge w:val="continue"/>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p>
        </w:tc>
      </w:tr>
    </w:tbl>
    <w:p>
      <w:pPr>
        <w:ind w:firstLine="480"/>
        <w:rPr>
          <w:color w:val="000000" w:themeColor="text1"/>
        </w:rPr>
      </w:pPr>
    </w:p>
    <w:p>
      <w:pPr>
        <w:spacing w:line="240" w:lineRule="auto"/>
        <w:ind w:firstLine="0" w:firstLineChars="0"/>
        <w:jc w:val="center"/>
        <w:rPr>
          <w:rFonts w:cs="Calibri"/>
          <w:b/>
          <w:bCs/>
          <w:color w:val="000000" w:themeColor="text1"/>
          <w:sz w:val="21"/>
          <w:szCs w:val="21"/>
        </w:rPr>
      </w:pPr>
      <w:r>
        <w:rPr>
          <w:rFonts w:hint="eastAsia" w:cs="Calibri"/>
          <w:b/>
          <w:bCs/>
          <w:color w:val="000000" w:themeColor="text1"/>
          <w:sz w:val="21"/>
          <w:szCs w:val="21"/>
        </w:rPr>
        <w:t>附表4-3 本项目噪声</w:t>
      </w:r>
      <w:r>
        <w:rPr>
          <w:rFonts w:cs="Calibri"/>
          <w:b/>
          <w:bCs/>
          <w:color w:val="000000" w:themeColor="text1"/>
          <w:sz w:val="21"/>
          <w:szCs w:val="21"/>
        </w:rPr>
        <w:t>污染</w:t>
      </w:r>
      <w:r>
        <w:rPr>
          <w:rFonts w:hint="eastAsia" w:cs="Calibri"/>
          <w:b/>
          <w:bCs/>
          <w:color w:val="000000" w:themeColor="text1"/>
          <w:sz w:val="21"/>
          <w:szCs w:val="21"/>
        </w:rPr>
        <w:t>源源强核算结果及相关参数一览表</w:t>
      </w:r>
    </w:p>
    <w:tbl>
      <w:tblPr>
        <w:tblStyle w:val="22"/>
        <w:tblW w:w="46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8"/>
        <w:gridCol w:w="968"/>
        <w:gridCol w:w="968"/>
        <w:gridCol w:w="1266"/>
        <w:gridCol w:w="1162"/>
        <w:gridCol w:w="1224"/>
        <w:gridCol w:w="1272"/>
        <w:gridCol w:w="1413"/>
        <w:gridCol w:w="1128"/>
        <w:gridCol w:w="1130"/>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370" w:type="pct"/>
            <w:vMerge w:val="restart"/>
            <w:tcBorders>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r>
              <w:rPr>
                <w:rFonts w:hint="eastAsia" w:cs="Times New Roman"/>
                <w:color w:val="000000" w:themeColor="text1"/>
                <w:sz w:val="21"/>
                <w:lang w:val="zh-CN"/>
              </w:rPr>
              <w:t>工序/生产线</w:t>
            </w:r>
          </w:p>
        </w:tc>
        <w:tc>
          <w:tcPr>
            <w:tcW w:w="370" w:type="pct"/>
            <w:vMerge w:val="restart"/>
            <w:tcBorders>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r>
              <w:rPr>
                <w:rFonts w:hint="eastAsia" w:cs="Times New Roman"/>
                <w:color w:val="000000" w:themeColor="text1"/>
                <w:sz w:val="21"/>
                <w:lang w:val="zh-CN"/>
              </w:rPr>
              <w:t>装置</w:t>
            </w:r>
          </w:p>
        </w:tc>
        <w:tc>
          <w:tcPr>
            <w:tcW w:w="370"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噪声</w:t>
            </w:r>
            <w:r>
              <w:rPr>
                <w:rFonts w:cs="Times New Roman"/>
                <w:color w:val="000000" w:themeColor="text1"/>
                <w:sz w:val="21"/>
                <w:lang w:val="zh-CN"/>
              </w:rPr>
              <w:t>源</w:t>
            </w:r>
          </w:p>
        </w:tc>
        <w:tc>
          <w:tcPr>
            <w:tcW w:w="484" w:type="pct"/>
            <w:vMerge w:val="restart"/>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声</w:t>
            </w:r>
            <w:r>
              <w:rPr>
                <w:rFonts w:cs="Times New Roman"/>
                <w:color w:val="000000" w:themeColor="text1"/>
                <w:sz w:val="21"/>
                <w:lang w:val="zh-CN"/>
              </w:rPr>
              <w:t>源类型</w:t>
            </w:r>
          </w:p>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w:t>
            </w:r>
            <w:r>
              <w:rPr>
                <w:rFonts w:cs="Times New Roman"/>
                <w:color w:val="000000" w:themeColor="text1"/>
                <w:sz w:val="21"/>
                <w:lang w:val="zh-CN"/>
              </w:rPr>
              <w:t>发、偶发等</w:t>
            </w:r>
            <w:r>
              <w:rPr>
                <w:rFonts w:hint="eastAsia" w:cs="Times New Roman"/>
                <w:color w:val="000000" w:themeColor="text1"/>
                <w:sz w:val="21"/>
                <w:lang w:val="zh-CN"/>
              </w:rPr>
              <w:t>）</w:t>
            </w:r>
          </w:p>
        </w:tc>
        <w:tc>
          <w:tcPr>
            <w:tcW w:w="912" w:type="pct"/>
            <w:gridSpan w:val="2"/>
            <w:tcBorders>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噪声</w:t>
            </w:r>
            <w:r>
              <w:rPr>
                <w:rFonts w:cs="Times New Roman"/>
                <w:color w:val="000000" w:themeColor="text1"/>
                <w:sz w:val="21"/>
                <w:lang w:val="zh-CN"/>
              </w:rPr>
              <w:t>源强</w:t>
            </w:r>
          </w:p>
        </w:tc>
        <w:tc>
          <w:tcPr>
            <w:tcW w:w="1026" w:type="pct"/>
            <w:gridSpan w:val="2"/>
            <w:tcBorders>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降噪</w:t>
            </w:r>
            <w:r>
              <w:rPr>
                <w:rFonts w:cs="Times New Roman"/>
                <w:color w:val="000000" w:themeColor="text1"/>
                <w:sz w:val="21"/>
                <w:lang w:val="zh-CN"/>
              </w:rPr>
              <w:t>措施</w:t>
            </w:r>
          </w:p>
        </w:tc>
        <w:tc>
          <w:tcPr>
            <w:tcW w:w="863" w:type="pct"/>
            <w:gridSpan w:val="2"/>
            <w:tcBorders>
              <w:lef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噪声</w:t>
            </w:r>
            <w:r>
              <w:rPr>
                <w:rFonts w:cs="Times New Roman"/>
                <w:color w:val="000000" w:themeColor="text1"/>
                <w:sz w:val="21"/>
                <w:lang w:val="zh-CN"/>
              </w:rPr>
              <w:t>排放值</w:t>
            </w:r>
          </w:p>
        </w:tc>
        <w:tc>
          <w:tcPr>
            <w:tcW w:w="605" w:type="pct"/>
            <w:vMerge w:val="restart"/>
            <w:tcBorders>
              <w:lef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持续</w:t>
            </w:r>
            <w:r>
              <w:rPr>
                <w:rFonts w:cs="Times New Roman"/>
                <w:color w:val="000000" w:themeColor="text1"/>
                <w:sz w:val="21"/>
                <w:lang w:val="zh-CN"/>
              </w:rPr>
              <w:t>时间</w:t>
            </w:r>
            <w:r>
              <w:rPr>
                <w:rFonts w:hint="eastAsia" w:cs="Times New Roman"/>
                <w:color w:val="000000" w:themeColor="text1"/>
                <w:sz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370" w:type="pct"/>
            <w:vMerge w:val="continue"/>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370" w:type="pct"/>
            <w:vMerge w:val="continue"/>
            <w:tcBorders>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370" w:type="pct"/>
            <w:vMerge w:val="continue"/>
            <w:tcBorders>
              <w:bottom w:val="single" w:color="auto" w:sz="4" w:space="0"/>
            </w:tcBorders>
          </w:tcPr>
          <w:p>
            <w:pPr>
              <w:adjustRightInd w:val="0"/>
              <w:snapToGrid w:val="0"/>
              <w:spacing w:line="240" w:lineRule="auto"/>
              <w:ind w:firstLine="0" w:firstLineChars="0"/>
              <w:jc w:val="center"/>
              <w:rPr>
                <w:rFonts w:cs="Times New Roman"/>
                <w:color w:val="000000" w:themeColor="text1"/>
                <w:sz w:val="21"/>
                <w:lang w:val="zh-CN" w:eastAsia="en-US"/>
              </w:rPr>
            </w:pPr>
          </w:p>
        </w:tc>
        <w:tc>
          <w:tcPr>
            <w:tcW w:w="484" w:type="pct"/>
            <w:vMerge w:val="continue"/>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eastAsia="en-US"/>
              </w:rPr>
            </w:pPr>
          </w:p>
        </w:tc>
        <w:tc>
          <w:tcPr>
            <w:tcW w:w="444"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核算</w:t>
            </w:r>
          </w:p>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方法</w:t>
            </w:r>
          </w:p>
        </w:tc>
        <w:tc>
          <w:tcPr>
            <w:tcW w:w="468"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噪声</w:t>
            </w:r>
            <w:r>
              <w:rPr>
                <w:rFonts w:cs="Times New Roman"/>
                <w:color w:val="000000" w:themeColor="text1"/>
                <w:sz w:val="21"/>
                <w:lang w:val="zh-CN"/>
              </w:rPr>
              <w:t>值dB(A)</w:t>
            </w:r>
          </w:p>
        </w:tc>
        <w:tc>
          <w:tcPr>
            <w:tcW w:w="486"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工艺</w:t>
            </w:r>
          </w:p>
        </w:tc>
        <w:tc>
          <w:tcPr>
            <w:tcW w:w="540"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降噪效果</w:t>
            </w:r>
          </w:p>
        </w:tc>
        <w:tc>
          <w:tcPr>
            <w:tcW w:w="43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核算方法</w:t>
            </w:r>
          </w:p>
        </w:tc>
        <w:tc>
          <w:tcPr>
            <w:tcW w:w="432" w:type="pct"/>
            <w:tcBorders>
              <w:left w:val="single" w:color="auto" w:sz="4" w:space="0"/>
              <w:bottom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噪声</w:t>
            </w:r>
            <w:r>
              <w:rPr>
                <w:rFonts w:cs="Times New Roman"/>
                <w:color w:val="000000" w:themeColor="text1"/>
                <w:sz w:val="21"/>
                <w:lang w:val="zh-CN"/>
              </w:rPr>
              <w:t>值</w:t>
            </w:r>
          </w:p>
        </w:tc>
        <w:tc>
          <w:tcPr>
            <w:tcW w:w="605" w:type="pct"/>
            <w:vMerge w:val="continue"/>
            <w:tcBorders>
              <w:left w:val="single" w:color="auto" w:sz="4" w:space="0"/>
              <w:bottom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370" w:type="pct"/>
            <w:tcBorders>
              <w:top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热冲车间</w:t>
            </w:r>
          </w:p>
        </w:tc>
        <w:tc>
          <w:tcPr>
            <w:tcW w:w="370"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tcBorders>
              <w:top w:val="single" w:color="auto" w:sz="4" w:space="0"/>
              <w:bottom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冲床</w:t>
            </w:r>
          </w:p>
        </w:tc>
        <w:tc>
          <w:tcPr>
            <w:tcW w:w="484" w:type="pct"/>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80-85</w:t>
            </w:r>
          </w:p>
        </w:tc>
        <w:tc>
          <w:tcPr>
            <w:tcW w:w="486"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tcBorders>
              <w:top w:val="single" w:color="auto" w:sz="4" w:space="0"/>
              <w:left w:val="nil"/>
              <w:bottom w:val="single" w:color="auto" w:sz="4" w:space="0"/>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top w:val="single" w:color="auto" w:sz="4" w:space="0"/>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restart"/>
            <w:tcBorders>
              <w:top w:val="single" w:color="auto" w:sz="4" w:space="0"/>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4</w:t>
            </w:r>
            <w:r>
              <w:rPr>
                <w:rFonts w:cs="Times New Roman"/>
                <w:color w:val="000000" w:themeColor="text1"/>
                <w:sz w:val="21"/>
                <w:lang w:val="zh-CN"/>
              </w:rPr>
              <w:t>1.7-54.4</w:t>
            </w:r>
          </w:p>
        </w:tc>
        <w:tc>
          <w:tcPr>
            <w:tcW w:w="605" w:type="pct"/>
            <w:tcBorders>
              <w:top w:val="single" w:color="auto" w:sz="4" w:space="0"/>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机加工</w:t>
            </w:r>
          </w:p>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车间</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数控车床</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70-85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钻床</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70-85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开料</w:t>
            </w:r>
            <w:r>
              <w:rPr>
                <w:rFonts w:cs="Times New Roman"/>
                <w:color w:val="000000" w:themeColor="text1"/>
                <w:sz w:val="21"/>
                <w:lang w:val="zh-CN"/>
              </w:rPr>
              <w:t>机</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80-85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空压机</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6</w:t>
            </w:r>
            <w:r>
              <w:rPr>
                <w:rFonts w:cs="Times New Roman"/>
                <w:color w:val="000000" w:themeColor="text1"/>
                <w:sz w:val="21"/>
                <w:lang w:val="zh-CN"/>
              </w:rPr>
              <w:t>0-65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普通车床</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7</w:t>
            </w:r>
            <w:r>
              <w:rPr>
                <w:rFonts w:cs="Times New Roman"/>
                <w:color w:val="000000" w:themeColor="text1"/>
                <w:sz w:val="21"/>
                <w:lang w:val="zh-CN"/>
              </w:rPr>
              <w:t>5-85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包装车间</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试水机</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60-75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抛光</w:t>
            </w:r>
            <w:r>
              <w:rPr>
                <w:rFonts w:cs="Times New Roman"/>
                <w:color w:val="000000" w:themeColor="text1"/>
                <w:sz w:val="21"/>
                <w:lang w:val="zh-CN"/>
              </w:rPr>
              <w:t>打磨车间</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滚砂床</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70-80</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42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7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37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抛光</w:t>
            </w:r>
            <w:r>
              <w:rPr>
                <w:rFonts w:cs="Times New Roman"/>
                <w:color w:val="000000" w:themeColor="text1"/>
                <w:sz w:val="21"/>
                <w:lang w:val="zh-CN"/>
              </w:rPr>
              <w:t>机</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频发</w:t>
            </w:r>
          </w:p>
        </w:tc>
        <w:tc>
          <w:tcPr>
            <w:tcW w:w="444"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w:t>
            </w:r>
          </w:p>
        </w:tc>
        <w:tc>
          <w:tcPr>
            <w:tcW w:w="468"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75-85</w:t>
            </w:r>
          </w:p>
        </w:tc>
        <w:tc>
          <w:tcPr>
            <w:tcW w:w="486" w:type="pct"/>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墙体</w:t>
            </w:r>
            <w:r>
              <w:rPr>
                <w:rFonts w:cs="Times New Roman"/>
                <w:color w:val="000000" w:themeColor="text1"/>
                <w:sz w:val="21"/>
                <w:lang w:val="zh-CN"/>
              </w:rPr>
              <w:t>隔声、距离衰减</w:t>
            </w:r>
          </w:p>
        </w:tc>
        <w:tc>
          <w:tcPr>
            <w:tcW w:w="5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达标</w:t>
            </w:r>
            <w:r>
              <w:rPr>
                <w:rFonts w:cs="Times New Roman"/>
                <w:color w:val="000000" w:themeColor="text1"/>
                <w:sz w:val="21"/>
                <w:lang w:val="zh-CN"/>
              </w:rPr>
              <w:t>排放</w:t>
            </w:r>
          </w:p>
        </w:tc>
        <w:tc>
          <w:tcPr>
            <w:tcW w:w="431" w:type="pct"/>
            <w:tcBorders>
              <w:left w:val="nil"/>
              <w:right w:val="single" w:color="auto" w:sz="4" w:space="0"/>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公式法</w:t>
            </w:r>
          </w:p>
        </w:tc>
        <w:tc>
          <w:tcPr>
            <w:tcW w:w="432" w:type="pct"/>
            <w:vMerge w:val="continue"/>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605" w:type="pct"/>
            <w:tcBorders>
              <w:left w:val="nil"/>
            </w:tcBorders>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1</w:t>
            </w:r>
            <w:r>
              <w:rPr>
                <w:rFonts w:cs="Times New Roman"/>
                <w:color w:val="000000" w:themeColor="text1"/>
                <w:sz w:val="21"/>
                <w:lang w:val="zh-CN"/>
              </w:rPr>
              <w:t>800</w:t>
            </w:r>
          </w:p>
        </w:tc>
      </w:tr>
    </w:tbl>
    <w:p>
      <w:pPr>
        <w:spacing w:line="240" w:lineRule="auto"/>
        <w:ind w:firstLine="422"/>
        <w:jc w:val="left"/>
        <w:rPr>
          <w:rFonts w:cs="Calibri"/>
          <w:b/>
          <w:bCs/>
          <w:color w:val="000000" w:themeColor="text1"/>
          <w:sz w:val="21"/>
          <w:szCs w:val="21"/>
        </w:rPr>
      </w:pPr>
      <w:r>
        <w:rPr>
          <w:rFonts w:hint="eastAsia" w:cs="Calibri"/>
          <w:b/>
          <w:bCs/>
          <w:color w:val="000000" w:themeColor="text1"/>
          <w:sz w:val="21"/>
          <w:szCs w:val="21"/>
        </w:rPr>
        <w:t>注</w:t>
      </w:r>
      <w:r>
        <w:rPr>
          <w:rFonts w:cs="Calibri"/>
          <w:b/>
          <w:bCs/>
          <w:color w:val="000000" w:themeColor="text1"/>
          <w:sz w:val="21"/>
          <w:szCs w:val="21"/>
        </w:rPr>
        <w:t>：</w:t>
      </w:r>
      <w:r>
        <w:rPr>
          <w:rFonts w:hint="eastAsia" w:cs="Calibri"/>
          <w:b/>
          <w:bCs/>
          <w:color w:val="000000" w:themeColor="text1"/>
          <w:sz w:val="21"/>
          <w:szCs w:val="21"/>
        </w:rPr>
        <w:t>项目夜间不生产</w:t>
      </w:r>
    </w:p>
    <w:p>
      <w:pPr>
        <w:spacing w:line="240" w:lineRule="auto"/>
        <w:ind w:firstLine="0" w:firstLineChars="0"/>
        <w:jc w:val="center"/>
        <w:rPr>
          <w:rFonts w:cs="Calibri"/>
          <w:b/>
          <w:bCs/>
          <w:color w:val="000000" w:themeColor="text1"/>
          <w:sz w:val="21"/>
          <w:szCs w:val="21"/>
        </w:rPr>
      </w:pPr>
      <w:r>
        <w:rPr>
          <w:rFonts w:hint="eastAsia" w:cs="Calibri"/>
          <w:b/>
          <w:bCs/>
          <w:color w:val="000000" w:themeColor="text1"/>
          <w:sz w:val="21"/>
          <w:szCs w:val="21"/>
        </w:rPr>
        <w:t>附</w:t>
      </w:r>
      <w:r>
        <w:rPr>
          <w:rFonts w:cs="Calibri"/>
          <w:b/>
          <w:bCs/>
          <w:color w:val="000000" w:themeColor="text1"/>
          <w:sz w:val="21"/>
          <w:szCs w:val="21"/>
        </w:rPr>
        <w:t>表</w:t>
      </w:r>
      <w:r>
        <w:rPr>
          <w:rFonts w:hint="eastAsia" w:cs="Calibri"/>
          <w:b/>
          <w:bCs/>
          <w:color w:val="000000" w:themeColor="text1"/>
          <w:sz w:val="21"/>
          <w:szCs w:val="21"/>
        </w:rPr>
        <w:t>4-4本项目主要固体废物产生量汇总一览表</w:t>
      </w:r>
    </w:p>
    <w:tbl>
      <w:tblPr>
        <w:tblStyle w:val="22"/>
        <w:tblW w:w="46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1519"/>
        <w:gridCol w:w="1271"/>
        <w:gridCol w:w="1843"/>
        <w:gridCol w:w="1271"/>
        <w:gridCol w:w="1155"/>
        <w:gridCol w:w="1481"/>
        <w:gridCol w:w="120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697"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工序</w:t>
            </w:r>
          </w:p>
        </w:tc>
        <w:tc>
          <w:tcPr>
            <w:tcW w:w="579"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装置</w:t>
            </w:r>
          </w:p>
        </w:tc>
        <w:tc>
          <w:tcPr>
            <w:tcW w:w="484"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固体废物名称</w:t>
            </w:r>
          </w:p>
        </w:tc>
        <w:tc>
          <w:tcPr>
            <w:tcW w:w="702"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固废属性</w:t>
            </w:r>
          </w:p>
        </w:tc>
        <w:tc>
          <w:tcPr>
            <w:tcW w:w="9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产生情况</w:t>
            </w:r>
          </w:p>
        </w:tc>
        <w:tc>
          <w:tcPr>
            <w:tcW w:w="1024" w:type="pct"/>
            <w:gridSpan w:val="2"/>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处置措施</w:t>
            </w:r>
          </w:p>
        </w:tc>
        <w:tc>
          <w:tcPr>
            <w:tcW w:w="590" w:type="pct"/>
            <w:vMerge w:val="restar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exact"/>
          <w:jc w:val="center"/>
        </w:trPr>
        <w:tc>
          <w:tcPr>
            <w:tcW w:w="697"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579"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84"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702"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核算方法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产生量t/a</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工艺</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处置量t/a</w:t>
            </w:r>
          </w:p>
        </w:tc>
        <w:tc>
          <w:tcPr>
            <w:tcW w:w="590" w:type="pct"/>
            <w:vMerge w:val="continue"/>
            <w:vAlign w:val="center"/>
          </w:tcPr>
          <w:p>
            <w:pPr>
              <w:adjustRightInd w:val="0"/>
              <w:snapToGrid w:val="0"/>
              <w:spacing w:line="240" w:lineRule="auto"/>
              <w:ind w:firstLine="0" w:firstLineChars="0"/>
              <w:jc w:val="center"/>
              <w:rPr>
                <w:rFonts w:cs="Times New Roman"/>
                <w:color w:val="000000" w:themeColor="text1"/>
                <w:sz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废气处理</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水喷淋塔</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打捞渣</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一般固体废物</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物料衡算法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rPr>
              <w:t>0.15</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底部打捞</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0.15</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交由专业单位回收处理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机加工</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机加工设备</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边角料</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一般固体废物</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0.05</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清扫收集</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0.05</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统一外售处理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包装</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试水</w:t>
            </w:r>
            <w:r>
              <w:rPr>
                <w:rFonts w:cs="Times New Roman"/>
                <w:color w:val="000000" w:themeColor="text1"/>
                <w:sz w:val="21"/>
                <w:lang w:val="zh-CN"/>
              </w:rPr>
              <w:t>机</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废包装材料</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一般固体废物</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类比法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0.</w:t>
            </w:r>
            <w:r>
              <w:rPr>
                <w:rFonts w:cs="Times New Roman"/>
                <w:color w:val="000000" w:themeColor="text1"/>
                <w:sz w:val="21"/>
              </w:rPr>
              <w:t>3</w:t>
            </w:r>
            <w:r>
              <w:rPr>
                <w:rFonts w:hint="eastAsia" w:cs="Times New Roman"/>
                <w:color w:val="000000" w:themeColor="text1"/>
                <w:sz w:val="21"/>
              </w:rPr>
              <w:t xml:space="preserve">5 </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清扫收集</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0.</w:t>
            </w:r>
            <w:r>
              <w:rPr>
                <w:rFonts w:cs="Times New Roman"/>
                <w:color w:val="000000" w:themeColor="text1"/>
                <w:sz w:val="21"/>
              </w:rPr>
              <w:t>3</w:t>
            </w:r>
            <w:r>
              <w:rPr>
                <w:rFonts w:hint="eastAsia" w:cs="Times New Roman"/>
                <w:color w:val="000000" w:themeColor="text1"/>
                <w:sz w:val="21"/>
              </w:rPr>
              <w:t xml:space="preserve">5 </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统一外售处理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员工办公生活</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生活垃圾</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一般固体废物</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排污系数法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1.86</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垃圾桶收集</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cs="Times New Roman"/>
                <w:color w:val="000000" w:themeColor="text1"/>
                <w:sz w:val="21"/>
                <w:lang w:val="zh-CN"/>
              </w:rPr>
              <w:t>1.86</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热冲脱模</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冲床</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废煤油包装桶</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危险废物（</w:t>
            </w:r>
            <w:r>
              <w:rPr>
                <w:rFonts w:cs="Times New Roman"/>
                <w:color w:val="000000" w:themeColor="text1"/>
                <w:sz w:val="21"/>
                <w:lang w:val="zh-CN"/>
              </w:rPr>
              <w:t>900-041-49</w:t>
            </w:r>
            <w:r>
              <w:rPr>
                <w:rFonts w:hint="eastAsia" w:cs="Times New Roman"/>
                <w:color w:val="000000" w:themeColor="text1"/>
                <w:sz w:val="21"/>
                <w:lang w:val="zh-CN"/>
              </w:rPr>
              <w:t>）</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经验法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.05</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危废暂存间收集</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.05</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定期交由有资质的危废公司处理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exact"/>
          <w:jc w:val="center"/>
        </w:trPr>
        <w:tc>
          <w:tcPr>
            <w:tcW w:w="697"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rPr>
              <w:t>维修</w:t>
            </w:r>
          </w:p>
        </w:tc>
        <w:tc>
          <w:tcPr>
            <w:tcW w:w="579"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含油抹布</w:t>
            </w:r>
          </w:p>
        </w:tc>
        <w:tc>
          <w:tcPr>
            <w:tcW w:w="702"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危险废物（900-041-49）</w:t>
            </w:r>
          </w:p>
        </w:tc>
        <w:tc>
          <w:tcPr>
            <w:tcW w:w="48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经验</w:t>
            </w:r>
            <w:r>
              <w:rPr>
                <w:rFonts w:cs="Times New Roman"/>
                <w:color w:val="000000" w:themeColor="text1"/>
                <w:sz w:val="21"/>
                <w:lang w:val="zh-CN"/>
              </w:rPr>
              <w:t>法</w:t>
            </w:r>
          </w:p>
        </w:tc>
        <w:tc>
          <w:tcPr>
            <w:tcW w:w="44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w:t>
            </w:r>
            <w:r>
              <w:rPr>
                <w:rFonts w:hint="eastAsia" w:cs="Times New Roman"/>
                <w:color w:val="000000" w:themeColor="text1"/>
                <w:sz w:val="21"/>
                <w:lang w:val="zh-CN"/>
              </w:rPr>
              <w:t>1</w:t>
            </w:r>
          </w:p>
        </w:tc>
        <w:tc>
          <w:tcPr>
            <w:tcW w:w="564"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统一收集混入生活垃圾中</w:t>
            </w:r>
          </w:p>
        </w:tc>
        <w:tc>
          <w:tcPr>
            <w:tcW w:w="46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0.</w:t>
            </w:r>
            <w:r>
              <w:rPr>
                <w:rFonts w:cs="Times New Roman"/>
                <w:color w:val="000000" w:themeColor="text1"/>
                <w:sz w:val="21"/>
                <w:lang w:val="zh-CN"/>
              </w:rPr>
              <w:t>0</w:t>
            </w:r>
            <w:r>
              <w:rPr>
                <w:rFonts w:hint="eastAsia" w:cs="Times New Roman"/>
                <w:color w:val="000000" w:themeColor="text1"/>
                <w:sz w:val="21"/>
                <w:lang w:val="zh-CN"/>
              </w:rPr>
              <w:t>1</w:t>
            </w:r>
          </w:p>
        </w:tc>
        <w:tc>
          <w:tcPr>
            <w:tcW w:w="590" w:type="pct"/>
            <w:vAlign w:val="center"/>
          </w:tcPr>
          <w:p>
            <w:pPr>
              <w:adjustRightInd w:val="0"/>
              <w:snapToGrid w:val="0"/>
              <w:spacing w:line="240" w:lineRule="auto"/>
              <w:ind w:firstLine="0" w:firstLineChars="0"/>
              <w:jc w:val="center"/>
              <w:rPr>
                <w:rFonts w:cs="Times New Roman"/>
                <w:color w:val="000000" w:themeColor="text1"/>
                <w:sz w:val="21"/>
                <w:lang w:val="zh-CN"/>
              </w:rPr>
            </w:pPr>
            <w:r>
              <w:rPr>
                <w:rFonts w:hint="eastAsia" w:cs="Times New Roman"/>
                <w:color w:val="000000" w:themeColor="text1"/>
                <w:sz w:val="21"/>
                <w:lang w:val="zh-CN"/>
              </w:rPr>
              <w:t>按危险废物豁免管理清单要求执行</w:t>
            </w:r>
          </w:p>
        </w:tc>
      </w:tr>
    </w:tbl>
    <w:p>
      <w:pPr>
        <w:ind w:firstLine="199" w:firstLineChars="83"/>
        <w:rPr>
          <w:color w:val="000000" w:themeColor="text1"/>
        </w:rPr>
        <w:sectPr>
          <w:pgSz w:w="16838" w:h="11906" w:orient="landscape"/>
          <w:pgMar w:top="1134" w:right="1418" w:bottom="1134" w:left="1418" w:header="851" w:footer="992" w:gutter="0"/>
          <w:cols w:space="425" w:num="1"/>
          <w:docGrid w:type="lines" w:linePitch="326" w:charSpace="0"/>
        </w:sectPr>
      </w:pPr>
    </w:p>
    <w:p>
      <w:pPr>
        <w:ind w:firstLine="0" w:firstLineChars="0"/>
      </w:pPr>
    </w:p>
    <w:sectPr>
      <w:pgSz w:w="16838" w:h="11906" w:orient="landscape"/>
      <w:pgMar w:top="1134" w:right="1418" w:bottom="1134" w:left="1418"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1E3" w:usb1="1200FFEF" w:usb2="00040000" w:usb3="04000000" w:csb0="00000001" w:csb1="4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9519843"/>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82</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F547C"/>
    <w:multiLevelType w:val="multilevel"/>
    <w:tmpl w:val="148F547C"/>
    <w:lvl w:ilvl="0" w:tentative="0">
      <w:start w:val="1"/>
      <w:numFmt w:val="decimal"/>
      <w:suff w:val="spac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7235D50"/>
    <w:multiLevelType w:val="multilevel"/>
    <w:tmpl w:val="17235D50"/>
    <w:lvl w:ilvl="0" w:tentative="0">
      <w:start w:val="1"/>
      <w:numFmt w:val="decimal"/>
      <w:pStyle w:val="35"/>
      <w:lvlText w:val="%1、"/>
      <w:lvlJc w:val="left"/>
      <w:pPr>
        <w:ind w:left="900" w:hanging="420"/>
      </w:pPr>
      <w:rPr>
        <w:rFonts w:hint="default" w:ascii="Times New Roman" w:hAnsi="Times New Roman" w:cs="Times New Roman"/>
        <w:lang w:eastAsia="zh-C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2D17ED4"/>
    <w:multiLevelType w:val="multilevel"/>
    <w:tmpl w:val="42D17ED4"/>
    <w:lvl w:ilvl="0" w:tentative="0">
      <w:start w:val="1"/>
      <w:numFmt w:val="decimal"/>
      <w:lvlText w:val="%1"/>
      <w:lvlJc w:val="center"/>
      <w:pPr>
        <w:ind w:left="851" w:firstLine="0"/>
      </w:pPr>
      <w:rPr>
        <w:rFonts w:hint="eastAsia"/>
      </w:rPr>
    </w:lvl>
    <w:lvl w:ilvl="1" w:tentative="0">
      <w:start w:val="1"/>
      <w:numFmt w:val="decimal"/>
      <w:lvlText w:val="%1.%2"/>
      <w:lvlJc w:val="left"/>
      <w:pPr>
        <w:ind w:left="142" w:firstLine="0"/>
      </w:pPr>
      <w:rPr>
        <w:rFonts w:hint="eastAsia"/>
      </w:rPr>
    </w:lvl>
    <w:lvl w:ilvl="2" w:tentative="0">
      <w:start w:val="1"/>
      <w:numFmt w:val="decimal"/>
      <w:lvlText w:val="%1.%2.%3"/>
      <w:lvlJc w:val="left"/>
      <w:pPr>
        <w:ind w:left="-5104" w:firstLine="0"/>
      </w:pPr>
      <w:rPr>
        <w:rFonts w:hint="eastAsia"/>
      </w:rPr>
    </w:lvl>
    <w:lvl w:ilvl="3" w:tentative="0">
      <w:start w:val="1"/>
      <w:numFmt w:val="decimal"/>
      <w:lvlText w:val="%1.%2.%3.%4"/>
      <w:lvlJc w:val="left"/>
      <w:pPr>
        <w:ind w:left="-5104" w:firstLine="0"/>
      </w:pPr>
      <w:rPr>
        <w:rFonts w:hint="eastAsia"/>
      </w:rPr>
    </w:lvl>
    <w:lvl w:ilvl="4" w:tentative="0">
      <w:start w:val="1"/>
      <w:numFmt w:val="lowerLetter"/>
      <w:lvlText w:val="%5)"/>
      <w:lvlJc w:val="left"/>
      <w:pPr>
        <w:ind w:left="-5104" w:firstLine="0"/>
      </w:pPr>
      <w:rPr>
        <w:rFonts w:hint="eastAsia"/>
      </w:rPr>
    </w:lvl>
    <w:lvl w:ilvl="5" w:tentative="0">
      <w:start w:val="1"/>
      <w:numFmt w:val="lowerRoman"/>
      <w:lvlText w:val="%6."/>
      <w:lvlJc w:val="right"/>
      <w:pPr>
        <w:ind w:left="-5104" w:firstLine="0"/>
      </w:pPr>
      <w:rPr>
        <w:rFonts w:hint="eastAsia"/>
      </w:rPr>
    </w:lvl>
    <w:lvl w:ilvl="6" w:tentative="0">
      <w:start w:val="1"/>
      <w:numFmt w:val="decimal"/>
      <w:lvlText w:val="%7."/>
      <w:lvlJc w:val="left"/>
      <w:pPr>
        <w:ind w:left="-5104" w:firstLine="0"/>
      </w:pPr>
      <w:rPr>
        <w:rFonts w:hint="eastAsia"/>
      </w:rPr>
    </w:lvl>
    <w:lvl w:ilvl="7" w:tentative="0">
      <w:start w:val="1"/>
      <w:numFmt w:val="lowerLetter"/>
      <w:lvlText w:val="%8)"/>
      <w:lvlJc w:val="left"/>
      <w:pPr>
        <w:ind w:left="-5104" w:firstLine="0"/>
      </w:pPr>
      <w:rPr>
        <w:rFonts w:hint="eastAsia"/>
      </w:rPr>
    </w:lvl>
    <w:lvl w:ilvl="8" w:tentative="0">
      <w:start w:val="1"/>
      <w:numFmt w:val="lowerRoman"/>
      <w:lvlText w:val="%9."/>
      <w:lvlJc w:val="right"/>
      <w:pPr>
        <w:ind w:left="-5104" w:firstLine="0"/>
      </w:pPr>
      <w:rPr>
        <w:rFonts w:hint="eastAsia"/>
      </w:rPr>
    </w:lvl>
  </w:abstractNum>
  <w:abstractNum w:abstractNumId="3">
    <w:nsid w:val="44052B7A"/>
    <w:multiLevelType w:val="multilevel"/>
    <w:tmpl w:val="44052B7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450F1701"/>
    <w:multiLevelType w:val="multilevel"/>
    <w:tmpl w:val="450F170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32EA0"/>
    <w:rsid w:val="000006B7"/>
    <w:rsid w:val="0000393A"/>
    <w:rsid w:val="000046D1"/>
    <w:rsid w:val="0001065C"/>
    <w:rsid w:val="000113A8"/>
    <w:rsid w:val="000226BA"/>
    <w:rsid w:val="000248A1"/>
    <w:rsid w:val="00031CF6"/>
    <w:rsid w:val="00033B3B"/>
    <w:rsid w:val="00036E47"/>
    <w:rsid w:val="00037848"/>
    <w:rsid w:val="00044ED4"/>
    <w:rsid w:val="00045CF4"/>
    <w:rsid w:val="00047F77"/>
    <w:rsid w:val="000505F8"/>
    <w:rsid w:val="0005082B"/>
    <w:rsid w:val="00060962"/>
    <w:rsid w:val="00066CE0"/>
    <w:rsid w:val="000752DB"/>
    <w:rsid w:val="000764A4"/>
    <w:rsid w:val="00084236"/>
    <w:rsid w:val="000845C2"/>
    <w:rsid w:val="000854BB"/>
    <w:rsid w:val="00087431"/>
    <w:rsid w:val="000930F9"/>
    <w:rsid w:val="000A11AC"/>
    <w:rsid w:val="000A33D9"/>
    <w:rsid w:val="000A44CA"/>
    <w:rsid w:val="000B39DC"/>
    <w:rsid w:val="000C1FC8"/>
    <w:rsid w:val="000C67DB"/>
    <w:rsid w:val="000C683A"/>
    <w:rsid w:val="000D141F"/>
    <w:rsid w:val="000E6BBA"/>
    <w:rsid w:val="000F0724"/>
    <w:rsid w:val="000F2292"/>
    <w:rsid w:val="000F61BD"/>
    <w:rsid w:val="000F73B8"/>
    <w:rsid w:val="0010320D"/>
    <w:rsid w:val="001058EA"/>
    <w:rsid w:val="00116D8A"/>
    <w:rsid w:val="0012213B"/>
    <w:rsid w:val="0013519C"/>
    <w:rsid w:val="00141CF7"/>
    <w:rsid w:val="00143377"/>
    <w:rsid w:val="001518B0"/>
    <w:rsid w:val="00153BF9"/>
    <w:rsid w:val="001570B9"/>
    <w:rsid w:val="00160D74"/>
    <w:rsid w:val="00165378"/>
    <w:rsid w:val="00181EDD"/>
    <w:rsid w:val="00186E6E"/>
    <w:rsid w:val="00186FA2"/>
    <w:rsid w:val="0018742D"/>
    <w:rsid w:val="001931BF"/>
    <w:rsid w:val="001A02D9"/>
    <w:rsid w:val="001A3A98"/>
    <w:rsid w:val="001B13FD"/>
    <w:rsid w:val="001B3221"/>
    <w:rsid w:val="001C0EA2"/>
    <w:rsid w:val="001D0177"/>
    <w:rsid w:val="001D609C"/>
    <w:rsid w:val="001D7644"/>
    <w:rsid w:val="001E03F6"/>
    <w:rsid w:val="001E73CF"/>
    <w:rsid w:val="001F1D16"/>
    <w:rsid w:val="001F6DA6"/>
    <w:rsid w:val="001F7F3D"/>
    <w:rsid w:val="0020114A"/>
    <w:rsid w:val="0020200A"/>
    <w:rsid w:val="00203CE9"/>
    <w:rsid w:val="00212038"/>
    <w:rsid w:val="00212D9F"/>
    <w:rsid w:val="00213F3E"/>
    <w:rsid w:val="002178E8"/>
    <w:rsid w:val="0022006D"/>
    <w:rsid w:val="00220E70"/>
    <w:rsid w:val="00233CC1"/>
    <w:rsid w:val="00237432"/>
    <w:rsid w:val="002407A2"/>
    <w:rsid w:val="002457AF"/>
    <w:rsid w:val="00247C8E"/>
    <w:rsid w:val="00251986"/>
    <w:rsid w:val="00251ED0"/>
    <w:rsid w:val="002608ED"/>
    <w:rsid w:val="00261B0E"/>
    <w:rsid w:val="00267835"/>
    <w:rsid w:val="00274558"/>
    <w:rsid w:val="0027541F"/>
    <w:rsid w:val="00275A2F"/>
    <w:rsid w:val="002869D6"/>
    <w:rsid w:val="0029473A"/>
    <w:rsid w:val="002A44FD"/>
    <w:rsid w:val="002A4DB6"/>
    <w:rsid w:val="002A4F0D"/>
    <w:rsid w:val="002B59EC"/>
    <w:rsid w:val="002C070F"/>
    <w:rsid w:val="002C14AC"/>
    <w:rsid w:val="002C324C"/>
    <w:rsid w:val="002C4854"/>
    <w:rsid w:val="002C699F"/>
    <w:rsid w:val="002D0372"/>
    <w:rsid w:val="002D3C59"/>
    <w:rsid w:val="002D58A0"/>
    <w:rsid w:val="002D7518"/>
    <w:rsid w:val="002E12F3"/>
    <w:rsid w:val="002E1E42"/>
    <w:rsid w:val="002E1F24"/>
    <w:rsid w:val="002E4312"/>
    <w:rsid w:val="002E6B97"/>
    <w:rsid w:val="002F2670"/>
    <w:rsid w:val="002F55A3"/>
    <w:rsid w:val="003018A8"/>
    <w:rsid w:val="0030609A"/>
    <w:rsid w:val="0031224D"/>
    <w:rsid w:val="00326610"/>
    <w:rsid w:val="00326BC8"/>
    <w:rsid w:val="00330D88"/>
    <w:rsid w:val="00331F95"/>
    <w:rsid w:val="0033233A"/>
    <w:rsid w:val="00332EA0"/>
    <w:rsid w:val="00336A65"/>
    <w:rsid w:val="003429F6"/>
    <w:rsid w:val="00360060"/>
    <w:rsid w:val="00363D27"/>
    <w:rsid w:val="00364079"/>
    <w:rsid w:val="00382B83"/>
    <w:rsid w:val="00383A94"/>
    <w:rsid w:val="003902B3"/>
    <w:rsid w:val="00391492"/>
    <w:rsid w:val="00393BF8"/>
    <w:rsid w:val="0039650E"/>
    <w:rsid w:val="003B44F0"/>
    <w:rsid w:val="003C429B"/>
    <w:rsid w:val="003C6ACA"/>
    <w:rsid w:val="003D738C"/>
    <w:rsid w:val="003D7D4A"/>
    <w:rsid w:val="003E0285"/>
    <w:rsid w:val="003E0DC5"/>
    <w:rsid w:val="003E1A6E"/>
    <w:rsid w:val="003E3A91"/>
    <w:rsid w:val="003E5307"/>
    <w:rsid w:val="003E55EA"/>
    <w:rsid w:val="003E6926"/>
    <w:rsid w:val="003E6EF4"/>
    <w:rsid w:val="003F6B19"/>
    <w:rsid w:val="00405935"/>
    <w:rsid w:val="00413B46"/>
    <w:rsid w:val="004163D3"/>
    <w:rsid w:val="004169E4"/>
    <w:rsid w:val="00420A48"/>
    <w:rsid w:val="00421101"/>
    <w:rsid w:val="0042208E"/>
    <w:rsid w:val="00424BD3"/>
    <w:rsid w:val="004334AF"/>
    <w:rsid w:val="0044432A"/>
    <w:rsid w:val="00451FB0"/>
    <w:rsid w:val="004656EE"/>
    <w:rsid w:val="00467182"/>
    <w:rsid w:val="00467730"/>
    <w:rsid w:val="00467A36"/>
    <w:rsid w:val="004745E5"/>
    <w:rsid w:val="004844D3"/>
    <w:rsid w:val="00491430"/>
    <w:rsid w:val="00492336"/>
    <w:rsid w:val="00497DA2"/>
    <w:rsid w:val="004A5346"/>
    <w:rsid w:val="004B66BE"/>
    <w:rsid w:val="004B778B"/>
    <w:rsid w:val="004F4533"/>
    <w:rsid w:val="004F60F1"/>
    <w:rsid w:val="0050108A"/>
    <w:rsid w:val="0050312D"/>
    <w:rsid w:val="00504155"/>
    <w:rsid w:val="0051089E"/>
    <w:rsid w:val="00511929"/>
    <w:rsid w:val="005156AC"/>
    <w:rsid w:val="00517000"/>
    <w:rsid w:val="0053026D"/>
    <w:rsid w:val="005307FB"/>
    <w:rsid w:val="00530F4A"/>
    <w:rsid w:val="00543846"/>
    <w:rsid w:val="005470DC"/>
    <w:rsid w:val="005638AA"/>
    <w:rsid w:val="005640B6"/>
    <w:rsid w:val="005658F6"/>
    <w:rsid w:val="0056626D"/>
    <w:rsid w:val="005667B5"/>
    <w:rsid w:val="00566910"/>
    <w:rsid w:val="00566BB5"/>
    <w:rsid w:val="00566FD3"/>
    <w:rsid w:val="005713EF"/>
    <w:rsid w:val="00576FB1"/>
    <w:rsid w:val="00585798"/>
    <w:rsid w:val="00585840"/>
    <w:rsid w:val="0058673F"/>
    <w:rsid w:val="00586C3C"/>
    <w:rsid w:val="00593938"/>
    <w:rsid w:val="0059526C"/>
    <w:rsid w:val="005B239B"/>
    <w:rsid w:val="005B60E6"/>
    <w:rsid w:val="005B7877"/>
    <w:rsid w:val="005B798B"/>
    <w:rsid w:val="005C24FA"/>
    <w:rsid w:val="005E5EB5"/>
    <w:rsid w:val="005F2CD6"/>
    <w:rsid w:val="00600F0C"/>
    <w:rsid w:val="006157F3"/>
    <w:rsid w:val="006217C0"/>
    <w:rsid w:val="00622DEF"/>
    <w:rsid w:val="00625589"/>
    <w:rsid w:val="00625F61"/>
    <w:rsid w:val="006315DF"/>
    <w:rsid w:val="00635B9D"/>
    <w:rsid w:val="00637FAC"/>
    <w:rsid w:val="00640322"/>
    <w:rsid w:val="00640C48"/>
    <w:rsid w:val="0064227F"/>
    <w:rsid w:val="00660632"/>
    <w:rsid w:val="006621F5"/>
    <w:rsid w:val="00665D6A"/>
    <w:rsid w:val="00675474"/>
    <w:rsid w:val="006806E5"/>
    <w:rsid w:val="00692D14"/>
    <w:rsid w:val="00696C76"/>
    <w:rsid w:val="00697028"/>
    <w:rsid w:val="006A1EE8"/>
    <w:rsid w:val="006A5D7E"/>
    <w:rsid w:val="006A78C7"/>
    <w:rsid w:val="006B2B5B"/>
    <w:rsid w:val="006B5E83"/>
    <w:rsid w:val="006B6F97"/>
    <w:rsid w:val="006C0D19"/>
    <w:rsid w:val="006C222C"/>
    <w:rsid w:val="006C25A4"/>
    <w:rsid w:val="006C3E76"/>
    <w:rsid w:val="006C5978"/>
    <w:rsid w:val="006D5ADE"/>
    <w:rsid w:val="006E0013"/>
    <w:rsid w:val="006E0D40"/>
    <w:rsid w:val="006E4D93"/>
    <w:rsid w:val="006F29EE"/>
    <w:rsid w:val="006F6480"/>
    <w:rsid w:val="006F737D"/>
    <w:rsid w:val="007002EB"/>
    <w:rsid w:val="00701EC9"/>
    <w:rsid w:val="00703E7A"/>
    <w:rsid w:val="0070760E"/>
    <w:rsid w:val="00710375"/>
    <w:rsid w:val="00725C2C"/>
    <w:rsid w:val="0072745A"/>
    <w:rsid w:val="007319EE"/>
    <w:rsid w:val="007326FC"/>
    <w:rsid w:val="00734C7A"/>
    <w:rsid w:val="00740F0A"/>
    <w:rsid w:val="007466CF"/>
    <w:rsid w:val="00753C9B"/>
    <w:rsid w:val="00761A42"/>
    <w:rsid w:val="00776223"/>
    <w:rsid w:val="00781F4F"/>
    <w:rsid w:val="00781FF3"/>
    <w:rsid w:val="00786AF3"/>
    <w:rsid w:val="007878D8"/>
    <w:rsid w:val="0079070D"/>
    <w:rsid w:val="00793C07"/>
    <w:rsid w:val="0079441E"/>
    <w:rsid w:val="007966A6"/>
    <w:rsid w:val="007A3623"/>
    <w:rsid w:val="007A3F2A"/>
    <w:rsid w:val="007A5084"/>
    <w:rsid w:val="007A517F"/>
    <w:rsid w:val="007A6C2B"/>
    <w:rsid w:val="007B0558"/>
    <w:rsid w:val="007B735D"/>
    <w:rsid w:val="007C3225"/>
    <w:rsid w:val="007D36BA"/>
    <w:rsid w:val="007D6E1C"/>
    <w:rsid w:val="007E0944"/>
    <w:rsid w:val="007E311E"/>
    <w:rsid w:val="007F1C9B"/>
    <w:rsid w:val="007F2FFD"/>
    <w:rsid w:val="007F4DEE"/>
    <w:rsid w:val="008020FA"/>
    <w:rsid w:val="008055EB"/>
    <w:rsid w:val="00820019"/>
    <w:rsid w:val="00827389"/>
    <w:rsid w:val="0083084A"/>
    <w:rsid w:val="0083185B"/>
    <w:rsid w:val="00832107"/>
    <w:rsid w:val="008367E5"/>
    <w:rsid w:val="008502FB"/>
    <w:rsid w:val="00854F6C"/>
    <w:rsid w:val="0085745E"/>
    <w:rsid w:val="00862807"/>
    <w:rsid w:val="008645BC"/>
    <w:rsid w:val="00870ACF"/>
    <w:rsid w:val="008745BF"/>
    <w:rsid w:val="00895D6E"/>
    <w:rsid w:val="008A4AD6"/>
    <w:rsid w:val="008B2803"/>
    <w:rsid w:val="008B31C6"/>
    <w:rsid w:val="008B4F85"/>
    <w:rsid w:val="008C5271"/>
    <w:rsid w:val="008C66D6"/>
    <w:rsid w:val="008D01E5"/>
    <w:rsid w:val="008D101E"/>
    <w:rsid w:val="008D25D1"/>
    <w:rsid w:val="008D34F1"/>
    <w:rsid w:val="008D5B67"/>
    <w:rsid w:val="008E5D00"/>
    <w:rsid w:val="008E6A0F"/>
    <w:rsid w:val="008E702E"/>
    <w:rsid w:val="008F2267"/>
    <w:rsid w:val="008F53C5"/>
    <w:rsid w:val="009009D6"/>
    <w:rsid w:val="00905136"/>
    <w:rsid w:val="0090650F"/>
    <w:rsid w:val="00906DC2"/>
    <w:rsid w:val="00912542"/>
    <w:rsid w:val="00912D62"/>
    <w:rsid w:val="00915788"/>
    <w:rsid w:val="0091780B"/>
    <w:rsid w:val="00923EBA"/>
    <w:rsid w:val="00931E1C"/>
    <w:rsid w:val="009330C5"/>
    <w:rsid w:val="00941AE1"/>
    <w:rsid w:val="009421C6"/>
    <w:rsid w:val="009428B6"/>
    <w:rsid w:val="00943767"/>
    <w:rsid w:val="009467F9"/>
    <w:rsid w:val="00987A8A"/>
    <w:rsid w:val="00994053"/>
    <w:rsid w:val="00994D0A"/>
    <w:rsid w:val="009A1352"/>
    <w:rsid w:val="009A15B3"/>
    <w:rsid w:val="009B1A4D"/>
    <w:rsid w:val="009B3318"/>
    <w:rsid w:val="009B5295"/>
    <w:rsid w:val="009B578F"/>
    <w:rsid w:val="009C2BB5"/>
    <w:rsid w:val="009C571C"/>
    <w:rsid w:val="009D38BA"/>
    <w:rsid w:val="009F1EC6"/>
    <w:rsid w:val="009F31B8"/>
    <w:rsid w:val="009F42DE"/>
    <w:rsid w:val="009F48D1"/>
    <w:rsid w:val="00A030F8"/>
    <w:rsid w:val="00A06F34"/>
    <w:rsid w:val="00A100CA"/>
    <w:rsid w:val="00A101E1"/>
    <w:rsid w:val="00A1295B"/>
    <w:rsid w:val="00A13B34"/>
    <w:rsid w:val="00A17412"/>
    <w:rsid w:val="00A21479"/>
    <w:rsid w:val="00A27EF2"/>
    <w:rsid w:val="00A308A0"/>
    <w:rsid w:val="00A31C1F"/>
    <w:rsid w:val="00A35A56"/>
    <w:rsid w:val="00A372AA"/>
    <w:rsid w:val="00A443BE"/>
    <w:rsid w:val="00A46AA5"/>
    <w:rsid w:val="00A528E5"/>
    <w:rsid w:val="00A5469A"/>
    <w:rsid w:val="00A60917"/>
    <w:rsid w:val="00A6104E"/>
    <w:rsid w:val="00A61ECD"/>
    <w:rsid w:val="00A679D8"/>
    <w:rsid w:val="00A67E02"/>
    <w:rsid w:val="00A74A9A"/>
    <w:rsid w:val="00A7552D"/>
    <w:rsid w:val="00A75595"/>
    <w:rsid w:val="00A7793F"/>
    <w:rsid w:val="00A84396"/>
    <w:rsid w:val="00A87128"/>
    <w:rsid w:val="00A928E5"/>
    <w:rsid w:val="00A9769B"/>
    <w:rsid w:val="00AA03E2"/>
    <w:rsid w:val="00AA4F0D"/>
    <w:rsid w:val="00AB3EAC"/>
    <w:rsid w:val="00AB6012"/>
    <w:rsid w:val="00AB6256"/>
    <w:rsid w:val="00AB7AFF"/>
    <w:rsid w:val="00AB7E6B"/>
    <w:rsid w:val="00AC07D7"/>
    <w:rsid w:val="00AC0C0B"/>
    <w:rsid w:val="00AC1EBB"/>
    <w:rsid w:val="00AC79AE"/>
    <w:rsid w:val="00AD3B22"/>
    <w:rsid w:val="00AD3C82"/>
    <w:rsid w:val="00AD5F30"/>
    <w:rsid w:val="00AE4BD0"/>
    <w:rsid w:val="00AE5C14"/>
    <w:rsid w:val="00AF6484"/>
    <w:rsid w:val="00AF7B50"/>
    <w:rsid w:val="00B029D5"/>
    <w:rsid w:val="00B04EC9"/>
    <w:rsid w:val="00B10A65"/>
    <w:rsid w:val="00B31A8E"/>
    <w:rsid w:val="00B325FF"/>
    <w:rsid w:val="00B32A48"/>
    <w:rsid w:val="00B373C2"/>
    <w:rsid w:val="00B46B53"/>
    <w:rsid w:val="00B51343"/>
    <w:rsid w:val="00B5274F"/>
    <w:rsid w:val="00B53713"/>
    <w:rsid w:val="00B5416B"/>
    <w:rsid w:val="00B56600"/>
    <w:rsid w:val="00B6080D"/>
    <w:rsid w:val="00B6119B"/>
    <w:rsid w:val="00B6724B"/>
    <w:rsid w:val="00B753CF"/>
    <w:rsid w:val="00B83888"/>
    <w:rsid w:val="00B84B92"/>
    <w:rsid w:val="00B9219A"/>
    <w:rsid w:val="00B9536F"/>
    <w:rsid w:val="00B96F45"/>
    <w:rsid w:val="00BA09E6"/>
    <w:rsid w:val="00BB3653"/>
    <w:rsid w:val="00BB485A"/>
    <w:rsid w:val="00BC0CF7"/>
    <w:rsid w:val="00BD1286"/>
    <w:rsid w:val="00BD3B15"/>
    <w:rsid w:val="00BD4BDF"/>
    <w:rsid w:val="00BE6F5A"/>
    <w:rsid w:val="00BF1FF6"/>
    <w:rsid w:val="00BF2A30"/>
    <w:rsid w:val="00BF44B6"/>
    <w:rsid w:val="00BF6750"/>
    <w:rsid w:val="00C06DFE"/>
    <w:rsid w:val="00C2422A"/>
    <w:rsid w:val="00C27E00"/>
    <w:rsid w:val="00C378FE"/>
    <w:rsid w:val="00C40004"/>
    <w:rsid w:val="00C41A50"/>
    <w:rsid w:val="00C4375C"/>
    <w:rsid w:val="00C521EE"/>
    <w:rsid w:val="00C54D00"/>
    <w:rsid w:val="00C5595F"/>
    <w:rsid w:val="00C62296"/>
    <w:rsid w:val="00C63CD6"/>
    <w:rsid w:val="00C67CED"/>
    <w:rsid w:val="00C768ED"/>
    <w:rsid w:val="00C80D5B"/>
    <w:rsid w:val="00C87A70"/>
    <w:rsid w:val="00C90145"/>
    <w:rsid w:val="00C94EC6"/>
    <w:rsid w:val="00C964BB"/>
    <w:rsid w:val="00CA1D52"/>
    <w:rsid w:val="00CA2F27"/>
    <w:rsid w:val="00CA64F8"/>
    <w:rsid w:val="00CA7E59"/>
    <w:rsid w:val="00CB72E2"/>
    <w:rsid w:val="00CC2BE4"/>
    <w:rsid w:val="00CC769D"/>
    <w:rsid w:val="00CD23A5"/>
    <w:rsid w:val="00CD31AC"/>
    <w:rsid w:val="00CD7455"/>
    <w:rsid w:val="00CD7F15"/>
    <w:rsid w:val="00CE53DA"/>
    <w:rsid w:val="00CE7047"/>
    <w:rsid w:val="00CF74F5"/>
    <w:rsid w:val="00D14384"/>
    <w:rsid w:val="00D15EA2"/>
    <w:rsid w:val="00D163F2"/>
    <w:rsid w:val="00D17B00"/>
    <w:rsid w:val="00D22CBC"/>
    <w:rsid w:val="00D34857"/>
    <w:rsid w:val="00D40AC7"/>
    <w:rsid w:val="00D42E44"/>
    <w:rsid w:val="00D46D6D"/>
    <w:rsid w:val="00D50744"/>
    <w:rsid w:val="00D54958"/>
    <w:rsid w:val="00D5555D"/>
    <w:rsid w:val="00D5584B"/>
    <w:rsid w:val="00D6416B"/>
    <w:rsid w:val="00D6588C"/>
    <w:rsid w:val="00D65A52"/>
    <w:rsid w:val="00D66D7F"/>
    <w:rsid w:val="00D66DFB"/>
    <w:rsid w:val="00D678E7"/>
    <w:rsid w:val="00D72A94"/>
    <w:rsid w:val="00D844A3"/>
    <w:rsid w:val="00D9259E"/>
    <w:rsid w:val="00DA08DF"/>
    <w:rsid w:val="00DA371C"/>
    <w:rsid w:val="00DA38A7"/>
    <w:rsid w:val="00DA53EB"/>
    <w:rsid w:val="00DB3591"/>
    <w:rsid w:val="00DB6A83"/>
    <w:rsid w:val="00DC2FE1"/>
    <w:rsid w:val="00DC73B7"/>
    <w:rsid w:val="00DD2C2C"/>
    <w:rsid w:val="00DE5AD5"/>
    <w:rsid w:val="00DE6D85"/>
    <w:rsid w:val="00DF0537"/>
    <w:rsid w:val="00DF1DFD"/>
    <w:rsid w:val="00DF3381"/>
    <w:rsid w:val="00E05B6D"/>
    <w:rsid w:val="00E05E3D"/>
    <w:rsid w:val="00E117BB"/>
    <w:rsid w:val="00E12B17"/>
    <w:rsid w:val="00E31489"/>
    <w:rsid w:val="00E33121"/>
    <w:rsid w:val="00E443AF"/>
    <w:rsid w:val="00E44A28"/>
    <w:rsid w:val="00E44FAB"/>
    <w:rsid w:val="00E45CA9"/>
    <w:rsid w:val="00E615F4"/>
    <w:rsid w:val="00E6568C"/>
    <w:rsid w:val="00E7402A"/>
    <w:rsid w:val="00E75253"/>
    <w:rsid w:val="00E7630A"/>
    <w:rsid w:val="00E83F35"/>
    <w:rsid w:val="00E8687D"/>
    <w:rsid w:val="00E86FBF"/>
    <w:rsid w:val="00E92F7F"/>
    <w:rsid w:val="00E943DC"/>
    <w:rsid w:val="00E95941"/>
    <w:rsid w:val="00EA3AB0"/>
    <w:rsid w:val="00EA3D62"/>
    <w:rsid w:val="00EA5CE7"/>
    <w:rsid w:val="00EA7342"/>
    <w:rsid w:val="00EB2114"/>
    <w:rsid w:val="00EB4772"/>
    <w:rsid w:val="00EB52F8"/>
    <w:rsid w:val="00EC1D79"/>
    <w:rsid w:val="00EC5034"/>
    <w:rsid w:val="00ED74D6"/>
    <w:rsid w:val="00EE1784"/>
    <w:rsid w:val="00EE434A"/>
    <w:rsid w:val="00EF09ED"/>
    <w:rsid w:val="00EF14DC"/>
    <w:rsid w:val="00EF7DDB"/>
    <w:rsid w:val="00F048EB"/>
    <w:rsid w:val="00F10C1A"/>
    <w:rsid w:val="00F10F23"/>
    <w:rsid w:val="00F12D96"/>
    <w:rsid w:val="00F15048"/>
    <w:rsid w:val="00F25332"/>
    <w:rsid w:val="00F25DD7"/>
    <w:rsid w:val="00F30EB4"/>
    <w:rsid w:val="00F310BE"/>
    <w:rsid w:val="00F33AA4"/>
    <w:rsid w:val="00F353CB"/>
    <w:rsid w:val="00F43155"/>
    <w:rsid w:val="00F47CA6"/>
    <w:rsid w:val="00F61980"/>
    <w:rsid w:val="00F638DE"/>
    <w:rsid w:val="00F65CE5"/>
    <w:rsid w:val="00F73B6E"/>
    <w:rsid w:val="00F7476B"/>
    <w:rsid w:val="00F81B73"/>
    <w:rsid w:val="00F81F32"/>
    <w:rsid w:val="00F84383"/>
    <w:rsid w:val="00F86603"/>
    <w:rsid w:val="00F922B7"/>
    <w:rsid w:val="00FB160F"/>
    <w:rsid w:val="00FC5DD2"/>
    <w:rsid w:val="00FD0B2B"/>
    <w:rsid w:val="00FD4527"/>
    <w:rsid w:val="00FD71CC"/>
    <w:rsid w:val="00FE08A3"/>
    <w:rsid w:val="00FE2B5C"/>
    <w:rsid w:val="00FE609F"/>
    <w:rsid w:val="00FE6F5B"/>
    <w:rsid w:val="00FF1292"/>
    <w:rsid w:val="00FF27A7"/>
    <w:rsid w:val="00FF5941"/>
    <w:rsid w:val="021E4242"/>
    <w:rsid w:val="049343A9"/>
    <w:rsid w:val="08093400"/>
    <w:rsid w:val="366F1F74"/>
    <w:rsid w:val="72226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直接箭头连接符 9"/>
        <o:r id="V:Rule2" type="connector" idref="#直接箭头连接符 87"/>
        <o:r id="V:Rule3" type="connector" idref="#直接箭头连接符 10"/>
        <o:r id="V:Rule4" type="connector" idref="#直接箭头连接符 89"/>
        <o:r id="V:Rule5" type="connector" idref="#直接箭头连接符 91"/>
        <o:r id="V:Rule6" type="connector" idref="#直接箭头连接符 93"/>
        <o:r id="V:Rule7" type="connector" idref="#直接箭头连接符 7"/>
        <o:r id="V:Rule8" type="connector" idref="#直接箭头连接符 3"/>
        <o:r id="V:Rule9" type="connector" idref="#直接箭头连接符 94"/>
        <o:r id="V:Rule10" type="connector" idref="#直接箭头连接符 98"/>
        <o:r id="V:Rule11" type="connector" idref="#直接箭头连接符 99"/>
        <o:r id="V:Rule12" type="connector" idref="#直接箭头连接符 97"/>
        <o:r id="V:Rule13" type="connector" idref="#直接箭头连接符 103"/>
        <o:r id="V:Rule14" type="connector" idref="#直接箭头连接符 104"/>
        <o:r id="V:Rule15" type="connector" idref="#直接箭头连接符 152"/>
        <o:r id="V:Rule16" type="connector" idref="#直接箭头连接符 151"/>
        <o:r id="V:Rule17" type="connector" idref="#直接箭头连接符 3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0"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1"/>
    <w:qFormat/>
    <w:uiPriority w:val="9"/>
    <w:pPr>
      <w:keepNext/>
      <w:keepLines/>
      <w:spacing w:line="240" w:lineRule="auto"/>
      <w:ind w:firstLine="0" w:firstLineChars="0"/>
      <w:outlineLvl w:val="0"/>
    </w:pPr>
    <w:rPr>
      <w:b/>
      <w:bCs/>
      <w:kern w:val="44"/>
      <w:sz w:val="36"/>
      <w:szCs w:val="44"/>
    </w:rPr>
  </w:style>
  <w:style w:type="paragraph" w:styleId="3">
    <w:name w:val="heading 2"/>
    <w:basedOn w:val="1"/>
    <w:next w:val="1"/>
    <w:link w:val="32"/>
    <w:unhideWhenUsed/>
    <w:qFormat/>
    <w:uiPriority w:val="9"/>
    <w:pPr>
      <w:keepNext/>
      <w:keepLines/>
      <w:spacing w:line="240" w:lineRule="auto"/>
      <w:ind w:firstLine="0" w:firstLineChars="0"/>
      <w:outlineLvl w:val="1"/>
    </w:pPr>
    <w:rPr>
      <w:rFonts w:asciiTheme="majorHAnsi" w:hAnsiTheme="majorHAnsi" w:cstheme="majorBidi"/>
      <w:b/>
      <w:bCs/>
      <w:sz w:val="32"/>
      <w:szCs w:val="32"/>
    </w:rPr>
  </w:style>
  <w:style w:type="paragraph" w:styleId="4">
    <w:name w:val="heading 3"/>
    <w:basedOn w:val="1"/>
    <w:next w:val="1"/>
    <w:link w:val="33"/>
    <w:unhideWhenUsed/>
    <w:qFormat/>
    <w:uiPriority w:val="9"/>
    <w:pPr>
      <w:keepNext/>
      <w:keepLines/>
      <w:spacing w:line="240" w:lineRule="auto"/>
      <w:ind w:firstLine="0" w:firstLineChars="0"/>
      <w:outlineLvl w:val="2"/>
    </w:pPr>
    <w:rPr>
      <w:rFonts w:ascii="Calibri" w:hAnsi="Calibri"/>
      <w:b/>
      <w:bCs/>
      <w:sz w:val="30"/>
      <w:szCs w:val="32"/>
    </w:rPr>
  </w:style>
  <w:style w:type="paragraph" w:styleId="5">
    <w:name w:val="heading 4"/>
    <w:basedOn w:val="1"/>
    <w:next w:val="1"/>
    <w:link w:val="4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spacing w:line="240" w:lineRule="auto"/>
      <w:ind w:left="2520" w:leftChars="1200" w:firstLine="0" w:firstLineChars="0"/>
    </w:pPr>
    <w:rPr>
      <w:rFonts w:asciiTheme="minorHAnsi" w:hAnsiTheme="minorHAnsi" w:eastAsiaTheme="minorEastAsia"/>
      <w:sz w:val="21"/>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39"/>
    <w:unhideWhenUsed/>
    <w:uiPriority w:val="0"/>
    <w:pPr>
      <w:jc w:val="left"/>
    </w:pPr>
  </w:style>
  <w:style w:type="paragraph" w:styleId="9">
    <w:name w:val="toc 5"/>
    <w:basedOn w:val="1"/>
    <w:next w:val="1"/>
    <w:unhideWhenUsed/>
    <w:uiPriority w:val="39"/>
    <w:pPr>
      <w:spacing w:line="240" w:lineRule="auto"/>
      <w:ind w:left="1680" w:leftChars="800" w:firstLine="0" w:firstLineChars="0"/>
    </w:pPr>
    <w:rPr>
      <w:rFonts w:asciiTheme="minorHAnsi" w:hAnsiTheme="minorHAnsi" w:eastAsiaTheme="minorEastAsia"/>
      <w:sz w:val="21"/>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2">
    <w:name w:val="Balloon Text"/>
    <w:basedOn w:val="1"/>
    <w:link w:val="29"/>
    <w:semiHidden/>
    <w:unhideWhenUsed/>
    <w:uiPriority w:val="99"/>
    <w:rPr>
      <w:sz w:val="18"/>
      <w:szCs w:val="18"/>
    </w:rPr>
  </w:style>
  <w:style w:type="paragraph" w:styleId="13">
    <w:name w:val="footer"/>
    <w:basedOn w:val="1"/>
    <w:link w:val="28"/>
    <w:unhideWhenUsed/>
    <w:uiPriority w:val="99"/>
    <w:pPr>
      <w:tabs>
        <w:tab w:val="center" w:pos="4153"/>
        <w:tab w:val="right" w:pos="8306"/>
      </w:tabs>
      <w:snapToGrid w:val="0"/>
      <w:jc w:val="left"/>
    </w:pPr>
    <w:rPr>
      <w:sz w:val="18"/>
      <w:szCs w:val="18"/>
    </w:rPr>
  </w:style>
  <w:style w:type="paragraph" w:styleId="14">
    <w:name w:val="header"/>
    <w:basedOn w:val="1"/>
    <w:link w:val="27"/>
    <w:unhideWhenUsed/>
    <w:uiPriority w:val="99"/>
    <w:pPr>
      <w:tabs>
        <w:tab w:val="center" w:pos="4153"/>
        <w:tab w:val="right" w:pos="8306"/>
      </w:tabs>
      <w:snapToGrid w:val="0"/>
      <w:jc w:val="center"/>
    </w:pPr>
    <w:rPr>
      <w:sz w:val="18"/>
      <w:szCs w:val="18"/>
    </w:rPr>
  </w:style>
  <w:style w:type="paragraph" w:styleId="15">
    <w:name w:val="toc 1"/>
    <w:basedOn w:val="1"/>
    <w:next w:val="1"/>
    <w:unhideWhenUsed/>
    <w:uiPriority w:val="39"/>
    <w:pPr>
      <w:tabs>
        <w:tab w:val="right" w:leader="dot" w:pos="8681"/>
      </w:tabs>
      <w:ind w:firstLine="0" w:firstLineChars="0"/>
      <w:jc w:val="center"/>
    </w:pPr>
  </w:style>
  <w:style w:type="paragraph" w:styleId="16">
    <w:name w:val="toc 4"/>
    <w:basedOn w:val="1"/>
    <w:next w:val="1"/>
    <w:unhideWhenUsed/>
    <w:uiPriority w:val="39"/>
    <w:pPr>
      <w:spacing w:line="240" w:lineRule="auto"/>
      <w:ind w:left="1260" w:leftChars="600" w:firstLine="0" w:firstLineChars="0"/>
    </w:pPr>
    <w:rPr>
      <w:rFonts w:asciiTheme="minorHAnsi" w:hAnsiTheme="minorHAnsi" w:eastAsiaTheme="minorEastAsia"/>
      <w:sz w:val="21"/>
    </w:rPr>
  </w:style>
  <w:style w:type="paragraph" w:styleId="17">
    <w:name w:val="toc 6"/>
    <w:basedOn w:val="1"/>
    <w:next w:val="1"/>
    <w:unhideWhenUsed/>
    <w:uiPriority w:val="39"/>
    <w:pPr>
      <w:spacing w:line="240" w:lineRule="auto"/>
      <w:ind w:left="2100" w:leftChars="1000" w:firstLine="0" w:firstLineChars="0"/>
    </w:pPr>
    <w:rPr>
      <w:rFonts w:asciiTheme="minorHAnsi" w:hAnsiTheme="minorHAnsi" w:eastAsiaTheme="minorEastAsia"/>
      <w:sz w:val="21"/>
    </w:rPr>
  </w:style>
  <w:style w:type="paragraph" w:styleId="18">
    <w:name w:val="toc 2"/>
    <w:basedOn w:val="1"/>
    <w:next w:val="1"/>
    <w:unhideWhenUsed/>
    <w:qFormat/>
    <w:uiPriority w:val="39"/>
    <w:pPr>
      <w:ind w:left="420" w:leftChars="200"/>
    </w:pPr>
  </w:style>
  <w:style w:type="paragraph" w:styleId="19">
    <w:name w:val="toc 9"/>
    <w:basedOn w:val="1"/>
    <w:next w:val="1"/>
    <w:unhideWhenUsed/>
    <w:uiPriority w:val="39"/>
    <w:pPr>
      <w:spacing w:line="240" w:lineRule="auto"/>
      <w:ind w:left="3360" w:leftChars="1600" w:firstLine="0" w:firstLineChars="0"/>
    </w:pPr>
    <w:rPr>
      <w:rFonts w:asciiTheme="minorHAnsi" w:hAnsiTheme="minorHAnsi" w:eastAsiaTheme="minorEastAsia"/>
      <w:sz w:val="21"/>
    </w:rPr>
  </w:style>
  <w:style w:type="paragraph" w:styleId="20">
    <w:name w:val="Title"/>
    <w:basedOn w:val="1"/>
    <w:next w:val="1"/>
    <w:link w:val="36"/>
    <w:qFormat/>
    <w:uiPriority w:val="10"/>
    <w:pPr>
      <w:spacing w:line="240" w:lineRule="auto"/>
      <w:jc w:val="left"/>
      <w:outlineLvl w:val="1"/>
    </w:pPr>
    <w:rPr>
      <w:rFonts w:ascii="Calibri" w:hAnsi="Calibri" w:cstheme="majorBidi"/>
      <w:b/>
      <w:bCs/>
      <w:sz w:val="32"/>
      <w:szCs w:val="32"/>
    </w:rPr>
  </w:style>
  <w:style w:type="paragraph" w:styleId="21">
    <w:name w:val="annotation subject"/>
    <w:basedOn w:val="8"/>
    <w:next w:val="8"/>
    <w:link w:val="51"/>
    <w:semiHidden/>
    <w:unhideWhenUsed/>
    <w:uiPriority w:val="99"/>
    <w:rPr>
      <w:b/>
      <w:bCs/>
    </w:rPr>
  </w:style>
  <w:style w:type="table" w:styleId="23">
    <w:name w:val="Table Grid"/>
    <w:basedOn w:val="22"/>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basedOn w:val="24"/>
    <w:unhideWhenUsed/>
    <w:qFormat/>
    <w:uiPriority w:val="99"/>
    <w:rPr>
      <w:color w:val="0563C1" w:themeColor="hyperlink"/>
      <w:u w:val="single"/>
    </w:rPr>
  </w:style>
  <w:style w:type="character" w:styleId="26">
    <w:name w:val="annotation reference"/>
    <w:unhideWhenUsed/>
    <w:uiPriority w:val="0"/>
    <w:rPr>
      <w:rFonts w:ascii="宋体" w:hAnsi="宋体" w:cs="宋体"/>
      <w:sz w:val="21"/>
      <w:szCs w:val="21"/>
    </w:rPr>
  </w:style>
  <w:style w:type="character" w:customStyle="1" w:styleId="27">
    <w:name w:val="页眉 Char"/>
    <w:basedOn w:val="24"/>
    <w:link w:val="14"/>
    <w:qFormat/>
    <w:uiPriority w:val="99"/>
    <w:rPr>
      <w:rFonts w:eastAsia="宋体"/>
      <w:sz w:val="18"/>
      <w:szCs w:val="18"/>
    </w:rPr>
  </w:style>
  <w:style w:type="character" w:customStyle="1" w:styleId="28">
    <w:name w:val="页脚 Char"/>
    <w:basedOn w:val="24"/>
    <w:link w:val="13"/>
    <w:uiPriority w:val="99"/>
    <w:rPr>
      <w:sz w:val="18"/>
      <w:szCs w:val="18"/>
    </w:rPr>
  </w:style>
  <w:style w:type="character" w:customStyle="1" w:styleId="29">
    <w:name w:val="批注框文本 Char"/>
    <w:basedOn w:val="24"/>
    <w:link w:val="12"/>
    <w:semiHidden/>
    <w:uiPriority w:val="99"/>
    <w:rPr>
      <w:sz w:val="18"/>
      <w:szCs w:val="18"/>
    </w:rPr>
  </w:style>
  <w:style w:type="paragraph" w:customStyle="1" w:styleId="30">
    <w:name w:val="Char Char Char Char Char Char1 Char Char Char Char Char Char Char Char Char Char Char Char Char"/>
    <w:basedOn w:val="1"/>
    <w:uiPriority w:val="0"/>
    <w:rPr>
      <w:rFonts w:cs="Times New Roman"/>
      <w:szCs w:val="20"/>
    </w:rPr>
  </w:style>
  <w:style w:type="character" w:customStyle="1" w:styleId="31">
    <w:name w:val="标题 1 Char"/>
    <w:basedOn w:val="24"/>
    <w:link w:val="2"/>
    <w:uiPriority w:val="9"/>
    <w:rPr>
      <w:rFonts w:eastAsia="宋体"/>
      <w:b/>
      <w:bCs/>
      <w:kern w:val="44"/>
      <w:sz w:val="36"/>
      <w:szCs w:val="44"/>
    </w:rPr>
  </w:style>
  <w:style w:type="character" w:customStyle="1" w:styleId="32">
    <w:name w:val="标题 2 Char"/>
    <w:basedOn w:val="24"/>
    <w:link w:val="3"/>
    <w:uiPriority w:val="9"/>
    <w:rPr>
      <w:rFonts w:eastAsia="宋体" w:asciiTheme="majorHAnsi" w:hAnsiTheme="majorHAnsi" w:cstheme="majorBidi"/>
      <w:b/>
      <w:bCs/>
      <w:sz w:val="32"/>
      <w:szCs w:val="32"/>
    </w:rPr>
  </w:style>
  <w:style w:type="character" w:customStyle="1" w:styleId="33">
    <w:name w:val="标题 3 Char"/>
    <w:basedOn w:val="24"/>
    <w:link w:val="4"/>
    <w:uiPriority w:val="9"/>
    <w:rPr>
      <w:rFonts w:ascii="Calibri" w:hAnsi="Calibri" w:eastAsia="宋体"/>
      <w:b/>
      <w:bCs/>
      <w:sz w:val="30"/>
      <w:szCs w:val="32"/>
    </w:rPr>
  </w:style>
  <w:style w:type="table" w:customStyle="1" w:styleId="34">
    <w:name w:val="杨杰忠表格格式"/>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paragraph" w:customStyle="1" w:styleId="35">
    <w:name w:val="正文编号"/>
    <w:basedOn w:val="1"/>
    <w:qFormat/>
    <w:uiPriority w:val="0"/>
    <w:pPr>
      <w:numPr>
        <w:ilvl w:val="0"/>
        <w:numId w:val="1"/>
      </w:numPr>
      <w:ind w:firstLine="0" w:firstLineChars="0"/>
    </w:pPr>
    <w:rPr>
      <w:rFonts w:ascii="宋体" w:hAnsi="宋体" w:cs="Times New Roman"/>
      <w:bCs/>
      <w:kern w:val="0"/>
      <w:szCs w:val="24"/>
      <w:lang w:val="zh-CN"/>
    </w:rPr>
  </w:style>
  <w:style w:type="character" w:customStyle="1" w:styleId="36">
    <w:name w:val="标题 Char"/>
    <w:basedOn w:val="24"/>
    <w:link w:val="20"/>
    <w:qFormat/>
    <w:uiPriority w:val="10"/>
    <w:rPr>
      <w:rFonts w:ascii="Calibri" w:hAnsi="Calibri" w:eastAsia="宋体" w:cstheme="majorBidi"/>
      <w:b/>
      <w:bCs/>
      <w:sz w:val="32"/>
      <w:szCs w:val="32"/>
    </w:rPr>
  </w:style>
  <w:style w:type="paragraph" w:styleId="37">
    <w:name w:val="List Paragraph"/>
    <w:basedOn w:val="1"/>
    <w:qFormat/>
    <w:uiPriority w:val="34"/>
    <w:pPr>
      <w:ind w:firstLine="420"/>
    </w:pPr>
  </w:style>
  <w:style w:type="table" w:customStyle="1" w:styleId="38">
    <w:name w:val="杨杰忠表格格式11"/>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character" w:customStyle="1" w:styleId="39">
    <w:name w:val="批注文字 Char"/>
    <w:basedOn w:val="24"/>
    <w:link w:val="8"/>
    <w:uiPriority w:val="0"/>
    <w:rPr>
      <w:rFonts w:eastAsia="宋体"/>
      <w:sz w:val="24"/>
    </w:rPr>
  </w:style>
  <w:style w:type="table" w:customStyle="1" w:styleId="40">
    <w:name w:val="杨杰忠表格格式1"/>
    <w:basedOn w:val="22"/>
    <w:qFormat/>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41">
    <w:name w:val="杨杰忠表格格式2"/>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42">
    <w:name w:val="杨杰忠表格格式3"/>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character" w:customStyle="1" w:styleId="43">
    <w:name w:val="标题 4 Char"/>
    <w:basedOn w:val="24"/>
    <w:link w:val="5"/>
    <w:uiPriority w:val="9"/>
    <w:rPr>
      <w:rFonts w:asciiTheme="majorHAnsi" w:hAnsiTheme="majorHAnsi" w:eastAsiaTheme="majorEastAsia" w:cstheme="majorBidi"/>
      <w:b/>
      <w:bCs/>
      <w:sz w:val="28"/>
      <w:szCs w:val="28"/>
    </w:rPr>
  </w:style>
  <w:style w:type="table" w:customStyle="1" w:styleId="44">
    <w:name w:val="杨杰忠表格格式4"/>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paragraph" w:customStyle="1" w:styleId="45">
    <w:name w:val="yjz表格正文"/>
    <w:basedOn w:val="46"/>
    <w:next w:val="1"/>
    <w:link w:val="47"/>
    <w:qFormat/>
    <w:uiPriority w:val="0"/>
    <w:pPr>
      <w:adjustRightInd w:val="0"/>
      <w:snapToGrid w:val="0"/>
      <w:ind w:firstLine="0" w:firstLineChars="0"/>
      <w:jc w:val="center"/>
    </w:pPr>
    <w:rPr>
      <w:rFonts w:ascii="Times New Roman" w:hAnsi="Times New Roman" w:cs="Times New Roman"/>
      <w:sz w:val="21"/>
      <w:lang w:val="zh-CN"/>
    </w:rPr>
  </w:style>
  <w:style w:type="paragraph" w:styleId="46">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 w:type="character" w:customStyle="1" w:styleId="47">
    <w:name w:val="yjz表格正文 Char"/>
    <w:link w:val="45"/>
    <w:uiPriority w:val="0"/>
    <w:rPr>
      <w:rFonts w:ascii="Times New Roman" w:hAnsi="Times New Roman" w:eastAsia="宋体" w:cs="Times New Roman"/>
      <w:lang w:val="zh-CN"/>
    </w:rPr>
  </w:style>
  <w:style w:type="paragraph" w:customStyle="1" w:styleId="48">
    <w:name w:val="yjz表图标题格式"/>
    <w:basedOn w:val="1"/>
    <w:next w:val="1"/>
    <w:link w:val="49"/>
    <w:qFormat/>
    <w:uiPriority w:val="0"/>
    <w:pPr>
      <w:adjustRightInd w:val="0"/>
      <w:snapToGrid w:val="0"/>
      <w:spacing w:line="240" w:lineRule="auto"/>
      <w:ind w:firstLine="0" w:firstLineChars="0"/>
      <w:jc w:val="center"/>
    </w:pPr>
    <w:rPr>
      <w:rFonts w:cs="Times New Roman"/>
      <w:b/>
      <w:sz w:val="21"/>
      <w:lang w:val="zh-CN"/>
    </w:rPr>
  </w:style>
  <w:style w:type="character" w:customStyle="1" w:styleId="49">
    <w:name w:val="yjz表图标题格式 Char"/>
    <w:link w:val="48"/>
    <w:qFormat/>
    <w:uiPriority w:val="0"/>
    <w:rPr>
      <w:rFonts w:ascii="Times New Roman" w:hAnsi="Times New Roman" w:eastAsia="宋体" w:cs="Times New Roman"/>
      <w:b/>
      <w:lang w:val="zh-CN"/>
    </w:rPr>
  </w:style>
  <w:style w:type="table" w:customStyle="1" w:styleId="50">
    <w:name w:val="杨杰忠表格格式5"/>
    <w:basedOn w:val="22"/>
    <w:uiPriority w:val="99"/>
    <w:pPr>
      <w:adjustRightInd w:val="0"/>
      <w:snapToGrid w:val="0"/>
      <w:jc w:val="center"/>
    </w:pPr>
    <w:rPr>
      <w:rFonts w:ascii="Times New Roman" w:hAnsi="Times New Roman" w:eastAsia="宋体" w:cs="Times New Roman"/>
      <w:kern w:val="0"/>
      <w:szCs w:val="20"/>
    </w:rPr>
    <w:tblPr>
      <w:jc w:val="cente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character" w:customStyle="1" w:styleId="51">
    <w:name w:val="批注主题 Char"/>
    <w:basedOn w:val="39"/>
    <w:link w:val="21"/>
    <w:semiHidden/>
    <w:qFormat/>
    <w:uiPriority w:val="99"/>
    <w:rPr>
      <w:rFonts w:eastAsia="宋体"/>
      <w:b/>
      <w:bCs/>
      <w:sz w:val="24"/>
    </w:rPr>
  </w:style>
  <w:style w:type="character" w:styleId="52">
    <w:name w:val="Placeholder Text"/>
    <w:basedOn w:val="24"/>
    <w:semiHidden/>
    <w:uiPriority w:val="99"/>
    <w:rPr>
      <w:color w:val="808080"/>
    </w:rPr>
  </w:style>
  <w:style w:type="paragraph" w:customStyle="1" w:styleId="53">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54">
    <w:name w:val="Unresolved Mention"/>
    <w:basedOn w:val="24"/>
    <w:semiHidden/>
    <w:unhideWhenUsed/>
    <w:uiPriority w:val="99"/>
    <w:rPr>
      <w:color w:val="605E5C"/>
      <w:shd w:val="clear" w:color="auto" w:fill="E1DFDD"/>
    </w:rPr>
  </w:style>
  <w:style w:type="paragraph" w:customStyle="1" w:styleId="55">
    <w:name w:val="Revision"/>
    <w:hidden/>
    <w:semiHidden/>
    <w:uiPriority w:val="99"/>
    <w:rPr>
      <w:rFonts w:ascii="Times New Roman" w:hAnsi="Times New Roman" w:eastAsia="宋体" w:cstheme="minorBidi"/>
      <w:kern w:val="2"/>
      <w:sz w:val="24"/>
      <w:szCs w:val="22"/>
      <w:lang w:val="en-US" w:eastAsia="zh-CN" w:bidi="ar-SA"/>
    </w:rPr>
  </w:style>
  <w:style w:type="table" w:customStyle="1" w:styleId="56">
    <w:name w:val="网格型1"/>
    <w:basedOn w:val="22"/>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2"/>
    <customShpInfo spid="_x0000_s1073"/>
    <customShpInfo spid="_x0000_s1074"/>
    <customShpInfo spid="_x0000_s1026"/>
    <customShpInfo spid="_x0000_s1027"/>
    <customShpInfo spid="_x0000_s1028"/>
    <customShpInfo spid="_x0000_s1069"/>
    <customShpInfo spid="_x0000_s1068"/>
    <customShpInfo spid="_x0000_s1067"/>
    <customShpInfo spid="_x0000_s1029"/>
    <customShpInfo spid="_x0000_s1030"/>
    <customShpInfo spid="_x0000_s1031"/>
    <customShpInfo spid="_x0000_s1032"/>
    <customShpInfo spid="_x0000_s1066"/>
    <customShpInfo spid="_x0000_s1065"/>
    <customShpInfo spid="_x0000_s1033"/>
    <customShpInfo spid="_x0000_s1034"/>
    <customShpInfo spid="_x0000_s1035"/>
    <customShpInfo spid="_x0000_s1064"/>
    <customShpInfo spid="_x0000_s1063"/>
    <customShpInfo spid="_x0000_s1062"/>
    <customShpInfo spid="_x0000_s1061"/>
    <customShpInfo spid="_x0000_s1036"/>
    <customShpInfo spid="_x0000_s1037"/>
    <customShpInfo spid="_x0000_s1060"/>
    <customShpInfo spid="_x0000_s1059"/>
    <customShpInfo spid="_x0000_s1038"/>
    <customShpInfo spid="_x0000_s1039"/>
    <customShpInfo spid="_x0000_s1058"/>
    <customShpInfo spid="_x0000_s1040"/>
    <customShpInfo spid="_x0000_s1041"/>
    <customShpInfo spid="_x0000_s1057"/>
    <customShpInfo spid="_x0000_s1056"/>
    <customShpInfo spid="_x0000_s1042"/>
    <customShpInfo spid="_x0000_s1055"/>
    <customShpInfo spid="_x0000_s1043"/>
    <customShpInfo spid="_x0000_s1054"/>
    <customShpInfo spid="_x0000_s1044"/>
    <customShpInfo spid="_x0000_s1045"/>
    <customShpInfo spid="_x0000_s1053"/>
    <customShpInfo spid="_x0000_s1046"/>
    <customShpInfo spid="_x0000_s1047"/>
    <customShpInfo spid="_x0000_s1051"/>
    <customShpInfo spid="_x0000_s1048"/>
    <customShpInfo spid="_x0000_s1050"/>
    <customShpInfo spid="_x0000_s1076"/>
    <customShpInfo spid="_x0000_s1085"/>
    <customShpInfo spid="_x0000_s1084"/>
    <customShpInfo spid="_x0000_s1075"/>
    <customShpInfo spid="_x0000_s1078"/>
    <customShpInfo spid="_x0000_s1080"/>
    <customShpInfo spid="_x0000_s1079"/>
    <customShpInfo spid="_x0000_s108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3096C4-D06B-42F8-92D3-AA28F0BC5622}">
  <ds:schemaRefs/>
</ds:datastoreItem>
</file>

<file path=docProps/app.xml><?xml version="1.0" encoding="utf-8"?>
<Properties xmlns="http://schemas.openxmlformats.org/officeDocument/2006/extended-properties" xmlns:vt="http://schemas.openxmlformats.org/officeDocument/2006/docPropsVTypes">
  <Template>Normal</Template>
  <Pages>92</Pages>
  <Words>7648</Words>
  <Characters>43600</Characters>
  <Lines>363</Lines>
  <Paragraphs>102</Paragraphs>
  <TotalTime>2</TotalTime>
  <ScaleCrop>false</ScaleCrop>
  <LinksUpToDate>false</LinksUpToDate>
  <CharactersWithSpaces>51146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2019-12-18T08:50:00Z</dcterms:created>
  <dc:creator>Administrator</dc:creator>
  <cp:lastModifiedBy>喊翻声生哥啦。</cp:lastModifiedBy>
  <cp:lastPrinted>2019-12-20T03:29:00Z</cp:lastPrinted>
  <dcterms:modified xsi:type="dcterms:W3CDTF">2020-04-26T11:57:45Z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